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荷塘乡2024年工作总结及2025年工作安排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2024年全年工作任务完成情况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（一）增效益、促创新，经济发展积蓄新动能。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经济运行态势平稳。固定资产投资：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全年固投任务数3.5亿元，截止10月已完成3.65亿元，超额完成固投任务，同比增长23.26%，项目入库4个；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招商引资：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成功申报1亿元项目1家、5亿元项目1家，已完成全年任务。签约落户2个拟投资亿元以上项目，正在推进荷塘精神红文旅融合项目、林下经济种植项目；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“五上”企业入库：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完成批零业1家、餐饮业1家、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服务业1家；满足税务条件等待年度入库</w:t>
      </w:r>
      <w:r>
        <w:rPr>
          <w:rFonts w:hint="eastAsia" w:ascii="仿宋_GB2312" w:hAnsi="仿宋_GB2312" w:cs="仿宋_GB2312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家；正在培育4家。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营商环境持续优化。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定期召开企业座谈会，充分了解企业发展中遇到的难题，及时为企业纾困解难10余件；多渠道、全方位收集企业群众诉求，靶向发力破解企业发展难点、痛点、堵点问题，幸福酱坊企业标准成功获省卫健审批、江西金玖源消防器材有限公司企业扶持资金成功兑现，听涧、原乡、漫山居民宿顺利办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6"/>
          <w:szCs w:val="36"/>
        </w:rPr>
        <w:t>强功能、提品质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，谱写乡村建设新篇章。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农业基础不断夯实。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坚决扛起粮食安全政治责任，严守耕地保护目标，遏制耕地“非农化”“非粮化”，全年农田撂荒整治面积371.12亩，截至目前完成整治328.59亩，完成占比82.14%；扎实推进高标准农田建设，全年任务数2000亩，目前已完成2161.2亩，完成占比100.5%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城乡环境持续改善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6"/>
          <w:szCs w:val="36"/>
          <w:highlight w:val="none"/>
          <w:lang w:val="en-US" w:eastAsia="zh-CN" w:bidi="ar-SA"/>
        </w:rPr>
        <w:t>推进厕所粪污无害化处理和资源化利用，新建农村户厕15座，新建公厕1座，完成问题厕所整改40座；加快农村生活污水治理,完成太济岭，金龙山，荷塘坞，童坊四个村小组建成污水处理终端；加快农村生活垃圾治理，实施清理生活垃圾300余吨，开展垃圾分类宣传活动50余次；全面提升村容村貌，积极开展美丽庭院评比，现有巾帼“美丽庭院”精品户8户、巾帼“美丽庭院”精品村2个；不断完善基础设施，实施塔荷公路亮化工程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安装维修路灯148盏。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乡风民风更加文明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坚持一手抓管理约束、一手抓服务引导，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先后成立了童坊村村民理事会、荷塘乡青年人才协会；</w:t>
      </w:r>
      <w:r>
        <w:rPr>
          <w:rFonts w:hint="eastAsia" w:ascii="仿宋_GB2312" w:hAnsi="仿宋_GB2312" w:eastAsia="仿宋_GB2312" w:cs="仿宋_GB2312"/>
          <w:sz w:val="36"/>
          <w:szCs w:val="36"/>
        </w:rPr>
        <w:t>不断创新活动形式、拓宽活动载体，将移风易俗宣传和下乡走访、普法教育等活动统筹开展，满足群众多样化、多层次、多方面的精神文化需求，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全年累计开展各类宣传教育活动次100余次，各类文体活动10次，惠及群众5000余人次，</w:t>
      </w:r>
      <w:r>
        <w:rPr>
          <w:rFonts w:hint="eastAsia" w:ascii="仿宋_GB2312" w:hAnsi="仿宋_GB2312" w:eastAsia="仿宋_GB2312" w:cs="仿宋_GB2312"/>
          <w:sz w:val="36"/>
          <w:szCs w:val="36"/>
        </w:rPr>
        <w:t>文明“种子”在基层生根发芽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（三）惠民生、促和谐，描绘民生幸福新图景。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民生实事成效显著。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结合党纪学习教育及群腐集中整治工作，聚焦群众急难愁盼问题，解决群众涉及面广、感知性强的民生实事8项，先后实施了童坊村庄前至殊源坞道路护坡和弯道拓宽工程、仓下村横柏山危桥改造项目、仓鱼公路沿线防护栏安装工程，切实有效缓解乡村道路交通压力，提升沿线群众出行的便利度、安全度和满意度；推进童坊村集中安置地建设项目，听取群众的安置意见以及宣传乡村建设规划和土地征收政策，依靠政策转变群众思想，倡导群众积极配合征收工作，牵涉30多户群众利益纠纷的安置地建设于4月份取得突破；实施杨湾村“一老一小”幸福院工程、童坊村荷花池休闲步道工程，进一步拓展村民休闲活动空间，惠及周边800余名群众；实施山门村小组饮用水水井改造工程，解决供水不足、饮水难问题，惠及周边100余名群众；乡卫生院贯彻落实医疗卫生相关政策，长年未开通的医保卡和慢性病报销渠道已经开通，惠及全乡5000余名群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就业创业充分高质。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完成乡本级5+2就业之家的打造，2024年新增城镇就业120人，受理灵活就业社保补贴220人次，符合政策的197人次，共计补贴108.9万余元，开发公益性岗位12人，发布就业信息120余次，就业一对一帮扶2人次。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社会保障扩面提质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截止10月新增低保8户，享受低保人员162户241人，发放低保金134.5810万元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；发放临时救济金9万元；为97名残疾人发放两项补贴11.36万元；发放高龄补贴5.0450万元；2024年城镇居民养老保险新增6人次；发放36户危房改造补贴540000元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；2025年城乡医保缴费1986人，参保率43.09%。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（四）防风险、守底线，构建乡村治理新格局。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矛盾纠纷高效化解。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深入践行新时代“枫桥经验”，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开展矛盾纠纷排查化解专项行动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30余次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，化解各类矛盾纠纷事件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起，调处率达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100%；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受理12345公共服务热线平台投诉案件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件，基层社会治理水平不断提升。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安全生产紧抓不懈。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严格落实安全生产“党政同责、一岗双责”制度，开展重点领域安全生产大检查110余次，对企业和重点场所进行定期监督管理；全面完成24户自建房存量隐患整治销号工作，全乡安全生产形势稳定。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社会大局持续稳定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常态化开展扫黑除恶斗争、平安建设宣传活动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20余次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稳妥化解社会矛盾风险，成功化解2件国家信访问题，稳控1人国家信访对象，平稳调解1起意外死亡纠纷、1起车祸致伤民事纠纷，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全年受理信访件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3件，</w:t>
      </w:r>
      <w:r>
        <w:rPr>
          <w:rFonts w:hint="eastAsia" w:ascii="仿宋_GB2312" w:hAnsi="仿宋_GB2312" w:eastAsia="仿宋_GB2312" w:cs="仿宋_GB2312"/>
          <w:sz w:val="36"/>
          <w:szCs w:val="36"/>
        </w:rPr>
        <w:t>办理办结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</w:rPr>
        <w:t>件，同比下降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6"/>
          <w:szCs w:val="36"/>
        </w:rPr>
        <w:t>%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（五）转作风、提效能，展示自身建设新形象。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28"/>
          <w:lang w:val="en-US" w:eastAsia="zh-CN"/>
        </w:rPr>
        <w:t>结合党纪学习教育及群腐集中整治工作，不断转作风提效能，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全年开展警示教育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5次，开展书记讲纪律党课5场次，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召开警示教育大会1次，立案16起，结案13起（6人党内警告，一人党内严重警告，4人诫勉谈话，3起在初核，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人不予处分，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人扣除一年村小组组长补助津贴）。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720" w:firstLineChars="200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二、特色亮点工作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（一）荷塘特色品牌初显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依托垦殖场成立荷垦公司，作为对外商事合作、资产资源管理、土特产统一运营的平台。围绕幸福酱、荷塘粉皮、冷浆田大米、莲子、油茶、茶叶、土鸡蛋等本土农产品，统一包装、统一办证、统一运营，7月份着手推进以来，目前农产品销售额达100余万元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720" w:firstLineChars="200"/>
        <w:rPr>
          <w:rFonts w:hint="default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（二）招商引资提质增效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依托荷塘区位优势及资源优势，先后引进杨湾牧心谷生态养生度假区、仓下村树莓种植、童坊村共富工坊项目，高质量完成年初制定任务。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（三）社会治理成效显著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rPr>
          <w:rFonts w:hint="default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创新发展“枫桥经验”，坚持党建引领、一网治理，将现行网格以村小组为单位划分，每个网格配备1-2名网格辅助员，形成乡、村干部“一对一”“一专多辅”的网格管理格局，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此外，注重搭建平台，成立童坊村民理事会，顺利突破了几年来没有解决的拆迁钉子户、安置地建设的问题；成立青年人才协会，通过加强青年的引导和凝聚，将有效地将政府公信力辐射到千家万户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2025年工作安排和打算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下一步，荷塘乡将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持续深化“1314”战略行动，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6"/>
          <w:szCs w:val="36"/>
        </w:rPr>
        <w:t>立足资源禀赋优势，以“红色”基因引领、“绿色”生态支撑、“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6"/>
          <w:szCs w:val="36"/>
        </w:rPr>
        <w:t>色”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产业富民</w:t>
      </w:r>
      <w:r>
        <w:rPr>
          <w:rFonts w:hint="eastAsia" w:ascii="仿宋_GB2312" w:hAnsi="仿宋_GB2312" w:eastAsia="仿宋_GB2312" w:cs="仿宋_GB2312"/>
          <w:sz w:val="36"/>
          <w:szCs w:val="36"/>
        </w:rPr>
        <w:t>，擦亮“红绿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6"/>
          <w:szCs w:val="36"/>
        </w:rPr>
        <w:t>”三色文化品牌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奋力打造乡村振兴“荷塘样板”</w:t>
      </w:r>
      <w:r>
        <w:rPr>
          <w:rFonts w:hint="eastAsia" w:ascii="仿宋_GB2312" w:hAnsi="仿宋_GB2312" w:eastAsia="仿宋_GB2312" w:cs="仿宋_GB2312"/>
          <w:sz w:val="36"/>
          <w:szCs w:val="36"/>
        </w:rPr>
        <w:t>集聚动能。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赓续红色血脉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打造红色文化标杆地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筑牢荷塘立乡之本，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高位推动荷塘农垦体验馆运营，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力争2025年初正式对外开放，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以翔实的文献资料、真实的场景还原、鲜活的展陈形式，更好凸显主题和特色，用心用情讲好红色故事、传承红色基因、赓续红色血脉，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培养一批红色“传”人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，发展壮大红色讲解员队伍，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让众多党员干部和中小学生参与红色走读和红色研学，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持续放大荷塘精神的感召效应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。盘活荷塘农垦旧址，打造具有时代特征、文化特色、农垦特点的红色图书馆，拓展文化功能的同时，兼具参观打卡作用。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此外，加快推进荷塘红色农文旅项目建设落地落户，创建红色研学、农垦文化“会客厅”，实现红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色文旅。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）加快绿色崛起，打造全域旅游目的地。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立足城市后花园，生态基础优的特色，在昌江国家全域旅游示范区的整体框架下，着眼以文塑旅、以旅彰文，坚持规划引领、精准定位、科学布局，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加快推进林下经济种植项目（名贵树种种植）落地，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进一步引进特色文旅项目、休闲业态，实现一步一景、移步换景，激活“绿经济”青山变“金山”。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推进农村人居环境整治提升工作，</w:t>
      </w:r>
      <w:r>
        <w:rPr>
          <w:rFonts w:hint="eastAsia" w:ascii="仿宋_GB2312" w:hAnsi="仿宋_GB2312" w:eastAsia="仿宋_GB2312" w:cs="仿宋_GB2312"/>
          <w:sz w:val="36"/>
          <w:szCs w:val="36"/>
        </w:rPr>
        <w:t>提升农村生态环境质量，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加大基础设施建设投入力度，全力改善农村交通、水利、电力等条件，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有效促进人居环境由“点上美”向“面上美”、“一时美”向“持续美”转变，切实助力村容村貌提档升级，推动颜值气质双提升。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（三）擦亮金色名片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打造未来乡村样本地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立足荷塘资源禀赋，深化“文化+旅游+产业”的发展模式，重点发展好红色旅游、文化体验、康养民宿、休闲度假、写生研学等文旅业态，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建立富有荷塘特色的产业集群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充分发挥荷垦公司平台作用，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加快推进荷塘共富工坊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建设进度，围绕荷塘粉皮、荷塘冷浆田大米、荷塘幸福酱、荷塘土鸡蛋等土特产，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打响荷塘特色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农产品品牌。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此外，同步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推进仓下树莓种植、牧心谷生态休闲度假区、童坊中心村安置地等项目建设，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以乡村旅游业带动和促进乡村经济社会协调发展，使荷塘成为“发展乡村经济、传承乡土文化、体验乡愁生活”的未来乡村样本地。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line="240" w:lineRule="auto"/>
      <w:ind w:firstLine="420"/>
      <w:jc w:val="left"/>
    </w:pPr>
    <w:rPr>
      <w:rFonts w:hint="eastAsia" w:ascii="宋体" w:hAnsi="宋体" w:eastAsia="宋体"/>
      <w:kern w:val="0"/>
      <w:sz w:val="24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link w:val="9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s1"/>
    <w:basedOn w:val="5"/>
    <w:qFormat/>
    <w:uiPriority w:val="0"/>
  </w:style>
  <w:style w:type="character" w:customStyle="1" w:styleId="8">
    <w:name w:val="二标 Char"/>
    <w:basedOn w:val="9"/>
    <w:link w:val="10"/>
    <w:qFormat/>
    <w:uiPriority w:val="0"/>
    <w:rPr>
      <w:rFonts w:eastAsia="楷体"/>
      <w:b/>
      <w:bCs/>
      <w:color w:val="444444"/>
      <w:sz w:val="32"/>
    </w:rPr>
  </w:style>
  <w:style w:type="character" w:customStyle="1" w:styleId="9">
    <w:name w:val="普通(网站) Char"/>
    <w:basedOn w:val="5"/>
    <w:link w:val="4"/>
    <w:qFormat/>
    <w:uiPriority w:val="99"/>
    <w:rPr>
      <w:kern w:val="0"/>
      <w:sz w:val="24"/>
      <w:lang w:val="en-US" w:eastAsia="zh-CN" w:bidi="ar"/>
    </w:rPr>
  </w:style>
  <w:style w:type="paragraph" w:customStyle="1" w:styleId="10">
    <w:name w:val="二标"/>
    <w:basedOn w:val="4"/>
    <w:link w:val="8"/>
    <w:qFormat/>
    <w:uiPriority w:val="0"/>
    <w:pPr>
      <w:shd w:val="clear" w:color="auto" w:fill="FFFFFF"/>
      <w:spacing w:before="0" w:beforeAutospacing="0" w:after="20" w:afterAutospacing="0"/>
      <w:ind w:firstLine="482"/>
      <w:jc w:val="both"/>
    </w:pPr>
    <w:rPr>
      <w:rFonts w:eastAsia="楷体"/>
      <w:b/>
      <w:bCs/>
      <w:color w:val="4444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2790</Words>
  <Characters>2915</Characters>
  <Lines>0</Lines>
  <Paragraphs>0</Paragraphs>
  <TotalTime>0</TotalTime>
  <ScaleCrop>false</ScaleCrop>
  <LinksUpToDate>false</LinksUpToDate>
  <CharactersWithSpaces>2915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2024-12-03T11:29:00Z</dcterms:created>
  <dc:creator>AQ2</dc:creator>
  <cp:lastModifiedBy>iPhone</cp:lastModifiedBy>
  <cp:lastPrinted>2024-12-05T16:37:41Z</cp:lastPrinted>
  <dcterms:modified xsi:type="dcterms:W3CDTF">2024-12-06T15:09:00Z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010E1C9BCBEC4D2492B8B44F6B5B2144_13</vt:lpwstr>
  </property>
</Properties>
</file>