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center"/>
        <w:rPr>
          <w:rFonts w:ascii="Helvetica" w:hAnsi="Helvetica" w:eastAsia="Helvetica" w:cs="Helvetica"/>
          <w:i w:val="0"/>
          <w:iCs w:val="0"/>
          <w:caps w:val="0"/>
          <w:color w:val="555555"/>
          <w:spacing w:val="0"/>
          <w:sz w:val="24"/>
          <w:szCs w:val="24"/>
        </w:rPr>
      </w:pPr>
      <w:bookmarkStart w:id="1" w:name="_GoBack"/>
      <w:r>
        <w:rPr>
          <w:rFonts w:hint="default" w:ascii="Helvetica" w:hAnsi="Helvetica" w:eastAsia="Helvetica" w:cs="Helvetica"/>
          <w:i w:val="0"/>
          <w:iCs w:val="0"/>
          <w:caps w:val="0"/>
          <w:color w:val="555555"/>
          <w:spacing w:val="0"/>
          <w:sz w:val="24"/>
          <w:szCs w:val="24"/>
          <w:bdr w:val="none" w:color="auto" w:sz="0" w:space="0"/>
          <w:shd w:val="clear" w:fill="FFFFFF"/>
        </w:rPr>
        <w:t>昌江区2021年地质灾害防治方案</w:t>
      </w:r>
    </w:p>
    <w:bookmarkEnd w:id="1"/>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为了防治地质灾害,避免和减轻地质灾害造成的损失,维护人民生命和财产安全,促进经济和社会的可持续发展,根据《地质灾害防治条例》(国务院令第394号)和《江西省地质灾害防治条例》的有关规定,结合我区地质灾害防治工作的实际情况,制定本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一、全区地质灾害易发程度区划背景情况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1、地质灾害的主要特点: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我区地质灾害的主要特点是:以群发性、突发性的中小型崩塌、滑坡、泥石流(简称崩、滑、流)为主，地质灾害发生区域多处于变质岩、花岗岩分布的丘陵山区;诱发地质灾害的直接原因主要是集中性强降雨，群发型地质灾害的区域与强降雨区域基本吻合;容易造成人员伤亡和损失的重要地质灾害绝大部分都与建房切坡有关。地面塌陷主要发生在覆盖型岩溶区和矿山开采区，诱发因素与区域地下水位下降和矿山采空、地下疏排水等有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2、地质灾害易发程度区划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根据昌江区地质灾害调查与区划资料以及全区近期地质灾害发生情况结合地质环境条件相关分析，全区划定1个地质灾害易发区和2个地质灾害次易发区。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荷塘乡——鲇鱼山镇留阳崩、滑、流易发区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西郊街道——吕蒙乡崩、滑、流次易发区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⑶鲇鱼山镇鱼山——留阳崩、滑、流次易发区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二、地质灾害趋势预测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一)降水趋势预测根据市气象局预测，2021年汛期(4～6月)平均雨量正常略偏多，约为860～960毫米。7月上旬乃有降水过程，部分地区可能发生洪涝或内涝，汛期结束期接近常年，在7月上旬中期。(二)降雨洪水趋势分析:根据市水文局降雨洪水趋势分析，年降雨量1900毫米，接近常年。主汛期降雨量较常年略偏多，早汛的可能性较大。7月上旬前后昌江渡峰坑水文站可能出现超警戒2米(30.5米)的洪水过程。(三)地质灾害趋势预测:根据我市地质环境条件、历年汛期地质灾害发生情况及其与降雨关系的分析，结合根据2021年气象、水文部门降水趋势预测，预计2021年我市崩塌、滑坡、泥石流(简称崩滑流，下同)地质灾害的数量、规模及危害在总体上接近常年，地质灾害防治形势十分严峻。具体预测如下:1、崩滑流地质灾害主要发生时段:4月至6月下旬后期的强降水集中时段，及后汛期台风期是崩滑流地质灾害的高发期。2、崩滑流地质灾害具体发生的区域和强度与集中降水的区域和强度有关。在集中降水时段，当连续降水达到150毫米或日降水80毫米以上时，崩滑流灾害可能发生;当连续降水达到200毫米或短时间(1日或数小时)降水150毫米以上时，崩滑流灾害将大量发生。丘陵山区农村建房切坡段、城镇规划区切坡段、露天采矿(采石)场、新建和改扩建公路铁路边坡、水利工程边坡和旅游景区高陡岩体等是发生滑坡、崩塌的主要地段。3、地面塌陷可能出现区域主要是鱼山、地面塌陷高易发区，持续干旱的枯水时期的覆盖型岩溶发育地区和坑采矿区采空地区，汛前期和伏秋期形成地面塌陷地质灾害可能性大。4、由于长期降雨预测难度大、精度有限以及集中性强降水的时间、区域不确定等因素限制，中长期地质灾害预测仅是趋势性的预测。当发生连续暴雨、大暴雨或持续干旱时，易发区、次易发区内的干部群众都要提高警惕，防范地质灾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三、地质灾害防护重点和重点防范期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1、地质灾害点防护区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依据上述预测和地质灾害易发区分析,2021年全区设置1个重点防护区，1个次重点防护区。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(1)鱼山镇、荷塘乡崩、滑、流重点防护区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(2)吕蒙乡、枫树山林场、丽阳镇崩、滑、流次重点防护区。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2、重要地质灾害危险点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2021年全区需要加强监测防范的重点地质灾害危险点共有331处,具体情况和防护措施见附件1-6。</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3、重点防范期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崩滑流地质灾害重点防范期为4月至7月，主要是6月中下旬降水集中时期，地面塌陷地质灾害重点防范期为伏秋期和枯水期。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主要防治目标及措施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1、全面贯彻党的十九大和十九届五中全会精神，深入学习贯彻习近平总书记关于防灾减灾和自然灾害防治工作的重要论述，树立以人民为中心的防灾理念，按照“预防为主，避让与治理相结合”的工作方针，全力做好汛期地质灾害防治工作，力争把地质灾害对人民群众生命财产造成的损失降到最低限度，。不因地质灾害出现重大人员伤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2、加强组织领导，落实责任制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地质灾害防治工作实行地方政府行政首长负责制。地质灾害易发区的乡(镇)街道应成立政府主管领导为首的地质灾害防治工作领导小组，统一组织协调所在地区的地质灾害防治工作。区、乡(镇)街道自然资源行政主管部门在各级政府统一领导下，具体负责地质灾害防治的组织、协调、指导和监督工作。应急、农业农村水利、交通运输、民政、住建、文广新旅等部门应按照各自的职责分工做好有关方面的地质灾害防灾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3、健全各项地质灾害防治制度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各乡(镇)街道要进一步健全地质灾害监测预报制度，汛期值班制度、巡查制度、灾情速报、月报制度。加强自然资源与气象部门合作，实时发布汛期地质灾害气象预报。严格执行汛期24小时值班制度，明确值班责任，做到人员到岗，公布联系方式和联系电话，确保汛期联络畅通。各乡(镇)街道责任人联系表(见表2)，各乡(镇)街道自然资源部门要按照地质灾害速报制度的规定，做好地质灾害灾情和地质灾害隐患点险情的速报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4、完善群测群防网络，做好汛期巡查、监测工作。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重要地质灾害隐患点和重点防护段，由所在乡(镇)街道明确责任单位、责任人，健全群测群防网络，落实基层防灾责任制。昌江分局发放《江西省地质灾害避险应急手册》到各乡(镇)街道、村、居委会。乡(镇)街道将“地质灾害防灾工作明白卡”和“地质灾害防灾避险明白卡”要及时发放到受地质灾害威胁的单位或住户。汛期重要地质灾害隐患点和重点防护区段的监测、防范工作要落实到乡(镇)、街道、村(社区)、村小组，隐患点要落实定人定点监测，做好监测记录。发现险情有扩大、加剧异变情况或其他明显征兆要及时上报。有关部门和单位要加强重点工程防护段的地质灾害隐患排查，并做好监测、防范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5、做好汛期地质灾害应急治理工作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对重要地质灾害隐患点应采取必要的防治措施。有条件治理的要落实治理措施进行治理;暂时没有条件治理的，应制定规划，对地质灾害危险区内的居民采取避让措施，并针对可能的诱发因素采取简易应急工程措施和防范措施。以遏制、减缓险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6、做好突发性地质灾害应急工作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区、乡(镇)街道自然资源和有关主管部门要根据国务院《地质灾害防治条例》(国务院令第394号)的要求，做好灾害应急的各项准备工作，一旦发生地质灾害灾情或重大险情，按照同级人民政府批准的突发性地质灾害应急预案组织实施防灾和抢险救灾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7、保证汛期地质灾害工作必需的投入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各级地方财政应安排必要的资金，专项用于地质灾害防灾和应急工作的组织、抢险救助、避让搬迁、物质器材、应急治理和灾后恢复与重建工作。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五、附注本方案重要用语说明: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地质灾害，包括自然因素或者人为活动引发的危害人民生命和财产安全的山体崩塌、滑坡、泥石流、地面塌陷、地裂缝、地面沉降等与地质作用有关的灾害。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地质灾害易发区、次易发区，是指在自然作用和人为作用影响下容易发生或比较容易发生地质灾害的地区。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地质灾害重点防护区、次重点防护区，是对本年度地质灾害发生趋势所作的一种预测。地质灾害重点防护区一般根据当年预报的降雨中心，结合地质灾害易发程度区划确定;地质灾害次重点防护区一般根据多年暴雨中心，结合地质灾害易发程度区划和其他条件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重要地质灾害隐患点，是指有地质灾害前兆现象，可能发生灾害并构成危害的地点、地段，包括已发生的地质灾害点中，有可能再次发生并构成危害的地点、地段。中型以上地质灾害隐患点列入市级地质灾害防治方案重要地质灾害隐患点，其余级别的隐患点分别列县级隐患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附件: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一、昌江区2021年汛期值班电话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二、昌江区地质灾害分级指标及说明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三、昌江区地质灾害速报制度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四、昌江区地质灾害应急调查制度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五、地质灾害应急调查报告提纲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附件一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2021年汛期值班电话</w:t>
      </w:r>
    </w:p>
    <w:tbl>
      <w:tblPr>
        <w:tblW w:w="14250"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5275"/>
        <w:gridCol w:w="897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681" w:hRule="atLeast"/>
          <w:tblCellSpacing w:w="0" w:type="dxa"/>
        </w:trPr>
        <w:tc>
          <w:tcPr>
            <w:tcW w:w="3315" w:type="dxa"/>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rFonts w:hint="default" w:ascii="Helvetica" w:hAnsi="Helvetica" w:eastAsia="Helvetica" w:cs="Helvetica"/>
                <w:sz w:val="24"/>
                <w:szCs w:val="24"/>
              </w:rPr>
            </w:pPr>
            <w:r>
              <w:rPr>
                <w:rFonts w:hint="default" w:ascii="Helvetica" w:hAnsi="Helvetica" w:eastAsia="Helvetica" w:cs="Helvetica"/>
                <w:i w:val="0"/>
                <w:iCs w:val="0"/>
                <w:caps w:val="0"/>
                <w:color w:val="555555"/>
                <w:spacing w:val="0"/>
                <w:sz w:val="24"/>
                <w:szCs w:val="24"/>
                <w:bdr w:val="none" w:color="auto" w:sz="0" w:space="0"/>
              </w:rPr>
              <w:t>自然资源部</w:t>
            </w:r>
          </w:p>
        </w:tc>
        <w:tc>
          <w:tcPr>
            <w:tcW w:w="5640" w:type="dxa"/>
            <w:shd w:val="clear" w:color="auto" w:fill="FFFFFF"/>
            <w:tcMar>
              <w:top w:w="75" w:type="dxa"/>
              <w:left w:w="75" w:type="dxa"/>
              <w:bottom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rFonts w:hint="default" w:ascii="Helvetica" w:hAnsi="Helvetica" w:eastAsia="Helvetica" w:cs="Helvetica"/>
                <w:sz w:val="24"/>
                <w:szCs w:val="24"/>
              </w:rPr>
            </w:pPr>
            <w:r>
              <w:rPr>
                <w:rFonts w:hint="default" w:ascii="Helvetica" w:hAnsi="Helvetica" w:eastAsia="Helvetica" w:cs="Helvetica"/>
                <w:i w:val="0"/>
                <w:iCs w:val="0"/>
                <w:caps w:val="0"/>
                <w:color w:val="555555"/>
                <w:spacing w:val="0"/>
                <w:sz w:val="24"/>
                <w:szCs w:val="24"/>
                <w:bdr w:val="none" w:color="auto" w:sz="0" w:space="0"/>
              </w:rPr>
              <w:t>010-66558072(值班室)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rFonts w:hint="default" w:ascii="Helvetica" w:hAnsi="Helvetica" w:eastAsia="Helvetica" w:cs="Helvetica"/>
                <w:sz w:val="24"/>
                <w:szCs w:val="24"/>
              </w:rPr>
            </w:pPr>
            <w:r>
              <w:rPr>
                <w:rFonts w:hint="default" w:ascii="Helvetica" w:hAnsi="Helvetica" w:eastAsia="Helvetica" w:cs="Helvetica"/>
                <w:i w:val="0"/>
                <w:iCs w:val="0"/>
                <w:caps w:val="0"/>
                <w:color w:val="555555"/>
                <w:spacing w:val="0"/>
                <w:sz w:val="24"/>
                <w:szCs w:val="24"/>
                <w:bdr w:val="none" w:color="auto" w:sz="0" w:space="0"/>
              </w:rPr>
              <w:t>010-66558320(地质环境司)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66" w:hRule="atLeast"/>
          <w:tblCellSpacing w:w="0" w:type="dxa"/>
        </w:trPr>
        <w:tc>
          <w:tcPr>
            <w:tcW w:w="3315" w:type="dxa"/>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rFonts w:hint="default" w:ascii="Helvetica" w:hAnsi="Helvetica" w:eastAsia="Helvetica" w:cs="Helvetica"/>
                <w:sz w:val="24"/>
                <w:szCs w:val="24"/>
              </w:rPr>
            </w:pPr>
            <w:r>
              <w:rPr>
                <w:rFonts w:hint="default" w:ascii="Helvetica" w:hAnsi="Helvetica" w:eastAsia="Helvetica" w:cs="Helvetica"/>
                <w:i w:val="0"/>
                <w:iCs w:val="0"/>
                <w:caps w:val="0"/>
                <w:color w:val="555555"/>
                <w:spacing w:val="0"/>
                <w:sz w:val="24"/>
                <w:szCs w:val="24"/>
                <w:bdr w:val="none" w:color="auto" w:sz="0" w:space="0"/>
              </w:rPr>
              <w:t>省自然资源厅</w:t>
            </w:r>
          </w:p>
        </w:tc>
        <w:tc>
          <w:tcPr>
            <w:tcW w:w="5640" w:type="dxa"/>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rFonts w:hint="default" w:ascii="Helvetica" w:hAnsi="Helvetica" w:eastAsia="Helvetica" w:cs="Helvetica"/>
                <w:sz w:val="24"/>
                <w:szCs w:val="24"/>
              </w:rPr>
            </w:pPr>
            <w:r>
              <w:rPr>
                <w:rFonts w:hint="default" w:ascii="Helvetica" w:hAnsi="Helvetica" w:eastAsia="Helvetica" w:cs="Helvetica"/>
                <w:i w:val="0"/>
                <w:iCs w:val="0"/>
                <w:caps w:val="0"/>
                <w:color w:val="555555"/>
                <w:spacing w:val="0"/>
                <w:sz w:val="24"/>
                <w:szCs w:val="24"/>
                <w:bdr w:val="none" w:color="auto" w:sz="0" w:space="0"/>
              </w:rPr>
              <w:t>0791——86720352(值班室、全天值班)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rFonts w:hint="default" w:ascii="Helvetica" w:hAnsi="Helvetica" w:eastAsia="Helvetica" w:cs="Helvetica"/>
                <w:sz w:val="24"/>
                <w:szCs w:val="24"/>
              </w:rPr>
            </w:pPr>
            <w:r>
              <w:rPr>
                <w:rFonts w:hint="default" w:ascii="Helvetica" w:hAnsi="Helvetica" w:eastAsia="Helvetica" w:cs="Helvetica"/>
                <w:i w:val="0"/>
                <w:iCs w:val="0"/>
                <w:caps w:val="0"/>
                <w:color w:val="555555"/>
                <w:spacing w:val="0"/>
                <w:sz w:val="24"/>
                <w:szCs w:val="24"/>
                <w:bdr w:val="none" w:color="auto" w:sz="0" w:space="0"/>
              </w:rPr>
              <w:t>0791——86720020(办公室)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rFonts w:hint="default" w:ascii="Helvetica" w:hAnsi="Helvetica" w:eastAsia="Helvetica" w:cs="Helvetica"/>
                <w:sz w:val="24"/>
                <w:szCs w:val="24"/>
              </w:rPr>
            </w:pPr>
            <w:r>
              <w:rPr>
                <w:rFonts w:hint="default" w:ascii="Helvetica" w:hAnsi="Helvetica" w:eastAsia="Helvetica" w:cs="Helvetica"/>
                <w:i w:val="0"/>
                <w:iCs w:val="0"/>
                <w:caps w:val="0"/>
                <w:color w:val="555555"/>
                <w:spacing w:val="0"/>
                <w:sz w:val="24"/>
                <w:szCs w:val="24"/>
                <w:bdr w:val="none" w:color="auto" w:sz="0" w:space="0"/>
              </w:rPr>
              <w:t>0791—--86720137(地质环境处)</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951" w:hRule="atLeast"/>
          <w:tblCellSpacing w:w="0" w:type="dxa"/>
        </w:trPr>
        <w:tc>
          <w:tcPr>
            <w:tcW w:w="3315" w:type="dxa"/>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rFonts w:hint="default" w:ascii="Helvetica" w:hAnsi="Helvetica" w:eastAsia="Helvetica" w:cs="Helvetica"/>
                <w:sz w:val="24"/>
                <w:szCs w:val="24"/>
              </w:rPr>
            </w:pPr>
            <w:r>
              <w:rPr>
                <w:rFonts w:hint="default" w:ascii="Helvetica" w:hAnsi="Helvetica" w:eastAsia="Helvetica" w:cs="Helvetica"/>
                <w:i w:val="0"/>
                <w:iCs w:val="0"/>
                <w:caps w:val="0"/>
                <w:color w:val="555555"/>
                <w:spacing w:val="0"/>
                <w:sz w:val="24"/>
                <w:szCs w:val="24"/>
                <w:bdr w:val="none" w:color="auto" w:sz="0" w:space="0"/>
              </w:rPr>
              <w:t>市自然资源和规划局</w:t>
            </w:r>
          </w:p>
        </w:tc>
        <w:tc>
          <w:tcPr>
            <w:tcW w:w="5640" w:type="dxa"/>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rFonts w:hint="default" w:ascii="Helvetica" w:hAnsi="Helvetica" w:eastAsia="Helvetica" w:cs="Helvetica"/>
                <w:sz w:val="24"/>
                <w:szCs w:val="24"/>
              </w:rPr>
            </w:pPr>
            <w:r>
              <w:rPr>
                <w:rFonts w:hint="default" w:ascii="Helvetica" w:hAnsi="Helvetica" w:eastAsia="Helvetica" w:cs="Helvetica"/>
                <w:i w:val="0"/>
                <w:iCs w:val="0"/>
                <w:caps w:val="0"/>
                <w:color w:val="555555"/>
                <w:spacing w:val="0"/>
                <w:sz w:val="24"/>
                <w:szCs w:val="24"/>
                <w:bdr w:val="none" w:color="auto" w:sz="0" w:space="0"/>
              </w:rPr>
              <w:t>0798—8259209(办公室)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rFonts w:hint="default" w:ascii="Helvetica" w:hAnsi="Helvetica" w:eastAsia="Helvetica" w:cs="Helvetica"/>
                <w:sz w:val="24"/>
                <w:szCs w:val="24"/>
              </w:rPr>
            </w:pPr>
            <w:r>
              <w:rPr>
                <w:rFonts w:hint="default" w:ascii="Helvetica" w:hAnsi="Helvetica" w:eastAsia="Helvetica" w:cs="Helvetica"/>
                <w:i w:val="0"/>
                <w:iCs w:val="0"/>
                <w:caps w:val="0"/>
                <w:color w:val="555555"/>
                <w:spacing w:val="0"/>
                <w:sz w:val="24"/>
                <w:szCs w:val="24"/>
                <w:bdr w:val="none" w:color="auto" w:sz="0" w:space="0"/>
              </w:rPr>
              <w:t>0798—8259209(值班室)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rFonts w:hint="default" w:ascii="Helvetica" w:hAnsi="Helvetica" w:eastAsia="Helvetica" w:cs="Helvetica"/>
                <w:sz w:val="24"/>
                <w:szCs w:val="24"/>
              </w:rPr>
            </w:pPr>
            <w:r>
              <w:rPr>
                <w:rFonts w:hint="default" w:ascii="Helvetica" w:hAnsi="Helvetica" w:eastAsia="Helvetica" w:cs="Helvetica"/>
                <w:i w:val="0"/>
                <w:iCs w:val="0"/>
                <w:caps w:val="0"/>
                <w:color w:val="555555"/>
                <w:spacing w:val="0"/>
                <w:sz w:val="24"/>
                <w:szCs w:val="24"/>
                <w:bdr w:val="none" w:color="auto" w:sz="0" w:space="0"/>
              </w:rPr>
              <w:t>0798—8259200(地质环境科)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146" w:hRule="atLeast"/>
          <w:tblCellSpacing w:w="0" w:type="dxa"/>
        </w:trPr>
        <w:tc>
          <w:tcPr>
            <w:tcW w:w="3315" w:type="dxa"/>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rFonts w:hint="default" w:ascii="Helvetica" w:hAnsi="Helvetica" w:eastAsia="Helvetica" w:cs="Helvetica"/>
                <w:sz w:val="24"/>
                <w:szCs w:val="24"/>
              </w:rPr>
            </w:pPr>
            <w:r>
              <w:rPr>
                <w:rFonts w:hint="default" w:ascii="Helvetica" w:hAnsi="Helvetica" w:eastAsia="Helvetica" w:cs="Helvetica"/>
                <w:i w:val="0"/>
                <w:iCs w:val="0"/>
                <w:caps w:val="0"/>
                <w:color w:val="555555"/>
                <w:spacing w:val="0"/>
                <w:sz w:val="24"/>
                <w:szCs w:val="24"/>
                <w:bdr w:val="none" w:color="auto" w:sz="0" w:space="0"/>
              </w:rPr>
              <w:t>昌江区人民政府</w:t>
            </w:r>
          </w:p>
        </w:tc>
        <w:tc>
          <w:tcPr>
            <w:tcW w:w="5640" w:type="dxa"/>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rFonts w:hint="default" w:ascii="Helvetica" w:hAnsi="Helvetica" w:eastAsia="Helvetica" w:cs="Helvetica"/>
                <w:sz w:val="24"/>
                <w:szCs w:val="24"/>
              </w:rPr>
            </w:pPr>
            <w:r>
              <w:rPr>
                <w:rFonts w:hint="default" w:ascii="Helvetica" w:hAnsi="Helvetica" w:eastAsia="Helvetica" w:cs="Helvetica"/>
                <w:i w:val="0"/>
                <w:iCs w:val="0"/>
                <w:caps w:val="0"/>
                <w:color w:val="555555"/>
                <w:spacing w:val="0"/>
                <w:sz w:val="24"/>
                <w:szCs w:val="24"/>
                <w:bdr w:val="none" w:color="auto" w:sz="0" w:space="0"/>
              </w:rPr>
              <w:t>0798-8332255(区政府办公室)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rFonts w:hint="default" w:ascii="Helvetica" w:hAnsi="Helvetica" w:eastAsia="Helvetica" w:cs="Helvetica"/>
                <w:sz w:val="24"/>
                <w:szCs w:val="24"/>
              </w:rPr>
            </w:pPr>
            <w:r>
              <w:rPr>
                <w:rFonts w:hint="default" w:ascii="Helvetica" w:hAnsi="Helvetica" w:eastAsia="Helvetica" w:cs="Helvetica"/>
                <w:i w:val="0"/>
                <w:iCs w:val="0"/>
                <w:caps w:val="0"/>
                <w:color w:val="555555"/>
                <w:spacing w:val="0"/>
                <w:sz w:val="24"/>
                <w:szCs w:val="24"/>
                <w:bdr w:val="none" w:color="auto" w:sz="0" w:space="0"/>
              </w:rPr>
              <w:t>0798-8332080(区应急管理局)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rFonts w:hint="default" w:ascii="Helvetica" w:hAnsi="Helvetica" w:eastAsia="Helvetica" w:cs="Helvetica"/>
                <w:sz w:val="24"/>
                <w:szCs w:val="24"/>
              </w:rPr>
            </w:pPr>
            <w:r>
              <w:rPr>
                <w:rFonts w:hint="default" w:ascii="Helvetica" w:hAnsi="Helvetica" w:eastAsia="Helvetica" w:cs="Helvetica"/>
                <w:i w:val="0"/>
                <w:iCs w:val="0"/>
                <w:caps w:val="0"/>
                <w:color w:val="555555"/>
                <w:spacing w:val="0"/>
                <w:sz w:val="24"/>
                <w:szCs w:val="24"/>
                <w:bdr w:val="none" w:color="auto" w:sz="0" w:space="0"/>
              </w:rPr>
              <w:t>0798-8332097(区防汛办公室)</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11" w:hRule="atLeast"/>
          <w:tblCellSpacing w:w="0" w:type="dxa"/>
        </w:trPr>
        <w:tc>
          <w:tcPr>
            <w:tcW w:w="3315" w:type="dxa"/>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rFonts w:hint="default" w:ascii="Helvetica" w:hAnsi="Helvetica" w:eastAsia="Helvetica" w:cs="Helvetica"/>
                <w:sz w:val="24"/>
                <w:szCs w:val="24"/>
              </w:rPr>
            </w:pPr>
            <w:r>
              <w:rPr>
                <w:rFonts w:hint="default" w:ascii="Helvetica" w:hAnsi="Helvetica" w:eastAsia="Helvetica" w:cs="Helvetica"/>
                <w:i w:val="0"/>
                <w:iCs w:val="0"/>
                <w:caps w:val="0"/>
                <w:color w:val="555555"/>
                <w:spacing w:val="0"/>
                <w:sz w:val="24"/>
                <w:szCs w:val="24"/>
                <w:bdr w:val="none" w:color="auto" w:sz="0" w:space="0"/>
              </w:rPr>
              <w:t>市自然资源和规划局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rFonts w:hint="default" w:ascii="Helvetica" w:hAnsi="Helvetica" w:eastAsia="Helvetica" w:cs="Helvetica"/>
                <w:sz w:val="24"/>
                <w:szCs w:val="24"/>
              </w:rPr>
            </w:pPr>
            <w:r>
              <w:rPr>
                <w:rFonts w:hint="default" w:ascii="Helvetica" w:hAnsi="Helvetica" w:eastAsia="Helvetica" w:cs="Helvetica"/>
                <w:i w:val="0"/>
                <w:iCs w:val="0"/>
                <w:caps w:val="0"/>
                <w:color w:val="555555"/>
                <w:spacing w:val="0"/>
                <w:sz w:val="24"/>
                <w:szCs w:val="24"/>
                <w:bdr w:val="none" w:color="auto" w:sz="0" w:space="0"/>
              </w:rPr>
              <w:t>昌江分局</w:t>
            </w:r>
          </w:p>
        </w:tc>
        <w:tc>
          <w:tcPr>
            <w:tcW w:w="5640" w:type="dxa"/>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rFonts w:hint="default" w:ascii="Helvetica" w:hAnsi="Helvetica" w:eastAsia="Helvetica" w:cs="Helvetica"/>
                <w:sz w:val="24"/>
                <w:szCs w:val="24"/>
              </w:rPr>
            </w:pPr>
            <w:r>
              <w:rPr>
                <w:rFonts w:hint="default" w:ascii="Helvetica" w:hAnsi="Helvetica" w:eastAsia="Helvetica" w:cs="Helvetica"/>
                <w:i w:val="0"/>
                <w:iCs w:val="0"/>
                <w:caps w:val="0"/>
                <w:color w:val="555555"/>
                <w:spacing w:val="0"/>
                <w:sz w:val="24"/>
                <w:szCs w:val="24"/>
                <w:bdr w:val="none" w:color="auto" w:sz="0" w:space="0"/>
              </w:rPr>
              <w:t>0798-8335828(地质资源环境股)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rFonts w:hint="default" w:ascii="Helvetica" w:hAnsi="Helvetica" w:eastAsia="Helvetica" w:cs="Helvetica"/>
                <w:sz w:val="24"/>
                <w:szCs w:val="24"/>
              </w:rPr>
            </w:pPr>
            <w:r>
              <w:rPr>
                <w:rFonts w:hint="default" w:ascii="Helvetica" w:hAnsi="Helvetica" w:eastAsia="Helvetica" w:cs="Helvetica"/>
                <w:i w:val="0"/>
                <w:iCs w:val="0"/>
                <w:caps w:val="0"/>
                <w:color w:val="555555"/>
                <w:spacing w:val="0"/>
                <w:sz w:val="24"/>
                <w:szCs w:val="24"/>
                <w:bdr w:val="none" w:color="auto" w:sz="0" w:space="0"/>
              </w:rPr>
              <w:t>0798-8335819(值班室)</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附件二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地质灾害灾情和险情分级标准表</w:t>
      </w:r>
    </w:p>
    <w:tbl>
      <w:tblPr>
        <w:tblW w:w="14250"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1894"/>
        <w:gridCol w:w="2549"/>
        <w:gridCol w:w="2519"/>
        <w:gridCol w:w="1849"/>
        <w:gridCol w:w="2519"/>
        <w:gridCol w:w="292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05" w:hRule="atLeast"/>
          <w:tblCellSpacing w:w="0" w:type="dxa"/>
        </w:trPr>
        <w:tc>
          <w:tcPr>
            <w:tcW w:w="1260" w:type="dxa"/>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rFonts w:hint="default" w:ascii="Helvetica" w:hAnsi="Helvetica" w:eastAsia="Helvetica" w:cs="Helvetica"/>
                <w:sz w:val="24"/>
                <w:szCs w:val="24"/>
              </w:rPr>
            </w:pPr>
            <w:r>
              <w:rPr>
                <w:rFonts w:hint="default" w:ascii="Helvetica" w:hAnsi="Helvetica" w:eastAsia="Helvetica" w:cs="Helvetica"/>
                <w:i w:val="0"/>
                <w:iCs w:val="0"/>
                <w:caps w:val="0"/>
                <w:color w:val="555555"/>
                <w:spacing w:val="0"/>
                <w:sz w:val="24"/>
                <w:szCs w:val="24"/>
                <w:bdr w:val="none" w:color="auto" w:sz="0" w:space="0"/>
              </w:rPr>
              <w:t>灾情分级</w:t>
            </w:r>
          </w:p>
        </w:tc>
        <w:tc>
          <w:tcPr>
            <w:tcW w:w="1695" w:type="dxa"/>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rFonts w:hint="default" w:ascii="Helvetica" w:hAnsi="Helvetica" w:eastAsia="Helvetica" w:cs="Helvetica"/>
                <w:sz w:val="24"/>
                <w:szCs w:val="24"/>
              </w:rPr>
            </w:pPr>
            <w:r>
              <w:rPr>
                <w:rFonts w:hint="default" w:ascii="Helvetica" w:hAnsi="Helvetica" w:eastAsia="Helvetica" w:cs="Helvetica"/>
                <w:i w:val="0"/>
                <w:iCs w:val="0"/>
                <w:caps w:val="0"/>
                <w:color w:val="555555"/>
                <w:spacing w:val="0"/>
                <w:sz w:val="24"/>
                <w:szCs w:val="24"/>
                <w:bdr w:val="none" w:color="auto" w:sz="0" w:space="0"/>
              </w:rPr>
              <w:t>死亡人数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rFonts w:hint="default" w:ascii="Helvetica" w:hAnsi="Helvetica" w:eastAsia="Helvetica" w:cs="Helvetica"/>
                <w:sz w:val="24"/>
                <w:szCs w:val="24"/>
              </w:rPr>
            </w:pPr>
            <w:r>
              <w:rPr>
                <w:rFonts w:hint="default" w:ascii="Helvetica" w:hAnsi="Helvetica" w:eastAsia="Helvetica" w:cs="Helvetica"/>
                <w:i w:val="0"/>
                <w:iCs w:val="0"/>
                <w:caps w:val="0"/>
                <w:color w:val="555555"/>
                <w:spacing w:val="0"/>
                <w:sz w:val="24"/>
                <w:szCs w:val="24"/>
                <w:bdr w:val="none" w:color="auto" w:sz="0" w:space="0"/>
              </w:rPr>
              <w:t>(人)</w:t>
            </w:r>
          </w:p>
        </w:tc>
        <w:tc>
          <w:tcPr>
            <w:tcW w:w="1500" w:type="dxa"/>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rFonts w:hint="default" w:ascii="Helvetica" w:hAnsi="Helvetica" w:eastAsia="Helvetica" w:cs="Helvetica"/>
                <w:sz w:val="24"/>
                <w:szCs w:val="24"/>
              </w:rPr>
            </w:pPr>
            <w:r>
              <w:rPr>
                <w:rFonts w:hint="default" w:ascii="Helvetica" w:hAnsi="Helvetica" w:eastAsia="Helvetica" w:cs="Helvetica"/>
                <w:i w:val="0"/>
                <w:iCs w:val="0"/>
                <w:caps w:val="0"/>
                <w:color w:val="555555"/>
                <w:spacing w:val="0"/>
                <w:sz w:val="24"/>
                <w:szCs w:val="24"/>
                <w:bdr w:val="none" w:color="auto" w:sz="0" w:space="0"/>
              </w:rPr>
              <w:t>直接经济损失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rFonts w:hint="default" w:ascii="Helvetica" w:hAnsi="Helvetica" w:eastAsia="Helvetica" w:cs="Helvetica"/>
                <w:sz w:val="24"/>
                <w:szCs w:val="24"/>
              </w:rPr>
            </w:pPr>
            <w:r>
              <w:rPr>
                <w:rFonts w:hint="default" w:ascii="Helvetica" w:hAnsi="Helvetica" w:eastAsia="Helvetica" w:cs="Helvetica"/>
                <w:i w:val="0"/>
                <w:iCs w:val="0"/>
                <w:caps w:val="0"/>
                <w:color w:val="555555"/>
                <w:spacing w:val="0"/>
                <w:sz w:val="24"/>
                <w:szCs w:val="24"/>
                <w:bdr w:val="none" w:color="auto" w:sz="0" w:space="0"/>
              </w:rPr>
              <w:t>(万元)</w:t>
            </w:r>
          </w:p>
        </w:tc>
        <w:tc>
          <w:tcPr>
            <w:tcW w:w="1230" w:type="dxa"/>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rFonts w:hint="default" w:ascii="Helvetica" w:hAnsi="Helvetica" w:eastAsia="Helvetica" w:cs="Helvetica"/>
                <w:sz w:val="24"/>
                <w:szCs w:val="24"/>
              </w:rPr>
            </w:pPr>
            <w:r>
              <w:rPr>
                <w:rFonts w:hint="default" w:ascii="Helvetica" w:hAnsi="Helvetica" w:eastAsia="Helvetica" w:cs="Helvetica"/>
                <w:i w:val="0"/>
                <w:iCs w:val="0"/>
                <w:caps w:val="0"/>
                <w:color w:val="555555"/>
                <w:spacing w:val="0"/>
                <w:sz w:val="24"/>
                <w:szCs w:val="24"/>
                <w:bdr w:val="none" w:color="auto" w:sz="0" w:space="0"/>
              </w:rPr>
              <w:t>险情分级</w:t>
            </w:r>
          </w:p>
        </w:tc>
        <w:tc>
          <w:tcPr>
            <w:tcW w:w="1185" w:type="dxa"/>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rFonts w:hint="default" w:ascii="Helvetica" w:hAnsi="Helvetica" w:eastAsia="Helvetica" w:cs="Helvetica"/>
                <w:sz w:val="24"/>
                <w:szCs w:val="24"/>
              </w:rPr>
            </w:pPr>
            <w:r>
              <w:rPr>
                <w:rFonts w:hint="default" w:ascii="Helvetica" w:hAnsi="Helvetica" w:eastAsia="Helvetica" w:cs="Helvetica"/>
                <w:i w:val="0"/>
                <w:iCs w:val="0"/>
                <w:caps w:val="0"/>
                <w:color w:val="555555"/>
                <w:spacing w:val="0"/>
                <w:sz w:val="24"/>
                <w:szCs w:val="24"/>
                <w:bdr w:val="none" w:color="auto" w:sz="0" w:space="0"/>
              </w:rPr>
              <w:t>受威胁人数(人)</w:t>
            </w:r>
          </w:p>
        </w:tc>
        <w:tc>
          <w:tcPr>
            <w:tcW w:w="1620" w:type="dxa"/>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rFonts w:hint="default" w:ascii="Helvetica" w:hAnsi="Helvetica" w:eastAsia="Helvetica" w:cs="Helvetica"/>
                <w:sz w:val="24"/>
                <w:szCs w:val="24"/>
              </w:rPr>
            </w:pPr>
            <w:r>
              <w:rPr>
                <w:rFonts w:hint="default" w:ascii="Helvetica" w:hAnsi="Helvetica" w:eastAsia="Helvetica" w:cs="Helvetica"/>
                <w:i w:val="0"/>
                <w:iCs w:val="0"/>
                <w:caps w:val="0"/>
                <w:color w:val="555555"/>
                <w:spacing w:val="0"/>
                <w:sz w:val="24"/>
                <w:szCs w:val="24"/>
                <w:bdr w:val="none" w:color="auto" w:sz="0" w:space="0"/>
              </w:rPr>
              <w:t>潜在经济损失(万元)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95" w:hRule="atLeast"/>
          <w:tblCellSpacing w:w="0" w:type="dxa"/>
        </w:trPr>
        <w:tc>
          <w:tcPr>
            <w:tcW w:w="1260" w:type="dxa"/>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rFonts w:hint="default" w:ascii="Helvetica" w:hAnsi="Helvetica" w:eastAsia="Helvetica" w:cs="Helvetica"/>
                <w:sz w:val="24"/>
                <w:szCs w:val="24"/>
              </w:rPr>
            </w:pPr>
            <w:r>
              <w:rPr>
                <w:rFonts w:hint="default" w:ascii="Helvetica" w:hAnsi="Helvetica" w:eastAsia="Helvetica" w:cs="Helvetica"/>
                <w:i w:val="0"/>
                <w:iCs w:val="0"/>
                <w:caps w:val="0"/>
                <w:color w:val="555555"/>
                <w:spacing w:val="0"/>
                <w:sz w:val="24"/>
                <w:szCs w:val="24"/>
                <w:bdr w:val="none" w:color="auto" w:sz="0" w:space="0"/>
              </w:rPr>
              <w:t>特大型</w:t>
            </w:r>
          </w:p>
        </w:tc>
        <w:tc>
          <w:tcPr>
            <w:tcW w:w="1695" w:type="dxa"/>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rFonts w:hint="default" w:ascii="Helvetica" w:hAnsi="Helvetica" w:eastAsia="Helvetica" w:cs="Helvetica"/>
                <w:sz w:val="24"/>
                <w:szCs w:val="24"/>
              </w:rPr>
            </w:pPr>
            <w:r>
              <w:rPr>
                <w:rFonts w:hint="default" w:ascii="Helvetica" w:hAnsi="Helvetica" w:eastAsia="Helvetica" w:cs="Helvetica"/>
                <w:i w:val="0"/>
                <w:iCs w:val="0"/>
                <w:caps w:val="0"/>
                <w:color w:val="555555"/>
                <w:spacing w:val="0"/>
                <w:sz w:val="24"/>
                <w:szCs w:val="24"/>
                <w:bdr w:val="none" w:color="auto" w:sz="0" w:space="0"/>
              </w:rPr>
              <w:t>≥30</w:t>
            </w:r>
          </w:p>
        </w:tc>
        <w:tc>
          <w:tcPr>
            <w:tcW w:w="1500" w:type="dxa"/>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rFonts w:hint="default" w:ascii="Helvetica" w:hAnsi="Helvetica" w:eastAsia="Helvetica" w:cs="Helvetica"/>
                <w:sz w:val="24"/>
                <w:szCs w:val="24"/>
              </w:rPr>
            </w:pPr>
            <w:r>
              <w:rPr>
                <w:rFonts w:hint="default" w:ascii="Helvetica" w:hAnsi="Helvetica" w:eastAsia="Helvetica" w:cs="Helvetica"/>
                <w:i w:val="0"/>
                <w:iCs w:val="0"/>
                <w:caps w:val="0"/>
                <w:color w:val="555555"/>
                <w:spacing w:val="0"/>
                <w:sz w:val="24"/>
                <w:szCs w:val="24"/>
                <w:bdr w:val="none" w:color="auto" w:sz="0" w:space="0"/>
              </w:rPr>
              <w:t>≥1000</w:t>
            </w:r>
          </w:p>
        </w:tc>
        <w:tc>
          <w:tcPr>
            <w:tcW w:w="1230" w:type="dxa"/>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rFonts w:hint="default" w:ascii="Helvetica" w:hAnsi="Helvetica" w:eastAsia="Helvetica" w:cs="Helvetica"/>
                <w:sz w:val="24"/>
                <w:szCs w:val="24"/>
              </w:rPr>
            </w:pPr>
            <w:r>
              <w:rPr>
                <w:rFonts w:hint="default" w:ascii="Helvetica" w:hAnsi="Helvetica" w:eastAsia="Helvetica" w:cs="Helvetica"/>
                <w:i w:val="0"/>
                <w:iCs w:val="0"/>
                <w:caps w:val="0"/>
                <w:color w:val="555555"/>
                <w:spacing w:val="0"/>
                <w:sz w:val="24"/>
                <w:szCs w:val="24"/>
                <w:bdr w:val="none" w:color="auto" w:sz="0" w:space="0"/>
              </w:rPr>
              <w:t>特大型</w:t>
            </w:r>
          </w:p>
        </w:tc>
        <w:tc>
          <w:tcPr>
            <w:tcW w:w="1185" w:type="dxa"/>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rFonts w:hint="default" w:ascii="Helvetica" w:hAnsi="Helvetica" w:eastAsia="Helvetica" w:cs="Helvetica"/>
                <w:sz w:val="24"/>
                <w:szCs w:val="24"/>
              </w:rPr>
            </w:pPr>
            <w:r>
              <w:rPr>
                <w:rFonts w:hint="default" w:ascii="Helvetica" w:hAnsi="Helvetica" w:eastAsia="Helvetica" w:cs="Helvetica"/>
                <w:i w:val="0"/>
                <w:iCs w:val="0"/>
                <w:caps w:val="0"/>
                <w:color w:val="555555"/>
                <w:spacing w:val="0"/>
                <w:sz w:val="24"/>
                <w:szCs w:val="24"/>
                <w:bdr w:val="none" w:color="auto" w:sz="0" w:space="0"/>
              </w:rPr>
              <w:t>≥1000</w:t>
            </w:r>
          </w:p>
        </w:tc>
        <w:tc>
          <w:tcPr>
            <w:tcW w:w="1620" w:type="dxa"/>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rFonts w:hint="default" w:ascii="Helvetica" w:hAnsi="Helvetica" w:eastAsia="Helvetica" w:cs="Helvetica"/>
                <w:sz w:val="24"/>
                <w:szCs w:val="24"/>
              </w:rPr>
            </w:pPr>
            <w:r>
              <w:rPr>
                <w:rFonts w:hint="default" w:ascii="Helvetica" w:hAnsi="Helvetica" w:eastAsia="Helvetica" w:cs="Helvetica"/>
                <w:i w:val="0"/>
                <w:iCs w:val="0"/>
                <w:caps w:val="0"/>
                <w:color w:val="555555"/>
                <w:spacing w:val="0"/>
                <w:sz w:val="24"/>
                <w:szCs w:val="24"/>
                <w:bdr w:val="none" w:color="auto" w:sz="0" w:space="0"/>
              </w:rPr>
              <w:t>≥10000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05" w:hRule="atLeast"/>
          <w:tblCellSpacing w:w="0" w:type="dxa"/>
        </w:trPr>
        <w:tc>
          <w:tcPr>
            <w:tcW w:w="1260" w:type="dxa"/>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rFonts w:hint="default" w:ascii="Helvetica" w:hAnsi="Helvetica" w:eastAsia="Helvetica" w:cs="Helvetica"/>
                <w:sz w:val="24"/>
                <w:szCs w:val="24"/>
              </w:rPr>
            </w:pPr>
            <w:r>
              <w:rPr>
                <w:rFonts w:hint="default" w:ascii="Helvetica" w:hAnsi="Helvetica" w:eastAsia="Helvetica" w:cs="Helvetica"/>
                <w:i w:val="0"/>
                <w:iCs w:val="0"/>
                <w:caps w:val="0"/>
                <w:color w:val="555555"/>
                <w:spacing w:val="0"/>
                <w:sz w:val="24"/>
                <w:szCs w:val="24"/>
                <w:bdr w:val="none" w:color="auto" w:sz="0" w:space="0"/>
              </w:rPr>
              <w:t>大型</w:t>
            </w:r>
          </w:p>
        </w:tc>
        <w:tc>
          <w:tcPr>
            <w:tcW w:w="1695" w:type="dxa"/>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rFonts w:hint="default" w:ascii="Helvetica" w:hAnsi="Helvetica" w:eastAsia="Helvetica" w:cs="Helvetica"/>
                <w:sz w:val="24"/>
                <w:szCs w:val="24"/>
              </w:rPr>
            </w:pPr>
            <w:r>
              <w:rPr>
                <w:rFonts w:hint="default" w:ascii="Helvetica" w:hAnsi="Helvetica" w:eastAsia="Helvetica" w:cs="Helvetica"/>
                <w:i w:val="0"/>
                <w:iCs w:val="0"/>
                <w:caps w:val="0"/>
                <w:color w:val="555555"/>
                <w:spacing w:val="0"/>
                <w:sz w:val="24"/>
                <w:szCs w:val="24"/>
                <w:bdr w:val="none" w:color="auto" w:sz="0" w:space="0"/>
              </w:rPr>
              <w:t>10~30</w:t>
            </w:r>
          </w:p>
        </w:tc>
        <w:tc>
          <w:tcPr>
            <w:tcW w:w="1500" w:type="dxa"/>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rFonts w:hint="default" w:ascii="Helvetica" w:hAnsi="Helvetica" w:eastAsia="Helvetica" w:cs="Helvetica"/>
                <w:sz w:val="24"/>
                <w:szCs w:val="24"/>
              </w:rPr>
            </w:pPr>
            <w:r>
              <w:rPr>
                <w:rFonts w:hint="default" w:ascii="Helvetica" w:hAnsi="Helvetica" w:eastAsia="Helvetica" w:cs="Helvetica"/>
                <w:i w:val="0"/>
                <w:iCs w:val="0"/>
                <w:caps w:val="0"/>
                <w:color w:val="555555"/>
                <w:spacing w:val="0"/>
                <w:sz w:val="24"/>
                <w:szCs w:val="24"/>
                <w:bdr w:val="none" w:color="auto" w:sz="0" w:space="0"/>
              </w:rPr>
              <w:t>500~1000</w:t>
            </w:r>
          </w:p>
        </w:tc>
        <w:tc>
          <w:tcPr>
            <w:tcW w:w="1230" w:type="dxa"/>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rFonts w:hint="default" w:ascii="Helvetica" w:hAnsi="Helvetica" w:eastAsia="Helvetica" w:cs="Helvetica"/>
                <w:sz w:val="24"/>
                <w:szCs w:val="24"/>
              </w:rPr>
            </w:pPr>
            <w:r>
              <w:rPr>
                <w:rFonts w:hint="default" w:ascii="Helvetica" w:hAnsi="Helvetica" w:eastAsia="Helvetica" w:cs="Helvetica"/>
                <w:i w:val="0"/>
                <w:iCs w:val="0"/>
                <w:caps w:val="0"/>
                <w:color w:val="555555"/>
                <w:spacing w:val="0"/>
                <w:sz w:val="24"/>
                <w:szCs w:val="24"/>
                <w:bdr w:val="none" w:color="auto" w:sz="0" w:space="0"/>
              </w:rPr>
              <w:t>大型</w:t>
            </w:r>
          </w:p>
        </w:tc>
        <w:tc>
          <w:tcPr>
            <w:tcW w:w="1185" w:type="dxa"/>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rFonts w:hint="default" w:ascii="Helvetica" w:hAnsi="Helvetica" w:eastAsia="Helvetica" w:cs="Helvetica"/>
                <w:sz w:val="24"/>
                <w:szCs w:val="24"/>
              </w:rPr>
            </w:pPr>
            <w:r>
              <w:rPr>
                <w:rFonts w:hint="default" w:ascii="Helvetica" w:hAnsi="Helvetica" w:eastAsia="Helvetica" w:cs="Helvetica"/>
                <w:i w:val="0"/>
                <w:iCs w:val="0"/>
                <w:caps w:val="0"/>
                <w:color w:val="555555"/>
                <w:spacing w:val="0"/>
                <w:sz w:val="24"/>
                <w:szCs w:val="24"/>
                <w:bdr w:val="none" w:color="auto" w:sz="0" w:space="0"/>
              </w:rPr>
              <w:t>500~1000</w:t>
            </w:r>
          </w:p>
        </w:tc>
        <w:tc>
          <w:tcPr>
            <w:tcW w:w="1620" w:type="dxa"/>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rFonts w:hint="default" w:ascii="Helvetica" w:hAnsi="Helvetica" w:eastAsia="Helvetica" w:cs="Helvetica"/>
                <w:sz w:val="24"/>
                <w:szCs w:val="24"/>
              </w:rPr>
            </w:pPr>
            <w:r>
              <w:rPr>
                <w:rFonts w:hint="default" w:ascii="Helvetica" w:hAnsi="Helvetica" w:eastAsia="Helvetica" w:cs="Helvetica"/>
                <w:i w:val="0"/>
                <w:iCs w:val="0"/>
                <w:caps w:val="0"/>
                <w:color w:val="555555"/>
                <w:spacing w:val="0"/>
                <w:sz w:val="24"/>
                <w:szCs w:val="24"/>
                <w:bdr w:val="none" w:color="auto" w:sz="0" w:space="0"/>
              </w:rPr>
              <w:t>5000~10000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125" w:hRule="atLeast"/>
          <w:tblCellSpacing w:w="0" w:type="dxa"/>
        </w:trPr>
        <w:tc>
          <w:tcPr>
            <w:tcW w:w="1260" w:type="dxa"/>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rFonts w:hint="default" w:ascii="Helvetica" w:hAnsi="Helvetica" w:eastAsia="Helvetica" w:cs="Helvetica"/>
                <w:sz w:val="24"/>
                <w:szCs w:val="24"/>
              </w:rPr>
            </w:pPr>
            <w:r>
              <w:rPr>
                <w:rFonts w:hint="default" w:ascii="Helvetica" w:hAnsi="Helvetica" w:eastAsia="Helvetica" w:cs="Helvetica"/>
                <w:i w:val="0"/>
                <w:iCs w:val="0"/>
                <w:caps w:val="0"/>
                <w:color w:val="555555"/>
                <w:spacing w:val="0"/>
                <w:sz w:val="24"/>
                <w:szCs w:val="24"/>
                <w:bdr w:val="none" w:color="auto" w:sz="0" w:space="0"/>
              </w:rPr>
              <w:t>中型</w:t>
            </w:r>
          </w:p>
        </w:tc>
        <w:tc>
          <w:tcPr>
            <w:tcW w:w="1695" w:type="dxa"/>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rFonts w:hint="default" w:ascii="Helvetica" w:hAnsi="Helvetica" w:eastAsia="Helvetica" w:cs="Helvetica"/>
                <w:sz w:val="24"/>
                <w:szCs w:val="24"/>
              </w:rPr>
            </w:pPr>
            <w:r>
              <w:rPr>
                <w:rFonts w:hint="default" w:ascii="Helvetica" w:hAnsi="Helvetica" w:eastAsia="Helvetica" w:cs="Helvetica"/>
                <w:i w:val="0"/>
                <w:iCs w:val="0"/>
                <w:caps w:val="0"/>
                <w:color w:val="555555"/>
                <w:spacing w:val="0"/>
                <w:sz w:val="24"/>
                <w:szCs w:val="24"/>
                <w:bdr w:val="none" w:color="auto" w:sz="0" w:space="0"/>
              </w:rPr>
              <w:t>3~10</w:t>
            </w:r>
          </w:p>
        </w:tc>
        <w:tc>
          <w:tcPr>
            <w:tcW w:w="1500" w:type="dxa"/>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rFonts w:hint="default" w:ascii="Helvetica" w:hAnsi="Helvetica" w:eastAsia="Helvetica" w:cs="Helvetica"/>
                <w:sz w:val="24"/>
                <w:szCs w:val="24"/>
              </w:rPr>
            </w:pPr>
            <w:r>
              <w:rPr>
                <w:rFonts w:hint="default" w:ascii="Helvetica" w:hAnsi="Helvetica" w:eastAsia="Helvetica" w:cs="Helvetica"/>
                <w:i w:val="0"/>
                <w:iCs w:val="0"/>
                <w:caps w:val="0"/>
                <w:color w:val="555555"/>
                <w:spacing w:val="0"/>
                <w:sz w:val="24"/>
                <w:szCs w:val="24"/>
                <w:bdr w:val="none" w:color="auto" w:sz="0" w:space="0"/>
              </w:rPr>
              <w:t>100~500</w:t>
            </w:r>
          </w:p>
        </w:tc>
        <w:tc>
          <w:tcPr>
            <w:tcW w:w="1230" w:type="dxa"/>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rFonts w:hint="default" w:ascii="Helvetica" w:hAnsi="Helvetica" w:eastAsia="Helvetica" w:cs="Helvetica"/>
                <w:sz w:val="24"/>
                <w:szCs w:val="24"/>
              </w:rPr>
            </w:pPr>
            <w:r>
              <w:rPr>
                <w:rFonts w:hint="default" w:ascii="Helvetica" w:hAnsi="Helvetica" w:eastAsia="Helvetica" w:cs="Helvetica"/>
                <w:i w:val="0"/>
                <w:iCs w:val="0"/>
                <w:caps w:val="0"/>
                <w:color w:val="555555"/>
                <w:spacing w:val="0"/>
                <w:sz w:val="24"/>
                <w:szCs w:val="24"/>
                <w:bdr w:val="none" w:color="auto" w:sz="0" w:space="0"/>
              </w:rPr>
              <w:t>中型</w:t>
            </w:r>
          </w:p>
        </w:tc>
        <w:tc>
          <w:tcPr>
            <w:tcW w:w="1185" w:type="dxa"/>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rFonts w:hint="default" w:ascii="Helvetica" w:hAnsi="Helvetica" w:eastAsia="Helvetica" w:cs="Helvetica"/>
                <w:sz w:val="24"/>
                <w:szCs w:val="24"/>
              </w:rPr>
            </w:pPr>
            <w:r>
              <w:rPr>
                <w:rFonts w:hint="default" w:ascii="Helvetica" w:hAnsi="Helvetica" w:eastAsia="Helvetica" w:cs="Helvetica"/>
                <w:i w:val="0"/>
                <w:iCs w:val="0"/>
                <w:caps w:val="0"/>
                <w:color w:val="555555"/>
                <w:spacing w:val="0"/>
                <w:sz w:val="24"/>
                <w:szCs w:val="24"/>
                <w:bdr w:val="none" w:color="auto" w:sz="0" w:space="0"/>
              </w:rPr>
              <w:t>100~500</w:t>
            </w:r>
          </w:p>
        </w:tc>
        <w:tc>
          <w:tcPr>
            <w:tcW w:w="1620" w:type="dxa"/>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rFonts w:hint="default" w:ascii="Helvetica" w:hAnsi="Helvetica" w:eastAsia="Helvetica" w:cs="Helvetica"/>
                <w:sz w:val="24"/>
                <w:szCs w:val="24"/>
              </w:rPr>
            </w:pPr>
            <w:r>
              <w:rPr>
                <w:rFonts w:hint="default" w:ascii="Helvetica" w:hAnsi="Helvetica" w:eastAsia="Helvetica" w:cs="Helvetica"/>
                <w:i w:val="0"/>
                <w:iCs w:val="0"/>
                <w:caps w:val="0"/>
                <w:color w:val="555555"/>
                <w:spacing w:val="0"/>
                <w:sz w:val="24"/>
                <w:szCs w:val="24"/>
                <w:bdr w:val="none" w:color="auto" w:sz="0" w:space="0"/>
              </w:rPr>
              <w:t>500~5000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30" w:hRule="atLeast"/>
          <w:tblCellSpacing w:w="0" w:type="dxa"/>
        </w:trPr>
        <w:tc>
          <w:tcPr>
            <w:tcW w:w="1260" w:type="dxa"/>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rFonts w:hint="default" w:ascii="Helvetica" w:hAnsi="Helvetica" w:eastAsia="Helvetica" w:cs="Helvetica"/>
                <w:sz w:val="24"/>
                <w:szCs w:val="24"/>
              </w:rPr>
            </w:pPr>
            <w:r>
              <w:rPr>
                <w:rFonts w:hint="default" w:ascii="Helvetica" w:hAnsi="Helvetica" w:eastAsia="Helvetica" w:cs="Helvetica"/>
                <w:i w:val="0"/>
                <w:iCs w:val="0"/>
                <w:caps w:val="0"/>
                <w:color w:val="555555"/>
                <w:spacing w:val="0"/>
                <w:sz w:val="24"/>
                <w:szCs w:val="24"/>
                <w:bdr w:val="none" w:color="auto" w:sz="0" w:space="0"/>
              </w:rPr>
              <w:t>小型</w:t>
            </w:r>
          </w:p>
        </w:tc>
        <w:tc>
          <w:tcPr>
            <w:tcW w:w="1695" w:type="dxa"/>
            <w:shd w:val="clear" w:color="auto" w:fill="FFFFFF"/>
            <w:tcMar>
              <w:top w:w="75" w:type="dxa"/>
              <w:left w:w="75" w:type="dxa"/>
              <w:bottom w:w="75" w:type="dxa"/>
              <w:right w:w="75" w:type="dxa"/>
            </w:tcMar>
            <w:vAlign w:val="center"/>
          </w:tcPr>
          <w:p>
            <w:pPr>
              <w:jc w:val="center"/>
              <w:rPr>
                <w:rFonts w:hint="default" w:ascii="Helvetica" w:hAnsi="Helvetica" w:eastAsia="Helvetica" w:cs="Helvetica"/>
                <w:i w:val="0"/>
                <w:iCs w:val="0"/>
                <w:caps w:val="0"/>
                <w:color w:val="555555"/>
                <w:spacing w:val="0"/>
                <w:sz w:val="21"/>
                <w:szCs w:val="21"/>
              </w:rPr>
            </w:pPr>
          </w:p>
        </w:tc>
        <w:tc>
          <w:tcPr>
            <w:tcW w:w="1500" w:type="dxa"/>
            <w:shd w:val="clear" w:color="auto" w:fill="FFFFFF"/>
            <w:tcMar>
              <w:top w:w="75" w:type="dxa"/>
              <w:left w:w="75" w:type="dxa"/>
              <w:bottom w:w="75" w:type="dxa"/>
              <w:right w:w="75" w:type="dxa"/>
            </w:tcMar>
            <w:vAlign w:val="center"/>
          </w:tcPr>
          <w:p>
            <w:pPr>
              <w:jc w:val="center"/>
              <w:rPr>
                <w:rFonts w:hint="default" w:ascii="Helvetica" w:hAnsi="Helvetica" w:eastAsia="Helvetica" w:cs="Helvetica"/>
                <w:i w:val="0"/>
                <w:iCs w:val="0"/>
                <w:caps w:val="0"/>
                <w:color w:val="555555"/>
                <w:spacing w:val="0"/>
                <w:sz w:val="21"/>
                <w:szCs w:val="21"/>
              </w:rPr>
            </w:pPr>
          </w:p>
        </w:tc>
        <w:tc>
          <w:tcPr>
            <w:tcW w:w="1230" w:type="dxa"/>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rPr>
                <w:rFonts w:hint="default" w:ascii="Helvetica" w:hAnsi="Helvetica" w:eastAsia="Helvetica" w:cs="Helvetica"/>
                <w:sz w:val="24"/>
                <w:szCs w:val="24"/>
              </w:rPr>
            </w:pPr>
            <w:r>
              <w:rPr>
                <w:rFonts w:hint="default" w:ascii="Helvetica" w:hAnsi="Helvetica" w:eastAsia="Helvetica" w:cs="Helvetica"/>
                <w:i w:val="0"/>
                <w:iCs w:val="0"/>
                <w:caps w:val="0"/>
                <w:color w:val="555555"/>
                <w:spacing w:val="0"/>
                <w:sz w:val="24"/>
                <w:szCs w:val="24"/>
                <w:bdr w:val="none" w:color="auto" w:sz="0" w:space="0"/>
              </w:rPr>
              <w:t>小型</w:t>
            </w:r>
          </w:p>
        </w:tc>
        <w:tc>
          <w:tcPr>
            <w:tcW w:w="1185" w:type="dxa"/>
            <w:shd w:val="clear" w:color="auto" w:fill="FFFFFF"/>
            <w:tcMar>
              <w:top w:w="75" w:type="dxa"/>
              <w:left w:w="75" w:type="dxa"/>
              <w:bottom w:w="75" w:type="dxa"/>
              <w:right w:w="75" w:type="dxa"/>
            </w:tcMar>
            <w:vAlign w:val="center"/>
          </w:tcPr>
          <w:p>
            <w:pPr>
              <w:jc w:val="center"/>
              <w:rPr>
                <w:rFonts w:hint="default" w:ascii="Helvetica" w:hAnsi="Helvetica" w:eastAsia="Helvetica" w:cs="Helvetica"/>
                <w:i w:val="0"/>
                <w:iCs w:val="0"/>
                <w:caps w:val="0"/>
                <w:color w:val="555555"/>
                <w:spacing w:val="0"/>
                <w:sz w:val="21"/>
                <w:szCs w:val="21"/>
              </w:rPr>
            </w:pPr>
          </w:p>
        </w:tc>
        <w:tc>
          <w:tcPr>
            <w:tcW w:w="1620" w:type="dxa"/>
            <w:shd w:val="clear" w:color="auto" w:fill="FFFFFF"/>
            <w:tcMar>
              <w:top w:w="75" w:type="dxa"/>
              <w:left w:w="75" w:type="dxa"/>
              <w:bottom w:w="75" w:type="dxa"/>
              <w:right w:w="75" w:type="dxa"/>
            </w:tcMar>
            <w:vAlign w:val="center"/>
          </w:tcPr>
          <w:p>
            <w:pPr>
              <w:jc w:val="center"/>
              <w:rPr>
                <w:rFonts w:hint="default" w:ascii="Helvetica" w:hAnsi="Helvetica" w:eastAsia="Helvetica" w:cs="Helvetica"/>
                <w:i w:val="0"/>
                <w:iCs w:val="0"/>
                <w:caps w:val="0"/>
                <w:color w:val="555555"/>
                <w:spacing w:val="0"/>
                <w:sz w:val="21"/>
                <w:szCs w:val="21"/>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附件三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昌江区地质灾害速报制度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为快速掌握辖区内突发地质灾害灾情险情及抢险救灾情况，提高突发地质灾害应急反应能力。根据《国家突发事件应对法》、《地质灾害防治条例》、《江西省突发地质灾害应急预案》和自然资源部《关于进一步完善地质灾害速报月报制度的通知》等规定，结合我区实际情况，制订本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一、速报范围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发生造成了人员死亡或失踪的地质灾害;特大型、大型、中型地质灾害险情或灾情;成功避免了人员伤亡或重大财产损失的地质灾害实例。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二、速报时限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1、1小时报告:发生3人以上死亡或失踪的地质灾害，或者大型以上地质灾害险情灾情，昌江分局必须在接报后1小时内速报市自然资源和规划局和省自然资源厅。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2、6小时报告:发生1～2人死亡或失踪的地质灾害或中型地质灾害险情灾情，以及成功避免10人以上伤亡的实例，昌江分局要在接到报告后6小时内报市自然资源和规划局，同时直接速报省自然资源厅。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3、24小时报告:发生有人受伤或直接经济损失10万元以上的地质灾害，以及成功避免了1～9人伤亡或重大财产损失的实例，昌江分局应当在24小时内报告市自然资源和规划局。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三、速报内容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地质灾害速报应尽可能详细说明地质灾害灾情或险情发生的时间、地点、地质灾害类型、灾情体规模、灾害损失或潜在危害、可能的引发因素和发展趋势，以及抢险救灾情况和已采取的对策与措施等。对于有人员伤亡的突发地质灾害，应尽可能提供死亡、失踪和受伤人员名单以及造成的直接经济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根据灾情、险情发生、发展和抢险救灾的最新情况，应当及时进行后续报告。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四、速报的方式与格式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1、电话速报:得知发生地质灾害灾情险情信息，经初步确认后，应在第一时间采用电话速报。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2、传真速报:将确认的地质灾害灾情险情信息，填报“江西省地质灾害灾情(险情)速报表”，以传真形式速报。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3、电子邮件速报:将“江西省地质灾害灾情(险情)速报表”或调查报告及照片，以电子邮件报送，并用电话(或短信)通知收件人。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4、昌江分局应确定专人负责速报工作，将速报人员名单(姓名、职务、固定电话和手机)报市自然资源和规划局备案。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5、成功避灾实例中，避免人员伤亡和财产损失数量应按地质灾害实际影响范围测定，比如地质灾害压埋、推倒房屋内撤离的居住人员或现场活动人员等。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6、任何单位和个人不得以任何理由瞒报、漏报、缓报地质灾害灾情险情。对不按规定时限速报，影响应急处置工作的，要通报批评;造成不良后果的，要追究有关领导和负责人员的责任。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附件四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昌江区地质灾害应急调查制度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为有效避免和降低缓坡、崩塌、泥石流和地面塌陷等突发地质灾害造成的损失，及时、准确查明灾害发生原因、发展趋势，为应急处置提供技术支撑，根据有关规定并结合我区实际、制定本制度。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一、发生造成人员伤亡和重大财产损失的缓坡、崩塌、泥石流、地面塌陷等地质灾害，或者发现重大地质灾害险情，昌江分局应当立即组织专业技术人员赶赴灾害现场，开展应急调查。发生社会热点关注的地质灾害事件，也应组织有关专业技术人员开展应急调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二、地质灾害应急调查实行属地管理和首问负责制，昌江分局负责辖区内突发地质灾害应急调查的组织与实施。技术力量不足可以报告市自然资源和规划局，要求技术支持。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小型地质灾害应急调查由市自然资源和规划局调派专业技术人员协助;中型以上地质灾害应急调查由省厅派专业技术人员协助。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三、地质灾害应急调查的主要内容:地质灾害发生的基本情况、形成条件、诱发因素、稳定状况及发展趋势，地质灾害造成的损失及潜在危害，抢险救灾及应急防治工作情况等。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四、地质灾害应急调查应有2名以上专业技术人员参加，其中1人具有中级以上技术职称。完成现场调查后，应及时把调查结论和应急防治措施与对策建议告知抢险机构和昌江区政府，并在24小时内编制提交地质灾害应急调查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五、地质灾害应急调查人员必须以求真、务实、严谨的科学态度，全面、深入、细致地进行现场调查，实事求是地分析判断，认真编制应急调查报告。因疏忽大意、弄虚作假等导致调查失实并造成严重后果的，要承担相应的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六、地质灾害应急调查的工作经费实行分级负担。调派专业技术人员的工作经费，由调派单位负责。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附件五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地质灾害应急调查报告提纲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一、前言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简述灾害信息来源，应急调查组织及工作情况。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二、地质灾害基本情况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地质灾害的地理位置及坐标，灾害类型、规模，灾害体特征、发生或发行过程、灾害损失与潜在危害等。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三、抢险救灾及应急处置情况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四、地质环境概况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灾害发生地的气象水文、地形地貌、地层岩性、地质构造等。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五、灾害成因分析和发展趋势预测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bookmarkStart w:id="0" w:name="_GoBack1"/>
      <w:bookmarkEnd w:id="0"/>
      <w:r>
        <w:rPr>
          <w:rFonts w:hint="default" w:ascii="Helvetica" w:hAnsi="Helvetica" w:eastAsia="Helvetica" w:cs="Helvetica"/>
          <w:i w:val="0"/>
          <w:iCs w:val="0"/>
          <w:caps w:val="0"/>
          <w:color w:val="555555"/>
          <w:spacing w:val="0"/>
          <w:sz w:val="24"/>
          <w:szCs w:val="24"/>
          <w:bdr w:val="none" w:color="auto" w:sz="0" w:space="0"/>
          <w:shd w:val="clear" w:fill="FFFFFF"/>
        </w:rPr>
        <w:t>分析灾害形成和发生原因，评价其稳定性，预测灾害变化和发展趋势，并进行潜在危害程度评估。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六、防治措施与对策建议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七、附图与附件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反映地质灾害位置及形成条件的大比例尺平面、剖面图;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反映地质灾害全貌和主要特征的现场照片。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昌江区人民政府办公室           2021年5月6日印发</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747195"/>
    <w:rsid w:val="777471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2021-12-17T01:37:00Z</dcterms:created>
  <dc:creator>陈磊</dc:creator>
  <cp:lastModifiedBy>陈磊</cp:lastModifiedBy>
  <dcterms:modified xsi:type="dcterms:W3CDTF">2021-12-17T01:38:27Z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CAAE7DEB02024366A8640435D1CF00A3</vt:lpwstr>
  </property>
</Properties>
</file>