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color w:val="000000"/>
          <w:kern w:val="0"/>
          <w:sz w:val="44"/>
          <w:szCs w:val="44"/>
        </w:rPr>
      </w:pPr>
      <w:r>
        <w:rPr>
          <w:rFonts w:hint="eastAsia" w:ascii="方正小标宋简体" w:hAnsi="方正小标宋简体" w:eastAsia="方正小标宋简体" w:cs="方正小标宋简体"/>
          <w:b w:val="0"/>
          <w:bCs w:val="0"/>
          <w:color w:val="000000"/>
          <w:kern w:val="0"/>
          <w:sz w:val="44"/>
          <w:szCs w:val="44"/>
          <w:lang w:val="en-US" w:eastAsia="zh-CN"/>
        </w:rPr>
        <w:t>昌江区鲇鱼山镇人民政府</w:t>
      </w:r>
      <w:r>
        <w:rPr>
          <w:rFonts w:hint="eastAsia" w:ascii="方正小标宋简体" w:hAnsi="方正小标宋简体" w:eastAsia="方正小标宋简体" w:cs="方正小标宋简体"/>
          <w:b w:val="0"/>
          <w:bCs w:val="0"/>
          <w:color w:val="000000"/>
          <w:kern w:val="0"/>
          <w:sz w:val="44"/>
          <w:szCs w:val="44"/>
          <w:lang w:eastAsia="zh-CN"/>
        </w:rPr>
        <w:t>202</w:t>
      </w:r>
      <w:r>
        <w:rPr>
          <w:rFonts w:hint="eastAsia" w:ascii="方正小标宋简体" w:hAnsi="方正小标宋简体" w:eastAsia="方正小标宋简体" w:cs="方正小标宋简体"/>
          <w:b w:val="0"/>
          <w:bCs w:val="0"/>
          <w:color w:val="000000"/>
          <w:kern w:val="0"/>
          <w:sz w:val="44"/>
          <w:szCs w:val="44"/>
          <w:lang w:val="en-US" w:eastAsia="zh-CN"/>
        </w:rPr>
        <w:t>5</w:t>
      </w:r>
      <w:r>
        <w:rPr>
          <w:rFonts w:hint="eastAsia" w:ascii="方正小标宋简体" w:hAnsi="方正小标宋简体" w:eastAsia="方正小标宋简体" w:cs="方正小标宋简体"/>
          <w:b w:val="0"/>
          <w:bCs w:val="0"/>
          <w:color w:val="000000"/>
          <w:kern w:val="0"/>
          <w:sz w:val="44"/>
          <w:szCs w:val="44"/>
        </w:rPr>
        <w:t>年部门预算</w:t>
      </w: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方正大标宋简体" w:hAnsi="方正大标宋简体" w:eastAsia="方正大标宋简体" w:cs="方正大标宋简体"/>
          <w:b w:val="0"/>
          <w:bCs w:val="0"/>
          <w:color w:val="000000"/>
          <w:kern w:val="0"/>
          <w:sz w:val="44"/>
          <w:szCs w:val="44"/>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方正大标宋简体" w:hAnsi="方正大标宋简体" w:eastAsia="方正大标宋简体" w:cs="方正大标宋简体"/>
          <w:b w:val="0"/>
          <w:bCs w:val="0"/>
          <w:color w:val="000000"/>
          <w:kern w:val="0"/>
          <w:sz w:val="44"/>
          <w:szCs w:val="44"/>
        </w:rPr>
      </w:pPr>
    </w:p>
    <w:p>
      <w:pPr>
        <w:pStyle w:val="12"/>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黑体" w:hAnsi="黑体" w:eastAsia="黑体"/>
          <w:color w:val="000000"/>
          <w:sz w:val="32"/>
          <w:szCs w:val="32"/>
        </w:rPr>
      </w:pPr>
      <w:r>
        <w:rPr>
          <w:rFonts w:hint="eastAsia" w:ascii="黑体" w:hAnsi="黑体" w:eastAsia="黑体"/>
          <w:color w:val="000000"/>
          <w:sz w:val="32"/>
          <w:szCs w:val="32"/>
        </w:rPr>
        <w:t>目    录</w:t>
      </w:r>
    </w:p>
    <w:p>
      <w:pPr>
        <w:pStyle w:val="12"/>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黑体" w:hAnsi="黑体" w:eastAsia="黑体"/>
          <w:color w:val="000000"/>
          <w:sz w:val="32"/>
          <w:szCs w:val="32"/>
        </w:rPr>
      </w:pPr>
    </w:p>
    <w:p>
      <w:pPr>
        <w:pStyle w:val="12"/>
        <w:keepNext w:val="0"/>
        <w:keepLines w:val="0"/>
        <w:pageBreakBefore w:val="0"/>
        <w:widowControl/>
        <w:tabs>
          <w:tab w:val="right" w:pos="8306"/>
        </w:tabs>
        <w:kinsoku/>
        <w:wordWrap/>
        <w:overflowPunct/>
        <w:topLinePunct w:val="0"/>
        <w:autoSpaceDE/>
        <w:autoSpaceDN/>
        <w:bidi w:val="0"/>
        <w:adjustRightInd/>
        <w:snapToGrid/>
        <w:spacing w:line="560" w:lineRule="exact"/>
        <w:ind w:firstLine="643" w:firstLineChars="200"/>
        <w:jc w:val="both"/>
        <w:textAlignment w:val="auto"/>
        <w:rPr>
          <w:rFonts w:ascii="仿宋_GB2312" w:eastAsia="仿宋_GB2312"/>
          <w:b/>
          <w:bCs/>
          <w:color w:val="000000"/>
          <w:sz w:val="32"/>
          <w:szCs w:val="32"/>
        </w:rPr>
      </w:pPr>
      <w:r>
        <w:rPr>
          <w:rFonts w:hint="eastAsia" w:ascii="黑体" w:hAnsi="黑体" w:eastAsia="黑体" w:cs="黑体"/>
          <w:b/>
          <w:bCs/>
          <w:color w:val="000000"/>
          <w:sz w:val="32"/>
          <w:szCs w:val="32"/>
        </w:rPr>
        <w:t xml:space="preserve">第一部分  </w:t>
      </w:r>
      <w:r>
        <w:rPr>
          <w:rFonts w:hint="eastAsia" w:ascii="黑体" w:hAnsi="黑体" w:eastAsia="黑体" w:cs="黑体"/>
          <w:b/>
          <w:bCs/>
          <w:color w:val="000000"/>
          <w:sz w:val="32"/>
          <w:szCs w:val="32"/>
        </w:rPr>
        <w:fldChar w:fldCharType="begin"/>
      </w:r>
      <w:r>
        <w:rPr>
          <w:rFonts w:hint="eastAsia" w:ascii="黑体" w:hAnsi="黑体" w:eastAsia="黑体" w:cs="黑体"/>
          <w:b/>
          <w:bCs/>
          <w:color w:val="000000"/>
          <w:sz w:val="32"/>
          <w:szCs w:val="32"/>
        </w:rPr>
        <w:instrText xml:space="preserve">MERGEFIELD ${page400644146.ds509943833_REP_JXJC_AGENCY_WZR_NAME}</w:instrText>
      </w:r>
      <w:r>
        <w:rPr>
          <w:rFonts w:hint="eastAsia" w:ascii="黑体" w:hAnsi="黑体" w:eastAsia="黑体" w:cs="黑体"/>
          <w:b/>
          <w:bCs/>
          <w:color w:val="000000"/>
          <w:sz w:val="32"/>
          <w:szCs w:val="32"/>
        </w:rPr>
        <w:fldChar w:fldCharType="separate"/>
      </w:r>
      <w:r>
        <w:rPr>
          <w:rFonts w:hint="eastAsia" w:ascii="黑体" w:hAnsi="黑体" w:eastAsia="黑体" w:cs="黑体"/>
          <w:b/>
          <w:bCs/>
          <w:color w:val="000000"/>
          <w:sz w:val="32"/>
          <w:szCs w:val="32"/>
          <w:lang w:val="en-US" w:eastAsia="zh-CN"/>
        </w:rPr>
        <w:t>昌江区</w:t>
      </w:r>
      <w:r>
        <w:rPr>
          <w:rFonts w:hint="eastAsia" w:ascii="方正大标宋简体" w:hAnsi="方正大标宋简体" w:eastAsia="方正大标宋简体" w:cs="方正大标宋简体"/>
          <w:b w:val="0"/>
          <w:bCs w:val="0"/>
          <w:color w:val="000000"/>
          <w:kern w:val="0"/>
          <w:sz w:val="32"/>
          <w:szCs w:val="32"/>
          <w:lang w:val="en-US" w:eastAsia="zh-CN"/>
        </w:rPr>
        <w:t>鲇鱼山镇人民政府</w:t>
      </w:r>
      <w:r>
        <w:rPr>
          <w:rFonts w:hint="eastAsia" w:ascii="黑体" w:hAnsi="黑体" w:eastAsia="黑体" w:cs="黑体"/>
          <w:sz w:val="32"/>
          <w:szCs w:val="32"/>
        </w:rPr>
        <w:fldChar w:fldCharType="end"/>
      </w:r>
      <w:r>
        <w:rPr>
          <w:rFonts w:hint="eastAsia" w:ascii="黑体" w:hAnsi="黑体" w:eastAsia="黑体" w:cs="黑体"/>
          <w:b/>
          <w:bCs/>
          <w:color w:val="000000"/>
          <w:sz w:val="32"/>
          <w:szCs w:val="32"/>
        </w:rPr>
        <w:t>概况</w:t>
      </w:r>
    </w:p>
    <w:p>
      <w:pPr>
        <w:pStyle w:val="12"/>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hint="eastAsia" w:ascii="仿宋_GB2312" w:hAnsi="仿宋_GB2312" w:eastAsia="仿宋_GB2312" w:cs="仿宋_GB2312"/>
          <w:kern w:val="2"/>
          <w:sz w:val="32"/>
          <w:szCs w:val="30"/>
        </w:rPr>
      </w:pPr>
      <w:r>
        <w:rPr>
          <w:rFonts w:hint="eastAsia" w:ascii="仿宋_GB2312" w:hAnsi="仿宋_GB2312" w:eastAsia="仿宋_GB2312" w:cs="仿宋_GB2312"/>
          <w:kern w:val="2"/>
          <w:sz w:val="32"/>
          <w:szCs w:val="30"/>
        </w:rPr>
        <w:t>一、部门主要职责</w:t>
      </w:r>
    </w:p>
    <w:p>
      <w:pPr>
        <w:pStyle w:val="12"/>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ascii="Adobe 仿宋 Std R" w:hAnsi="Adobe 仿宋 Std R" w:eastAsia="Adobe 仿宋 Std R" w:cstheme="minorBidi"/>
          <w:kern w:val="2"/>
          <w:sz w:val="32"/>
          <w:szCs w:val="30"/>
        </w:rPr>
      </w:pPr>
      <w:r>
        <w:rPr>
          <w:rFonts w:hint="eastAsia" w:ascii="仿宋_GB2312" w:hAnsi="仿宋_GB2312" w:eastAsia="仿宋_GB2312" w:cs="仿宋_GB2312"/>
          <w:kern w:val="2"/>
          <w:sz w:val="32"/>
          <w:szCs w:val="30"/>
        </w:rPr>
        <w:t>二、机构设置及人员情况</w:t>
      </w:r>
    </w:p>
    <w:p>
      <w:pPr>
        <w:pStyle w:val="12"/>
        <w:keepNext w:val="0"/>
        <w:keepLines w:val="0"/>
        <w:pageBreakBefore w:val="0"/>
        <w:widowControl/>
        <w:tabs>
          <w:tab w:val="right" w:pos="8306"/>
        </w:tabs>
        <w:kinsoku/>
        <w:wordWrap/>
        <w:overflowPunct/>
        <w:topLinePunct w:val="0"/>
        <w:autoSpaceDE/>
        <w:autoSpaceDN/>
        <w:bidi w:val="0"/>
        <w:adjustRightInd/>
        <w:snapToGrid/>
        <w:spacing w:line="560" w:lineRule="exact"/>
        <w:ind w:firstLine="643" w:firstLineChars="200"/>
        <w:jc w:val="both"/>
        <w:textAlignment w:val="auto"/>
        <w:rPr>
          <w:rFonts w:hint="eastAsia" w:ascii="黑体" w:hAnsi="黑体" w:eastAsia="黑体" w:cs="黑体"/>
          <w:b/>
          <w:bCs/>
          <w:color w:val="000000"/>
          <w:sz w:val="32"/>
          <w:szCs w:val="32"/>
        </w:rPr>
      </w:pPr>
      <w:r>
        <w:rPr>
          <w:rFonts w:hint="eastAsia" w:ascii="黑体" w:hAnsi="黑体" w:eastAsia="黑体" w:cs="黑体"/>
          <w:b/>
          <w:bCs/>
          <w:color w:val="000000"/>
          <w:sz w:val="32"/>
          <w:szCs w:val="32"/>
        </w:rPr>
        <w:t>第</w:t>
      </w:r>
      <w:r>
        <w:rPr>
          <w:rFonts w:hint="eastAsia" w:ascii="黑体" w:hAnsi="黑体" w:eastAsia="黑体" w:cs="黑体"/>
          <w:b/>
          <w:bCs/>
          <w:color w:val="000000"/>
          <w:sz w:val="32"/>
          <w:szCs w:val="32"/>
          <w:lang w:val="en-US" w:eastAsia="zh-CN"/>
        </w:rPr>
        <w:t>二</w:t>
      </w:r>
      <w:r>
        <w:rPr>
          <w:rFonts w:hint="eastAsia" w:ascii="黑体" w:hAnsi="黑体" w:eastAsia="黑体" w:cs="黑体"/>
          <w:b/>
          <w:bCs/>
          <w:color w:val="000000"/>
          <w:sz w:val="32"/>
          <w:szCs w:val="32"/>
        </w:rPr>
        <w:t>部分</w:t>
      </w:r>
      <w:r>
        <w:rPr>
          <w:rFonts w:hint="eastAsia" w:ascii="黑体" w:hAnsi="黑体" w:eastAsia="黑体" w:cs="黑体"/>
          <w:b/>
          <w:bCs/>
          <w:color w:val="000000"/>
          <w:sz w:val="32"/>
          <w:szCs w:val="32"/>
          <w:lang w:val="en-US" w:eastAsia="zh-CN"/>
        </w:rPr>
        <w:t xml:space="preserve"> </w:t>
      </w:r>
      <w:r>
        <w:rPr>
          <w:rFonts w:hint="eastAsia" w:ascii="黑体" w:hAnsi="黑体" w:eastAsia="黑体" w:cs="黑体"/>
          <w:b/>
          <w:bCs/>
          <w:color w:val="000000"/>
          <w:sz w:val="32"/>
          <w:szCs w:val="32"/>
        </w:rPr>
        <w:t xml:space="preserve"> </w:t>
      </w:r>
      <w:r>
        <w:rPr>
          <w:rFonts w:hint="eastAsia" w:ascii="黑体" w:hAnsi="黑体" w:eastAsia="黑体" w:cs="黑体"/>
          <w:b/>
          <w:bCs/>
          <w:color w:val="000000"/>
          <w:sz w:val="32"/>
          <w:szCs w:val="32"/>
        </w:rPr>
        <w:fldChar w:fldCharType="begin"/>
      </w:r>
      <w:r>
        <w:rPr>
          <w:rFonts w:hint="eastAsia" w:ascii="黑体" w:hAnsi="黑体" w:eastAsia="黑体" w:cs="黑体"/>
          <w:b/>
          <w:bCs/>
          <w:color w:val="000000"/>
          <w:sz w:val="32"/>
          <w:szCs w:val="32"/>
        </w:rPr>
        <w:instrText xml:space="preserve">MERGEFIELD ${page400644146.ds509943833_REP_JXJC_AGENCY_WZR_NAME}</w:instrText>
      </w:r>
      <w:r>
        <w:rPr>
          <w:rFonts w:hint="eastAsia" w:ascii="黑体" w:hAnsi="黑体" w:eastAsia="黑体" w:cs="黑体"/>
          <w:b/>
          <w:bCs/>
          <w:color w:val="000000"/>
          <w:sz w:val="32"/>
          <w:szCs w:val="32"/>
        </w:rPr>
        <w:fldChar w:fldCharType="separate"/>
      </w:r>
      <w:r>
        <w:rPr>
          <w:rFonts w:hint="eastAsia" w:ascii="黑体" w:hAnsi="黑体" w:eastAsia="黑体" w:cs="黑体"/>
          <w:b/>
          <w:bCs/>
          <w:color w:val="000000"/>
          <w:sz w:val="32"/>
          <w:szCs w:val="32"/>
          <w:lang w:val="en-US" w:eastAsia="zh-CN"/>
        </w:rPr>
        <w:t>昌江区</w:t>
      </w:r>
      <w:r>
        <w:rPr>
          <w:rFonts w:hint="eastAsia" w:ascii="方正大标宋简体" w:hAnsi="方正大标宋简体" w:eastAsia="方正大标宋简体" w:cs="方正大标宋简体"/>
          <w:b w:val="0"/>
          <w:bCs w:val="0"/>
          <w:color w:val="000000"/>
          <w:kern w:val="0"/>
          <w:sz w:val="32"/>
          <w:szCs w:val="32"/>
          <w:lang w:val="en-US" w:eastAsia="zh-CN"/>
        </w:rPr>
        <w:t>鲇鱼山镇人民政府</w:t>
      </w:r>
      <w:r>
        <w:rPr>
          <w:rFonts w:hint="eastAsia" w:ascii="黑体" w:hAnsi="黑体" w:eastAsia="黑体" w:cs="黑体"/>
          <w:sz w:val="32"/>
          <w:szCs w:val="32"/>
        </w:rPr>
        <w:fldChar w:fldCharType="end"/>
      </w:r>
      <w:r>
        <w:rPr>
          <w:rFonts w:hint="eastAsia" w:ascii="黑体" w:hAnsi="黑体" w:eastAsia="黑体" w:cs="黑体"/>
          <w:b/>
          <w:bCs/>
          <w:color w:val="000000"/>
          <w:sz w:val="32"/>
          <w:szCs w:val="32"/>
          <w:lang w:eastAsia="zh-CN"/>
        </w:rPr>
        <w:t>202</w:t>
      </w:r>
      <w:r>
        <w:rPr>
          <w:rFonts w:hint="eastAsia" w:ascii="黑体" w:hAnsi="黑体" w:eastAsia="黑体" w:cs="黑体"/>
          <w:b/>
          <w:bCs/>
          <w:color w:val="000000"/>
          <w:sz w:val="32"/>
          <w:szCs w:val="32"/>
          <w:lang w:val="en-US" w:eastAsia="zh-CN"/>
        </w:rPr>
        <w:t>5</w:t>
      </w:r>
      <w:r>
        <w:rPr>
          <w:rFonts w:hint="eastAsia" w:ascii="黑体" w:hAnsi="黑体" w:eastAsia="黑体" w:cs="黑体"/>
          <w:b/>
          <w:bCs/>
          <w:color w:val="000000"/>
          <w:sz w:val="32"/>
          <w:szCs w:val="32"/>
        </w:rPr>
        <w:t>年部门预算表</w:t>
      </w:r>
    </w:p>
    <w:p>
      <w:pPr>
        <w:pStyle w:val="12"/>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hint="eastAsia" w:ascii="仿宋_GB2312" w:hAnsi="仿宋_GB2312" w:eastAsia="仿宋_GB2312" w:cs="仿宋_GB2312"/>
          <w:kern w:val="2"/>
          <w:sz w:val="32"/>
          <w:szCs w:val="30"/>
        </w:rPr>
      </w:pPr>
      <w:r>
        <w:rPr>
          <w:rFonts w:hint="eastAsia" w:ascii="仿宋_GB2312" w:hAnsi="仿宋_GB2312" w:eastAsia="仿宋_GB2312" w:cs="仿宋_GB2312"/>
          <w:kern w:val="2"/>
          <w:sz w:val="32"/>
          <w:szCs w:val="30"/>
        </w:rPr>
        <w:t>一、《收支预算总表》</w:t>
      </w:r>
    </w:p>
    <w:p>
      <w:pPr>
        <w:pStyle w:val="12"/>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hint="eastAsia" w:ascii="仿宋_GB2312" w:hAnsi="仿宋_GB2312" w:eastAsia="仿宋_GB2312" w:cs="仿宋_GB2312"/>
          <w:kern w:val="2"/>
          <w:sz w:val="32"/>
          <w:szCs w:val="30"/>
        </w:rPr>
      </w:pPr>
      <w:r>
        <w:rPr>
          <w:rFonts w:hint="eastAsia" w:ascii="仿宋_GB2312" w:hAnsi="仿宋_GB2312" w:eastAsia="仿宋_GB2312" w:cs="仿宋_GB2312"/>
          <w:kern w:val="2"/>
          <w:sz w:val="32"/>
          <w:szCs w:val="30"/>
        </w:rPr>
        <w:t>二、《部门收入总表》</w:t>
      </w:r>
    </w:p>
    <w:p>
      <w:pPr>
        <w:pStyle w:val="12"/>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hint="eastAsia" w:ascii="仿宋_GB2312" w:hAnsi="仿宋_GB2312" w:eastAsia="仿宋_GB2312" w:cs="仿宋_GB2312"/>
          <w:kern w:val="2"/>
          <w:sz w:val="32"/>
          <w:szCs w:val="30"/>
        </w:rPr>
      </w:pPr>
      <w:r>
        <w:rPr>
          <w:rFonts w:hint="eastAsia" w:ascii="仿宋_GB2312" w:hAnsi="仿宋_GB2312" w:eastAsia="仿宋_GB2312" w:cs="仿宋_GB2312"/>
          <w:kern w:val="2"/>
          <w:sz w:val="32"/>
          <w:szCs w:val="30"/>
        </w:rPr>
        <w:t>三、《部门支出总表》</w:t>
      </w:r>
    </w:p>
    <w:p>
      <w:pPr>
        <w:pStyle w:val="12"/>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hint="eastAsia" w:ascii="仿宋_GB2312" w:hAnsi="仿宋_GB2312" w:eastAsia="仿宋_GB2312" w:cs="仿宋_GB2312"/>
          <w:kern w:val="2"/>
          <w:sz w:val="32"/>
          <w:szCs w:val="30"/>
        </w:rPr>
      </w:pPr>
      <w:r>
        <w:rPr>
          <w:rFonts w:hint="eastAsia" w:ascii="仿宋_GB2312" w:hAnsi="仿宋_GB2312" w:eastAsia="仿宋_GB2312" w:cs="仿宋_GB2312"/>
          <w:kern w:val="2"/>
          <w:sz w:val="32"/>
          <w:szCs w:val="30"/>
        </w:rPr>
        <w:t>四、《财政拨款收支总表》</w:t>
      </w:r>
    </w:p>
    <w:p>
      <w:pPr>
        <w:pStyle w:val="12"/>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hint="eastAsia" w:ascii="仿宋_GB2312" w:hAnsi="仿宋_GB2312" w:eastAsia="仿宋_GB2312" w:cs="仿宋_GB2312"/>
          <w:kern w:val="2"/>
          <w:sz w:val="32"/>
          <w:szCs w:val="30"/>
        </w:rPr>
      </w:pPr>
      <w:r>
        <w:rPr>
          <w:rFonts w:hint="eastAsia" w:ascii="仿宋_GB2312" w:hAnsi="仿宋_GB2312" w:eastAsia="仿宋_GB2312" w:cs="仿宋_GB2312"/>
          <w:kern w:val="2"/>
          <w:sz w:val="32"/>
          <w:szCs w:val="30"/>
        </w:rPr>
        <w:t>五、《一般公共预算支出表》</w:t>
      </w:r>
    </w:p>
    <w:p>
      <w:pPr>
        <w:pStyle w:val="12"/>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hint="eastAsia" w:ascii="仿宋_GB2312" w:hAnsi="仿宋_GB2312" w:eastAsia="仿宋_GB2312" w:cs="仿宋_GB2312"/>
          <w:kern w:val="2"/>
          <w:sz w:val="32"/>
          <w:szCs w:val="30"/>
        </w:rPr>
      </w:pPr>
      <w:r>
        <w:rPr>
          <w:rFonts w:hint="eastAsia" w:ascii="仿宋_GB2312" w:hAnsi="仿宋_GB2312" w:eastAsia="仿宋_GB2312" w:cs="仿宋_GB2312"/>
          <w:kern w:val="2"/>
          <w:sz w:val="32"/>
          <w:szCs w:val="30"/>
        </w:rPr>
        <w:t>六、《一般公共预算基本支出表》</w:t>
      </w:r>
    </w:p>
    <w:p>
      <w:pPr>
        <w:pStyle w:val="12"/>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hint="eastAsia" w:ascii="仿宋_GB2312" w:hAnsi="仿宋_GB2312" w:eastAsia="仿宋_GB2312" w:cs="仿宋_GB2312"/>
          <w:kern w:val="2"/>
          <w:sz w:val="32"/>
          <w:szCs w:val="30"/>
        </w:rPr>
      </w:pPr>
      <w:r>
        <w:rPr>
          <w:rFonts w:hint="eastAsia" w:ascii="仿宋_GB2312" w:hAnsi="仿宋_GB2312" w:eastAsia="仿宋_GB2312" w:cs="仿宋_GB2312"/>
          <w:kern w:val="2"/>
          <w:sz w:val="32"/>
          <w:szCs w:val="30"/>
        </w:rPr>
        <w:t>七、《财政拨款“三公”经费支出表》</w:t>
      </w:r>
    </w:p>
    <w:p>
      <w:pPr>
        <w:pStyle w:val="12"/>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hint="eastAsia" w:ascii="仿宋_GB2312" w:hAnsi="仿宋_GB2312" w:eastAsia="仿宋_GB2312" w:cs="仿宋_GB2312"/>
          <w:kern w:val="2"/>
          <w:sz w:val="32"/>
          <w:szCs w:val="30"/>
        </w:rPr>
      </w:pPr>
      <w:r>
        <w:rPr>
          <w:rFonts w:hint="eastAsia" w:ascii="仿宋_GB2312" w:hAnsi="仿宋_GB2312" w:eastAsia="仿宋_GB2312" w:cs="仿宋_GB2312"/>
          <w:kern w:val="2"/>
          <w:sz w:val="32"/>
          <w:szCs w:val="30"/>
        </w:rPr>
        <w:t>八、《政府性基金预算支出表》</w:t>
      </w:r>
    </w:p>
    <w:p>
      <w:pPr>
        <w:pStyle w:val="12"/>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hint="eastAsia" w:ascii="仿宋_GB2312" w:hAnsi="仿宋_GB2312" w:eastAsia="仿宋_GB2312" w:cs="仿宋_GB2312"/>
          <w:kern w:val="2"/>
          <w:sz w:val="32"/>
          <w:szCs w:val="30"/>
        </w:rPr>
      </w:pPr>
      <w:r>
        <w:rPr>
          <w:rFonts w:hint="eastAsia" w:ascii="仿宋_GB2312" w:hAnsi="仿宋_GB2312" w:eastAsia="仿宋_GB2312" w:cs="仿宋_GB2312"/>
          <w:kern w:val="2"/>
          <w:sz w:val="32"/>
          <w:szCs w:val="30"/>
        </w:rPr>
        <w:t>九、《国有资本经营预算支出表》</w:t>
      </w:r>
    </w:p>
    <w:p>
      <w:pPr>
        <w:pStyle w:val="12"/>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hint="eastAsia" w:ascii="仿宋_GB2312" w:hAnsi="仿宋_GB2312" w:eastAsia="仿宋_GB2312" w:cs="仿宋_GB2312"/>
          <w:kern w:val="2"/>
          <w:sz w:val="32"/>
          <w:szCs w:val="30"/>
        </w:rPr>
      </w:pPr>
      <w:r>
        <w:rPr>
          <w:rFonts w:hint="eastAsia" w:ascii="仿宋_GB2312" w:hAnsi="仿宋_GB2312" w:eastAsia="仿宋_GB2312" w:cs="仿宋_GB2312"/>
          <w:kern w:val="2"/>
          <w:sz w:val="32"/>
          <w:szCs w:val="30"/>
        </w:rPr>
        <w:t>十、《部门整体支出绩效目标表》</w:t>
      </w:r>
    </w:p>
    <w:p>
      <w:pPr>
        <w:pStyle w:val="12"/>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ascii="Adobe 仿宋 Std R" w:hAnsi="Adobe 仿宋 Std R" w:eastAsia="Adobe 仿宋 Std R" w:cstheme="minorBidi"/>
          <w:kern w:val="2"/>
          <w:sz w:val="32"/>
          <w:szCs w:val="30"/>
        </w:rPr>
      </w:pPr>
      <w:r>
        <w:rPr>
          <w:rFonts w:hint="eastAsia" w:ascii="仿宋_GB2312" w:hAnsi="仿宋_GB2312" w:eastAsia="仿宋_GB2312" w:cs="仿宋_GB2312"/>
          <w:kern w:val="2"/>
          <w:sz w:val="32"/>
          <w:szCs w:val="30"/>
        </w:rPr>
        <w:t>十一、《项目绩效目标表》</w:t>
      </w:r>
    </w:p>
    <w:p>
      <w:pPr>
        <w:pStyle w:val="12"/>
        <w:keepNext w:val="0"/>
        <w:keepLines w:val="0"/>
        <w:pageBreakBefore w:val="0"/>
        <w:widowControl/>
        <w:tabs>
          <w:tab w:val="right" w:pos="8306"/>
        </w:tabs>
        <w:kinsoku/>
        <w:wordWrap/>
        <w:overflowPunct/>
        <w:topLinePunct w:val="0"/>
        <w:autoSpaceDE/>
        <w:autoSpaceDN/>
        <w:bidi w:val="0"/>
        <w:adjustRightInd/>
        <w:snapToGrid/>
        <w:spacing w:line="560" w:lineRule="exact"/>
        <w:ind w:firstLine="643" w:firstLineChars="200"/>
        <w:jc w:val="both"/>
        <w:textAlignment w:val="auto"/>
        <w:rPr>
          <w:rFonts w:hint="eastAsia" w:ascii="黑体" w:hAnsi="黑体" w:eastAsia="黑体" w:cs="黑体"/>
          <w:b/>
          <w:bCs/>
          <w:color w:val="000000"/>
          <w:sz w:val="32"/>
          <w:szCs w:val="32"/>
        </w:rPr>
      </w:pPr>
      <w:r>
        <w:rPr>
          <w:rFonts w:hint="eastAsia" w:ascii="黑体" w:hAnsi="黑体" w:eastAsia="黑体" w:cs="黑体"/>
          <w:b/>
          <w:bCs/>
          <w:color w:val="000000"/>
          <w:sz w:val="32"/>
          <w:szCs w:val="32"/>
        </w:rPr>
        <w:t>第</w:t>
      </w:r>
      <w:r>
        <w:rPr>
          <w:rFonts w:hint="eastAsia" w:ascii="黑体" w:hAnsi="黑体" w:eastAsia="黑体" w:cs="黑体"/>
          <w:b/>
          <w:bCs/>
          <w:color w:val="000000"/>
          <w:sz w:val="32"/>
          <w:szCs w:val="32"/>
          <w:lang w:val="en-US" w:eastAsia="zh-CN"/>
        </w:rPr>
        <w:t>三</w:t>
      </w:r>
      <w:r>
        <w:rPr>
          <w:rFonts w:hint="eastAsia" w:ascii="黑体" w:hAnsi="黑体" w:eastAsia="黑体" w:cs="黑体"/>
          <w:b/>
          <w:bCs/>
          <w:color w:val="000000"/>
          <w:sz w:val="32"/>
          <w:szCs w:val="32"/>
        </w:rPr>
        <w:t xml:space="preserve">部分  </w:t>
      </w:r>
      <w:r>
        <w:rPr>
          <w:rFonts w:hint="eastAsia" w:ascii="黑体" w:hAnsi="黑体" w:eastAsia="黑体" w:cs="黑体"/>
          <w:b/>
          <w:bCs/>
          <w:color w:val="000000"/>
          <w:sz w:val="32"/>
          <w:szCs w:val="32"/>
        </w:rPr>
        <w:fldChar w:fldCharType="begin"/>
      </w:r>
      <w:r>
        <w:rPr>
          <w:rFonts w:hint="eastAsia" w:ascii="黑体" w:hAnsi="黑体" w:eastAsia="黑体" w:cs="黑体"/>
          <w:b/>
          <w:bCs/>
          <w:color w:val="000000"/>
          <w:sz w:val="32"/>
          <w:szCs w:val="32"/>
        </w:rPr>
        <w:instrText xml:space="preserve">MERGEFIELD ${page400644146.ds509943833_REP_JXJC_AGENCY_WZR_NAME}</w:instrText>
      </w:r>
      <w:r>
        <w:rPr>
          <w:rFonts w:hint="eastAsia" w:ascii="黑体" w:hAnsi="黑体" w:eastAsia="黑体" w:cs="黑体"/>
          <w:b/>
          <w:bCs/>
          <w:color w:val="000000"/>
          <w:sz w:val="32"/>
          <w:szCs w:val="32"/>
        </w:rPr>
        <w:fldChar w:fldCharType="separate"/>
      </w:r>
      <w:r>
        <w:rPr>
          <w:rFonts w:hint="eastAsia" w:ascii="黑体" w:hAnsi="黑体" w:eastAsia="黑体" w:cs="黑体"/>
          <w:b/>
          <w:bCs/>
          <w:color w:val="000000"/>
          <w:sz w:val="32"/>
          <w:szCs w:val="32"/>
          <w:lang w:val="en-US" w:eastAsia="zh-CN"/>
        </w:rPr>
        <w:t>昌江区</w:t>
      </w:r>
      <w:r>
        <w:rPr>
          <w:rFonts w:hint="eastAsia" w:ascii="方正大标宋简体" w:hAnsi="方正大标宋简体" w:eastAsia="方正大标宋简体" w:cs="方正大标宋简体"/>
          <w:b w:val="0"/>
          <w:bCs w:val="0"/>
          <w:color w:val="000000"/>
          <w:kern w:val="0"/>
          <w:sz w:val="32"/>
          <w:szCs w:val="32"/>
          <w:lang w:val="en-US" w:eastAsia="zh-CN"/>
        </w:rPr>
        <w:t>鲇鱼山镇人民政府</w:t>
      </w:r>
      <w:r>
        <w:rPr>
          <w:rFonts w:hint="eastAsia" w:ascii="黑体" w:hAnsi="黑体" w:eastAsia="黑体" w:cs="黑体"/>
          <w:sz w:val="32"/>
          <w:szCs w:val="32"/>
        </w:rPr>
        <w:fldChar w:fldCharType="end"/>
      </w:r>
      <w:r>
        <w:rPr>
          <w:rFonts w:hint="eastAsia" w:ascii="黑体" w:hAnsi="黑体" w:eastAsia="黑体" w:cs="黑体"/>
          <w:b/>
          <w:bCs/>
          <w:color w:val="000000"/>
          <w:sz w:val="32"/>
          <w:szCs w:val="32"/>
          <w:lang w:eastAsia="zh-CN"/>
        </w:rPr>
        <w:t>202</w:t>
      </w:r>
      <w:r>
        <w:rPr>
          <w:rFonts w:hint="eastAsia" w:ascii="黑体" w:hAnsi="黑体" w:eastAsia="黑体" w:cs="黑体"/>
          <w:b/>
          <w:bCs/>
          <w:color w:val="000000"/>
          <w:sz w:val="32"/>
          <w:szCs w:val="32"/>
          <w:lang w:val="en-US" w:eastAsia="zh-CN"/>
        </w:rPr>
        <w:t>5</w:t>
      </w:r>
      <w:r>
        <w:rPr>
          <w:rFonts w:hint="eastAsia" w:ascii="黑体" w:hAnsi="黑体" w:eastAsia="黑体" w:cs="黑体"/>
          <w:b/>
          <w:bCs/>
          <w:color w:val="000000"/>
          <w:sz w:val="32"/>
          <w:szCs w:val="32"/>
        </w:rPr>
        <w:t>年部门预算情况说明</w:t>
      </w:r>
    </w:p>
    <w:p>
      <w:pPr>
        <w:pStyle w:val="12"/>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hint="eastAsia" w:ascii="仿宋_GB2312" w:hAnsi="仿宋_GB2312" w:eastAsia="仿宋_GB2312" w:cs="仿宋_GB2312"/>
          <w:kern w:val="2"/>
          <w:sz w:val="32"/>
          <w:szCs w:val="30"/>
        </w:rPr>
      </w:pPr>
      <w:r>
        <w:rPr>
          <w:rFonts w:hint="eastAsia" w:ascii="仿宋_GB2312" w:hAnsi="仿宋_GB2312" w:eastAsia="仿宋_GB2312" w:cs="仿宋_GB2312"/>
          <w:kern w:val="2"/>
          <w:sz w:val="32"/>
          <w:szCs w:val="30"/>
        </w:rPr>
        <w:t>一、</w:t>
      </w:r>
      <w:r>
        <w:rPr>
          <w:rFonts w:hint="eastAsia" w:ascii="仿宋_GB2312" w:hAnsi="仿宋_GB2312" w:eastAsia="仿宋_GB2312" w:cs="仿宋_GB2312"/>
          <w:kern w:val="2"/>
          <w:sz w:val="32"/>
          <w:szCs w:val="30"/>
          <w:lang w:eastAsia="zh-CN"/>
        </w:rPr>
        <w:t>202</w:t>
      </w:r>
      <w:r>
        <w:rPr>
          <w:rFonts w:hint="eastAsia" w:ascii="仿宋_GB2312" w:hAnsi="仿宋_GB2312" w:eastAsia="仿宋_GB2312" w:cs="仿宋_GB2312"/>
          <w:kern w:val="2"/>
          <w:sz w:val="32"/>
          <w:szCs w:val="30"/>
          <w:lang w:val="en-US" w:eastAsia="zh-CN"/>
        </w:rPr>
        <w:t>5</w:t>
      </w:r>
      <w:r>
        <w:rPr>
          <w:rFonts w:hint="eastAsia" w:ascii="仿宋_GB2312" w:hAnsi="仿宋_GB2312" w:eastAsia="仿宋_GB2312" w:cs="仿宋_GB2312"/>
          <w:kern w:val="2"/>
          <w:sz w:val="32"/>
          <w:szCs w:val="30"/>
        </w:rPr>
        <w:t>年部门预算收支情况说明</w:t>
      </w:r>
    </w:p>
    <w:p>
      <w:pPr>
        <w:pStyle w:val="12"/>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hint="eastAsia" w:ascii="仿宋_GB2312" w:hAnsi="仿宋_GB2312" w:eastAsia="仿宋_GB2312" w:cs="仿宋_GB2312"/>
          <w:kern w:val="2"/>
          <w:sz w:val="32"/>
          <w:szCs w:val="30"/>
        </w:rPr>
      </w:pPr>
      <w:r>
        <w:rPr>
          <w:rFonts w:hint="eastAsia" w:ascii="仿宋_GB2312" w:hAnsi="仿宋_GB2312" w:eastAsia="仿宋_GB2312" w:cs="仿宋_GB2312"/>
          <w:kern w:val="2"/>
          <w:sz w:val="32"/>
          <w:szCs w:val="30"/>
        </w:rPr>
        <w:t>二、</w:t>
      </w:r>
      <w:r>
        <w:rPr>
          <w:rFonts w:hint="eastAsia" w:ascii="仿宋_GB2312" w:hAnsi="仿宋_GB2312" w:eastAsia="仿宋_GB2312" w:cs="仿宋_GB2312"/>
          <w:kern w:val="2"/>
          <w:sz w:val="32"/>
          <w:szCs w:val="30"/>
          <w:lang w:eastAsia="zh-CN"/>
        </w:rPr>
        <w:t>202</w:t>
      </w:r>
      <w:r>
        <w:rPr>
          <w:rFonts w:hint="eastAsia" w:ascii="仿宋_GB2312" w:hAnsi="仿宋_GB2312" w:eastAsia="仿宋_GB2312" w:cs="仿宋_GB2312"/>
          <w:kern w:val="2"/>
          <w:sz w:val="32"/>
          <w:szCs w:val="30"/>
          <w:lang w:val="en-US" w:eastAsia="zh-CN"/>
        </w:rPr>
        <w:t>5</w:t>
      </w:r>
      <w:r>
        <w:rPr>
          <w:rFonts w:hint="eastAsia" w:ascii="仿宋_GB2312" w:hAnsi="仿宋_GB2312" w:eastAsia="仿宋_GB2312" w:cs="仿宋_GB2312"/>
          <w:kern w:val="2"/>
          <w:sz w:val="32"/>
          <w:szCs w:val="30"/>
        </w:rPr>
        <w:t>年“三公”经费预算情况说明</w:t>
      </w:r>
    </w:p>
    <w:p>
      <w:pPr>
        <w:pStyle w:val="12"/>
        <w:keepNext w:val="0"/>
        <w:keepLines w:val="0"/>
        <w:pageBreakBefore w:val="0"/>
        <w:widowControl/>
        <w:tabs>
          <w:tab w:val="right" w:pos="8306"/>
        </w:tabs>
        <w:kinsoku/>
        <w:wordWrap/>
        <w:overflowPunct/>
        <w:topLinePunct w:val="0"/>
        <w:autoSpaceDE/>
        <w:autoSpaceDN/>
        <w:bidi w:val="0"/>
        <w:adjustRightInd/>
        <w:snapToGrid/>
        <w:spacing w:line="560" w:lineRule="exact"/>
        <w:ind w:firstLine="643" w:firstLineChars="200"/>
        <w:jc w:val="both"/>
        <w:textAlignment w:val="auto"/>
        <w:rPr>
          <w:rFonts w:hint="eastAsia" w:ascii="黑体" w:hAnsi="黑体" w:eastAsia="黑体" w:cs="黑体"/>
          <w:b/>
          <w:bCs/>
          <w:color w:val="000000"/>
          <w:sz w:val="32"/>
          <w:szCs w:val="32"/>
        </w:rPr>
      </w:pPr>
      <w:r>
        <w:rPr>
          <w:rFonts w:hint="eastAsia" w:ascii="黑体" w:hAnsi="黑体" w:eastAsia="黑体" w:cs="黑体"/>
          <w:b/>
          <w:bCs/>
          <w:color w:val="000000"/>
          <w:sz w:val="32"/>
          <w:szCs w:val="32"/>
        </w:rPr>
        <w:t>第四部分  名词解释</w:t>
      </w: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仿宋_GB2312" w:eastAsia="仿宋_GB2312"/>
          <w:b/>
          <w:sz w:val="32"/>
          <w:szCs w:val="30"/>
        </w:rPr>
      </w:pPr>
      <w:r>
        <w:rPr>
          <w:rFonts w:hint="eastAsia" w:ascii="方正小标宋简体" w:hAnsi="方正小标宋简体" w:eastAsia="方正小标宋简体" w:cs="方正小标宋简体"/>
          <w:b/>
          <w:sz w:val="32"/>
          <w:szCs w:val="30"/>
        </w:rPr>
        <w:t xml:space="preserve">第一部分  </w:t>
      </w:r>
      <w:r>
        <w:rPr>
          <w:rFonts w:hint="eastAsia" w:ascii="黑体" w:hAnsi="黑体" w:eastAsia="黑体" w:cs="黑体"/>
          <w:b/>
          <w:bCs/>
          <w:color w:val="000000"/>
          <w:sz w:val="32"/>
          <w:szCs w:val="32"/>
        </w:rPr>
        <w:fldChar w:fldCharType="begin"/>
      </w:r>
      <w:r>
        <w:rPr>
          <w:rFonts w:hint="eastAsia" w:ascii="黑体" w:hAnsi="黑体" w:eastAsia="黑体" w:cs="黑体"/>
          <w:b/>
          <w:bCs/>
          <w:color w:val="000000"/>
          <w:sz w:val="32"/>
          <w:szCs w:val="32"/>
        </w:rPr>
        <w:instrText xml:space="preserve">MERGEFIELD ${page400644146.ds509943833_REP_JXJC_AGENCY_WZR_NAME}</w:instrText>
      </w:r>
      <w:r>
        <w:rPr>
          <w:rFonts w:hint="eastAsia" w:ascii="黑体" w:hAnsi="黑体" w:eastAsia="黑体" w:cs="黑体"/>
          <w:b/>
          <w:bCs/>
          <w:color w:val="000000"/>
          <w:sz w:val="32"/>
          <w:szCs w:val="32"/>
        </w:rPr>
        <w:fldChar w:fldCharType="separate"/>
      </w:r>
      <w:r>
        <w:rPr>
          <w:rFonts w:hint="eastAsia" w:ascii="黑体" w:hAnsi="黑体" w:eastAsia="黑体" w:cs="黑体"/>
          <w:b/>
          <w:bCs/>
          <w:color w:val="000000"/>
          <w:sz w:val="32"/>
          <w:szCs w:val="32"/>
          <w:lang w:val="en-US" w:eastAsia="zh-CN"/>
        </w:rPr>
        <w:t>昌江区</w:t>
      </w:r>
      <w:r>
        <w:rPr>
          <w:rFonts w:hint="eastAsia" w:ascii="方正大标宋简体" w:hAnsi="方正大标宋简体" w:eastAsia="方正大标宋简体" w:cs="方正大标宋简体"/>
          <w:b w:val="0"/>
          <w:bCs w:val="0"/>
          <w:color w:val="000000"/>
          <w:kern w:val="0"/>
          <w:sz w:val="32"/>
          <w:szCs w:val="32"/>
          <w:lang w:val="en-US" w:eastAsia="zh-CN"/>
        </w:rPr>
        <w:t>鲇鱼山镇人民政府</w:t>
      </w:r>
      <w:r>
        <w:rPr>
          <w:rFonts w:hint="eastAsia" w:ascii="黑体" w:hAnsi="黑体" w:eastAsia="黑体" w:cs="黑体"/>
          <w:sz w:val="32"/>
          <w:szCs w:val="32"/>
        </w:rPr>
        <w:fldChar w:fldCharType="end"/>
      </w:r>
      <w:r>
        <w:rPr>
          <w:rFonts w:hint="eastAsia" w:ascii="方正小标宋简体" w:hAnsi="方正小标宋简体" w:eastAsia="方正小标宋简体" w:cs="方正小标宋简体"/>
          <w:b/>
          <w:sz w:val="32"/>
          <w:szCs w:val="30"/>
        </w:rPr>
        <w:t>概况</w:t>
      </w:r>
    </w:p>
    <w:p>
      <w:pPr>
        <w:keepNext w:val="0"/>
        <w:keepLines w:val="0"/>
        <w:pageBreakBefore w:val="0"/>
        <w:widowControl/>
        <w:kinsoku/>
        <w:wordWrap/>
        <w:overflowPunct/>
        <w:topLinePunct w:val="0"/>
        <w:autoSpaceDE/>
        <w:autoSpaceDN/>
        <w:bidi w:val="0"/>
        <w:adjustRightInd/>
        <w:snapToGrid/>
        <w:spacing w:line="600" w:lineRule="exact"/>
        <w:jc w:val="both"/>
        <w:textAlignment w:val="auto"/>
        <w:rPr>
          <w:rFonts w:asciiTheme="minorEastAsia" w:hAnsiTheme="minorEastAsia"/>
          <w:b/>
          <w:sz w:val="36"/>
          <w:szCs w:val="36"/>
        </w:rPr>
      </w:pP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rFonts w:asciiTheme="minorEastAsia" w:hAnsiTheme="minorEastAsia"/>
          <w:b/>
          <w:sz w:val="36"/>
          <w:szCs w:val="36"/>
        </w:rPr>
      </w:pPr>
      <w:r>
        <w:rPr>
          <w:rFonts w:hint="eastAsia" w:ascii="黑体" w:hAnsi="黑体" w:eastAsia="黑体" w:cs="黑体"/>
          <w:b/>
          <w:sz w:val="32"/>
          <w:szCs w:val="32"/>
        </w:rPr>
        <w:t>一、部门主要职责</w:t>
      </w:r>
    </w:p>
    <w:p>
      <w:pPr>
        <w:keepNext w:val="0"/>
        <w:keepLines w:val="0"/>
        <w:pageBreakBefore w:val="0"/>
        <w:kinsoku/>
        <w:wordWrap/>
        <w:overflowPunct/>
        <w:topLinePunct w:val="0"/>
        <w:autoSpaceDE/>
        <w:autoSpaceDN/>
        <w:bidi w:val="0"/>
        <w:adjustRightInd/>
        <w:snapToGrid w:val="0"/>
        <w:spacing w:line="240" w:lineRule="auto"/>
        <w:ind w:firstLine="640" w:firstLineChars="200"/>
        <w:rPr>
          <w:rFonts w:hint="eastAsia" w:ascii="仿宋_GB2312" w:hAnsi="仿宋" w:eastAsia="仿宋_GB2312" w:cs="Times New Roman"/>
          <w:sz w:val="32"/>
          <w:szCs w:val="32"/>
          <w:highlight w:val="none"/>
          <w:lang w:val="en-US" w:eastAsia="zh-CN"/>
        </w:rPr>
      </w:pPr>
      <w:r>
        <w:rPr>
          <w:rFonts w:hint="eastAsia" w:ascii="仿宋_GB2312" w:hAnsi="仿宋" w:eastAsia="仿宋_GB2312" w:cs="Times New Roman"/>
          <w:sz w:val="32"/>
          <w:szCs w:val="32"/>
          <w:highlight w:val="none"/>
          <w:lang w:val="en-US" w:eastAsia="zh-CN"/>
        </w:rPr>
        <w:t>主要职责是：</w:t>
      </w:r>
    </w:p>
    <w:p>
      <w:pPr>
        <w:keepNext w:val="0"/>
        <w:keepLines w:val="0"/>
        <w:pageBreakBefore w:val="0"/>
        <w:kinsoku/>
        <w:wordWrap/>
        <w:overflowPunct/>
        <w:topLinePunct w:val="0"/>
        <w:autoSpaceDE/>
        <w:autoSpaceDN/>
        <w:bidi w:val="0"/>
        <w:adjustRightInd/>
        <w:snapToGrid w:val="0"/>
        <w:spacing w:line="240" w:lineRule="auto"/>
        <w:ind w:firstLine="640" w:firstLineChars="200"/>
        <w:rPr>
          <w:rFonts w:hint="eastAsia" w:ascii="仿宋_GB2312" w:hAnsi="仿宋" w:eastAsia="仿宋_GB2312" w:cs="Times New Roman"/>
          <w:sz w:val="32"/>
          <w:szCs w:val="32"/>
          <w:highlight w:val="none"/>
          <w:lang w:val="en-US" w:eastAsia="zh-CN"/>
        </w:rPr>
      </w:pPr>
      <w:r>
        <w:rPr>
          <w:rFonts w:hint="eastAsia" w:ascii="仿宋_GB2312" w:hAnsi="仿宋" w:eastAsia="仿宋_GB2312" w:cs="Times New Roman"/>
          <w:sz w:val="32"/>
          <w:szCs w:val="32"/>
          <w:highlight w:val="none"/>
          <w:lang w:val="en-US" w:eastAsia="zh-CN"/>
        </w:rPr>
        <w:t>1.加强党的建设。落实基层党建工作贵任制，严格抓好基层党组织建设各项制度，统筹抓好基层党建工作。推进全面从严治党，强化“两个责任”，全面落实农村基层党支部“五化”建设，全面加强农村基层宣传思想文化工作，强化党建引领基层治理，进一步增强党在基层的政治领导力、思想引领力、群众组织力、社会号召力。</w:t>
      </w:r>
    </w:p>
    <w:p>
      <w:pPr>
        <w:keepNext w:val="0"/>
        <w:keepLines w:val="0"/>
        <w:pageBreakBefore w:val="0"/>
        <w:kinsoku/>
        <w:wordWrap/>
        <w:overflowPunct/>
        <w:topLinePunct w:val="0"/>
        <w:autoSpaceDE/>
        <w:autoSpaceDN/>
        <w:bidi w:val="0"/>
        <w:adjustRightInd/>
        <w:snapToGrid w:val="0"/>
        <w:spacing w:line="240" w:lineRule="auto"/>
        <w:ind w:firstLine="640" w:firstLineChars="200"/>
        <w:rPr>
          <w:rFonts w:hint="eastAsia" w:ascii="仿宋_GB2312" w:hAnsi="仿宋" w:eastAsia="仿宋_GB2312" w:cs="Times New Roman"/>
          <w:sz w:val="32"/>
          <w:szCs w:val="32"/>
          <w:highlight w:val="none"/>
          <w:lang w:val="en-US" w:eastAsia="zh-CN"/>
        </w:rPr>
      </w:pPr>
      <w:r>
        <w:rPr>
          <w:rFonts w:hint="eastAsia" w:ascii="仿宋_GB2312" w:hAnsi="仿宋" w:eastAsia="仿宋_GB2312" w:cs="Times New Roman"/>
          <w:sz w:val="32"/>
          <w:szCs w:val="32"/>
          <w:highlight w:val="none"/>
          <w:lang w:val="en-US" w:eastAsia="zh-CN"/>
        </w:rPr>
        <w:t>2.加强公共管理。推进区域发展，全面实施镇村振兴战略，统筹落实辖区发展的重大决策和建设规划。实施综合管理，组织、领导、推进、协调辖区内镇村管理、人口管理、社会管理、经济发展、综合执法、市场监管、公共服务、生态环境保护等工作。领导基层自治工作，健全完善自治为基、法治为本、德治为先的基层治理体系。</w:t>
      </w:r>
    </w:p>
    <w:p>
      <w:pPr>
        <w:keepNext w:val="0"/>
        <w:keepLines w:val="0"/>
        <w:pageBreakBefore w:val="0"/>
        <w:kinsoku/>
        <w:wordWrap/>
        <w:overflowPunct/>
        <w:topLinePunct w:val="0"/>
        <w:autoSpaceDE/>
        <w:autoSpaceDN/>
        <w:bidi w:val="0"/>
        <w:adjustRightInd/>
        <w:snapToGrid w:val="0"/>
        <w:spacing w:line="240" w:lineRule="auto"/>
        <w:ind w:firstLine="640" w:firstLineChars="200"/>
        <w:rPr>
          <w:rFonts w:hint="eastAsia" w:ascii="仿宋_GB2312" w:hAnsi="仿宋" w:eastAsia="仿宋_GB2312" w:cs="Times New Roman"/>
          <w:sz w:val="32"/>
          <w:szCs w:val="32"/>
          <w:highlight w:val="none"/>
          <w:lang w:val="en-US" w:eastAsia="zh-CN"/>
        </w:rPr>
      </w:pPr>
      <w:r>
        <w:rPr>
          <w:rFonts w:hint="eastAsia" w:ascii="仿宋_GB2312" w:hAnsi="仿宋" w:eastAsia="仿宋_GB2312" w:cs="Times New Roman"/>
          <w:sz w:val="32"/>
          <w:szCs w:val="32"/>
          <w:highlight w:val="none"/>
          <w:lang w:val="en-US" w:eastAsia="zh-CN"/>
        </w:rPr>
        <w:t>3.加强公共安全。负责辖区公共安全及安全生产监管，构建公共安全防控体系，建立应对突发紧急事件的处理预案，做好安全生产、防汛、防火、防疫、气象灾害防御、食品药品安全等应急管理工作。承担辖区社会治安综合治理工作，健全多元纠纷解决机制，综合发挥人民调解、行政调解和司法调解的作用，及时化解辖区社会矛盾，确保社会稳定。</w:t>
      </w:r>
    </w:p>
    <w:p>
      <w:pPr>
        <w:keepNext w:val="0"/>
        <w:keepLines w:val="0"/>
        <w:pageBreakBefore w:val="0"/>
        <w:kinsoku/>
        <w:wordWrap/>
        <w:overflowPunct/>
        <w:topLinePunct w:val="0"/>
        <w:autoSpaceDE/>
        <w:autoSpaceDN/>
        <w:bidi w:val="0"/>
        <w:adjustRightInd/>
        <w:snapToGrid w:val="0"/>
        <w:spacing w:line="240" w:lineRule="auto"/>
        <w:ind w:firstLine="640" w:firstLineChars="200"/>
        <w:rPr>
          <w:rFonts w:hint="eastAsia" w:ascii="仿宋_GB2312" w:hAnsi="仿宋" w:eastAsia="仿宋_GB2312" w:cs="Times New Roman"/>
          <w:sz w:val="32"/>
          <w:szCs w:val="32"/>
          <w:highlight w:val="none"/>
          <w:lang w:val="en-US" w:eastAsia="zh-CN"/>
        </w:rPr>
      </w:pPr>
      <w:r>
        <w:rPr>
          <w:rFonts w:hint="eastAsia" w:ascii="仿宋_GB2312" w:hAnsi="仿宋" w:eastAsia="仿宋_GB2312" w:cs="Times New Roman"/>
          <w:sz w:val="32"/>
          <w:szCs w:val="32"/>
          <w:highlight w:val="none"/>
          <w:lang w:val="en-US" w:eastAsia="zh-CN"/>
        </w:rPr>
        <w:t>4.加强公共服务。组织实施与群众生活密切相关的各项公共服务，落实人力资源和社会保障、民政、退役军人、教育、文化、体育、卫生健康等方面相关政策。拓宽服务渠道，改进服务方式，建立健全群众办事一次办结机制。推进镇村两级便民服务平台标准化建设，落实审批服务“三集中三到位”改革，深化“一窗受理、集成服务”改革，提升群众获得感和幸福感。</w:t>
      </w:r>
    </w:p>
    <w:p>
      <w:pPr>
        <w:keepNext w:val="0"/>
        <w:keepLines w:val="0"/>
        <w:pageBreakBefore w:val="0"/>
        <w:kinsoku/>
        <w:wordWrap/>
        <w:overflowPunct/>
        <w:topLinePunct w:val="0"/>
        <w:autoSpaceDE/>
        <w:autoSpaceDN/>
        <w:bidi w:val="0"/>
        <w:adjustRightInd/>
        <w:snapToGrid w:val="0"/>
        <w:spacing w:line="240" w:lineRule="auto"/>
        <w:ind w:firstLine="640" w:firstLineChars="200"/>
        <w:rPr>
          <w:rFonts w:hint="eastAsia" w:ascii="仿宋_GB2312" w:hAnsi="仿宋" w:eastAsia="仿宋_GB2312" w:cs="Times New Roman"/>
          <w:sz w:val="32"/>
          <w:szCs w:val="32"/>
          <w:highlight w:val="none"/>
          <w:lang w:val="en-US" w:eastAsia="zh-CN"/>
        </w:rPr>
      </w:pPr>
      <w:r>
        <w:rPr>
          <w:rFonts w:hint="eastAsia" w:ascii="仿宋_GB2312" w:hAnsi="仿宋" w:eastAsia="仿宋_GB2312" w:cs="Times New Roman"/>
          <w:sz w:val="32"/>
          <w:szCs w:val="32"/>
          <w:highlight w:val="none"/>
          <w:lang w:val="en-US" w:eastAsia="zh-CN"/>
        </w:rPr>
        <w:t>5.贯彻执行相关法律法规，落实党和国家的方针、政策，承担上级交办的其他事项。</w:t>
      </w: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b/>
          <w:sz w:val="36"/>
          <w:szCs w:val="36"/>
        </w:rPr>
      </w:pPr>
      <w:r>
        <w:rPr>
          <w:rFonts w:hint="eastAsia" w:ascii="黑体" w:hAnsi="黑体" w:eastAsia="黑体" w:cs="黑体"/>
          <w:b/>
          <w:sz w:val="32"/>
          <w:szCs w:val="32"/>
        </w:rPr>
        <w:t>二、机构设置及人员情况</w:t>
      </w:r>
    </w:p>
    <w:p>
      <w:pPr>
        <w:keepNext w:val="0"/>
        <w:keepLines w:val="0"/>
        <w:pageBreakBefore w:val="0"/>
        <w:kinsoku/>
        <w:wordWrap/>
        <w:overflowPunct/>
        <w:topLinePunct w:val="0"/>
        <w:autoSpaceDE/>
        <w:autoSpaceDN/>
        <w:bidi w:val="0"/>
        <w:adjustRightInd/>
        <w:snapToGrid w:val="0"/>
        <w:spacing w:line="240" w:lineRule="auto"/>
        <w:ind w:firstLine="640" w:firstLineChars="200"/>
        <w:rPr>
          <w:rFonts w:hint="default" w:ascii="仿宋_GB2312" w:hAnsi="仿宋" w:eastAsia="仿宋_GB2312" w:cs="Times New Roman"/>
          <w:sz w:val="32"/>
          <w:szCs w:val="32"/>
          <w:highlight w:val="none"/>
          <w:lang w:val="en-US" w:eastAsia="zh-CN"/>
        </w:rPr>
      </w:pPr>
      <w:r>
        <w:rPr>
          <w:rFonts w:hint="eastAsia" w:ascii="仿宋_GB2312" w:hAnsi="仿宋_GB2312" w:eastAsia="仿宋_GB2312" w:cs="仿宋_GB2312"/>
          <w:kern w:val="2"/>
          <w:sz w:val="32"/>
          <w:szCs w:val="30"/>
          <w:lang w:val="en-US" w:eastAsia="zh-CN" w:bidi="ar-SA"/>
        </w:rPr>
        <w:t>2025年</w:t>
      </w:r>
      <w:r>
        <w:rPr>
          <w:rFonts w:hint="eastAsia" w:ascii="仿宋_GB2312" w:hAnsi="仿宋" w:eastAsia="仿宋_GB2312" w:cs="Times New Roman"/>
          <w:sz w:val="32"/>
          <w:szCs w:val="32"/>
          <w:highlight w:val="none"/>
          <w:lang w:val="en-US" w:eastAsia="zh-CN"/>
        </w:rPr>
        <w:t>昌江区鲇鱼山镇人民政府</w:t>
      </w:r>
      <w:r>
        <w:rPr>
          <w:rFonts w:hint="eastAsia" w:ascii="仿宋_GB2312" w:hAnsi="仿宋_GB2312" w:eastAsia="仿宋_GB2312" w:cs="仿宋_GB2312"/>
          <w:kern w:val="2"/>
          <w:sz w:val="32"/>
          <w:szCs w:val="30"/>
          <w:lang w:val="en-US" w:eastAsia="zh-CN" w:bidi="ar-SA"/>
        </w:rPr>
        <w:t>共有预算单位5个，</w:t>
      </w:r>
      <w:r>
        <w:rPr>
          <w:rFonts w:hint="eastAsia" w:ascii="仿宋_GB2312" w:hAnsi="仿宋" w:eastAsia="仿宋_GB2312" w:cs="Times New Roman"/>
          <w:sz w:val="32"/>
          <w:szCs w:val="32"/>
          <w:highlight w:val="none"/>
          <w:lang w:val="en-US" w:eastAsia="zh-CN"/>
        </w:rPr>
        <w:t>分别是经济发展和财政办公室、党政办公室、社会治理办公室、社会事务办公室、农业农村工作办公室。设立2个事业单位，分别是综合行政执法队和便民服务中心。</w:t>
      </w:r>
    </w:p>
    <w:p>
      <w:pPr>
        <w:rPr>
          <w:rFonts w:hint="eastAsia" w:ascii="仿宋_GB2312" w:hAnsi="仿宋_GB2312" w:eastAsia="仿宋_GB2312" w:cs="仿宋_GB2312"/>
          <w:kern w:val="2"/>
          <w:sz w:val="32"/>
          <w:szCs w:val="30"/>
          <w:lang w:val="en-US" w:eastAsia="zh-CN" w:bidi="ar-SA"/>
        </w:rPr>
      </w:pPr>
      <w:r>
        <w:rPr>
          <w:rFonts w:hint="eastAsia" w:ascii="仿宋_GB2312" w:hAnsi="仿宋" w:eastAsia="仿宋_GB2312" w:cs="Times New Roman"/>
          <w:sz w:val="32"/>
          <w:szCs w:val="32"/>
          <w:highlight w:val="none"/>
          <w:lang w:val="en-US" w:eastAsia="zh-CN"/>
        </w:rPr>
        <w:t>2．人员情况：2023年度本单位在职人员51人，其中：行政</w:t>
      </w:r>
      <w:r>
        <w:rPr>
          <w:rFonts w:hint="eastAsia" w:ascii="仿宋_GB2312" w:hAnsi="仿宋_GB2312" w:eastAsia="仿宋_GB2312" w:cs="仿宋_GB2312"/>
          <w:kern w:val="2"/>
          <w:sz w:val="32"/>
          <w:szCs w:val="30"/>
          <w:lang w:val="en-US" w:eastAsia="zh-CN" w:bidi="ar-SA"/>
        </w:rPr>
        <w:t>在职人数</w:t>
      </w:r>
      <w:r>
        <w:rPr>
          <w:rFonts w:hint="eastAsia" w:ascii="仿宋_GB2312" w:hAnsi="仿宋" w:eastAsia="仿宋_GB2312" w:cs="Times New Roman"/>
          <w:sz w:val="32"/>
          <w:szCs w:val="32"/>
          <w:highlight w:val="none"/>
          <w:lang w:val="en-US" w:eastAsia="zh-CN"/>
        </w:rPr>
        <w:t>20人，</w:t>
      </w:r>
      <w:r>
        <w:rPr>
          <w:rFonts w:hint="eastAsia" w:ascii="仿宋_GB2312" w:hAnsi="仿宋_GB2312" w:eastAsia="仿宋_GB2312" w:cs="仿宋_GB2312"/>
          <w:kern w:val="2"/>
          <w:sz w:val="32"/>
          <w:szCs w:val="30"/>
          <w:lang w:val="en-US" w:eastAsia="zh-CN" w:bidi="ar-SA"/>
        </w:rPr>
        <w:t>全部补助事业在职人数</w:t>
      </w:r>
      <w:r>
        <w:rPr>
          <w:rFonts w:hint="eastAsia" w:ascii="仿宋_GB2312" w:hAnsi="仿宋" w:eastAsia="仿宋_GB2312" w:cs="Times New Roman"/>
          <w:sz w:val="32"/>
          <w:szCs w:val="32"/>
          <w:highlight w:val="none"/>
          <w:lang w:val="en-US" w:eastAsia="zh-CN"/>
        </w:rPr>
        <w:t>31人。</w:t>
      </w:r>
      <w:r>
        <w:rPr>
          <w:rFonts w:hint="eastAsia" w:ascii="仿宋_GB2312" w:hAnsi="仿宋_GB2312" w:eastAsia="仿宋_GB2312" w:cs="仿宋_GB2312"/>
          <w:kern w:val="2"/>
          <w:sz w:val="32"/>
          <w:szCs w:val="30"/>
          <w:lang w:val="en-US" w:eastAsia="zh-CN" w:bidi="ar-SA"/>
        </w:rPr>
        <w:t>退休人数小计22人，遗属人数11人。</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仿宋_GB2312" w:eastAsia="仿宋_GB2312"/>
          <w:b/>
          <w:sz w:val="32"/>
          <w:szCs w:val="30"/>
        </w:rPr>
      </w:pPr>
      <w:r>
        <w:rPr>
          <w:rFonts w:hint="eastAsia" w:ascii="方正小标宋简体" w:hAnsi="方正小标宋简体" w:eastAsia="方正小标宋简体" w:cs="方正小标宋简体"/>
          <w:b/>
          <w:sz w:val="32"/>
          <w:szCs w:val="30"/>
        </w:rPr>
        <w:t>第</w:t>
      </w:r>
      <w:r>
        <w:rPr>
          <w:rFonts w:hint="eastAsia" w:ascii="方正小标宋简体" w:hAnsi="方正小标宋简体" w:eastAsia="方正小标宋简体" w:cs="方正小标宋简体"/>
          <w:b/>
          <w:sz w:val="32"/>
          <w:szCs w:val="30"/>
          <w:lang w:val="en-US" w:eastAsia="zh-CN"/>
        </w:rPr>
        <w:t>二</w:t>
      </w:r>
      <w:r>
        <w:rPr>
          <w:rFonts w:hint="eastAsia" w:ascii="方正小标宋简体" w:hAnsi="方正小标宋简体" w:eastAsia="方正小标宋简体" w:cs="方正小标宋简体"/>
          <w:b/>
          <w:sz w:val="32"/>
          <w:szCs w:val="30"/>
        </w:rPr>
        <w:t xml:space="preserve">部分 </w:t>
      </w:r>
      <w:r>
        <w:rPr>
          <w:rFonts w:hint="eastAsia" w:ascii="黑体" w:hAnsi="黑体" w:eastAsia="黑体" w:cs="黑体"/>
          <w:b/>
          <w:bCs/>
          <w:color w:val="000000"/>
          <w:sz w:val="32"/>
          <w:szCs w:val="32"/>
        </w:rPr>
        <w:fldChar w:fldCharType="begin"/>
      </w:r>
      <w:r>
        <w:rPr>
          <w:rFonts w:hint="eastAsia" w:ascii="黑体" w:hAnsi="黑体" w:eastAsia="黑体" w:cs="黑体"/>
          <w:b/>
          <w:bCs/>
          <w:color w:val="000000"/>
          <w:sz w:val="32"/>
          <w:szCs w:val="32"/>
        </w:rPr>
        <w:instrText xml:space="preserve">MERGEFIELD ${page400644146.ds509943833_REP_JXJC_AGENCY_WZR_NAME}</w:instrText>
      </w:r>
      <w:r>
        <w:rPr>
          <w:rFonts w:hint="eastAsia" w:ascii="黑体" w:hAnsi="黑体" w:eastAsia="黑体" w:cs="黑体"/>
          <w:b/>
          <w:bCs/>
          <w:color w:val="000000"/>
          <w:sz w:val="32"/>
          <w:szCs w:val="32"/>
        </w:rPr>
        <w:fldChar w:fldCharType="separate"/>
      </w:r>
      <w:r>
        <w:rPr>
          <w:rFonts w:hint="eastAsia" w:ascii="黑体" w:hAnsi="黑体" w:eastAsia="黑体" w:cs="黑体"/>
          <w:b/>
          <w:bCs/>
          <w:color w:val="000000"/>
          <w:sz w:val="32"/>
          <w:szCs w:val="32"/>
          <w:lang w:val="en-US" w:eastAsia="zh-CN"/>
        </w:rPr>
        <w:t>昌江区</w:t>
      </w:r>
      <w:r>
        <w:rPr>
          <w:rFonts w:hint="eastAsia" w:ascii="方正大标宋简体" w:hAnsi="方正大标宋简体" w:eastAsia="方正大标宋简体" w:cs="方正大标宋简体"/>
          <w:b w:val="0"/>
          <w:bCs w:val="0"/>
          <w:color w:val="000000"/>
          <w:kern w:val="0"/>
          <w:sz w:val="32"/>
          <w:szCs w:val="32"/>
          <w:lang w:val="en-US" w:eastAsia="zh-CN"/>
        </w:rPr>
        <w:t>鲇鱼山镇人民政府</w:t>
      </w:r>
      <w:r>
        <w:rPr>
          <w:rFonts w:hint="eastAsia" w:ascii="黑体" w:hAnsi="黑体" w:eastAsia="黑体" w:cs="黑体"/>
          <w:sz w:val="32"/>
          <w:szCs w:val="32"/>
        </w:rPr>
        <w:fldChar w:fldCharType="end"/>
      </w:r>
      <w:r>
        <w:rPr>
          <w:rFonts w:hint="eastAsia" w:ascii="方正小标宋简体" w:hAnsi="方正小标宋简体" w:eastAsia="方正小标宋简体" w:cs="方正小标宋简体"/>
          <w:b/>
          <w:sz w:val="32"/>
          <w:szCs w:val="30"/>
          <w:lang w:eastAsia="zh-CN"/>
        </w:rPr>
        <w:t>202</w:t>
      </w:r>
      <w:r>
        <w:rPr>
          <w:rFonts w:hint="eastAsia" w:ascii="方正小标宋简体" w:hAnsi="方正小标宋简体" w:eastAsia="方正小标宋简体" w:cs="方正小标宋简体"/>
          <w:b/>
          <w:sz w:val="32"/>
          <w:szCs w:val="30"/>
          <w:lang w:val="en-US" w:eastAsia="zh-CN"/>
        </w:rPr>
        <w:t>5</w:t>
      </w:r>
      <w:r>
        <w:rPr>
          <w:rFonts w:hint="eastAsia" w:ascii="方正小标宋简体" w:hAnsi="方正小标宋简体" w:eastAsia="方正小标宋简体" w:cs="方正小标宋简体"/>
          <w:b/>
          <w:sz w:val="32"/>
          <w:szCs w:val="30"/>
        </w:rPr>
        <w:t>年部门预算表</w:t>
      </w:r>
    </w:p>
    <w:p>
      <w:pPr>
        <w:jc w:val="both"/>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（详见附表）</w:t>
      </w:r>
    </w:p>
    <w:p>
      <w:pPr>
        <w:jc w:val="both"/>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drawing>
          <wp:inline distT="0" distB="0" distL="114300" distR="114300">
            <wp:extent cx="5274310" cy="3667125"/>
            <wp:effectExtent l="0" t="0" r="2540" b="952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5"/>
                    <a:stretch>
                      <a:fillRect/>
                    </a:stretch>
                  </pic:blipFill>
                  <pic:spPr>
                    <a:xfrm>
                      <a:off x="0" y="0"/>
                      <a:ext cx="5274310" cy="3667125"/>
                    </a:xfrm>
                    <a:prstGeom prst="rect">
                      <a:avLst/>
                    </a:prstGeom>
                  </pic:spPr>
                </pic:pic>
              </a:graphicData>
            </a:graphic>
          </wp:inline>
        </w:drawing>
      </w:r>
      <w:r>
        <w:rPr>
          <w:rFonts w:hint="eastAsia" w:ascii="仿宋_GB2312" w:hAnsi="仿宋_GB2312" w:eastAsia="仿宋_GB2312" w:cs="仿宋_GB2312"/>
          <w:kern w:val="2"/>
          <w:sz w:val="32"/>
          <w:szCs w:val="30"/>
          <w:lang w:val="en-US" w:eastAsia="zh-CN" w:bidi="ar-SA"/>
        </w:rPr>
        <w:drawing>
          <wp:inline distT="0" distB="0" distL="114300" distR="114300">
            <wp:extent cx="5253990" cy="3618865"/>
            <wp:effectExtent l="0" t="0" r="3810" b="635"/>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6"/>
                    <a:stretch>
                      <a:fillRect/>
                    </a:stretch>
                  </pic:blipFill>
                  <pic:spPr>
                    <a:xfrm>
                      <a:off x="0" y="0"/>
                      <a:ext cx="5253990" cy="3618865"/>
                    </a:xfrm>
                    <a:prstGeom prst="rect">
                      <a:avLst/>
                    </a:prstGeom>
                  </pic:spPr>
                </pic:pic>
              </a:graphicData>
            </a:graphic>
          </wp:inline>
        </w:drawing>
      </w:r>
      <w:r>
        <w:rPr>
          <w:rFonts w:hint="eastAsia" w:ascii="仿宋_GB2312" w:hAnsi="仿宋_GB2312" w:eastAsia="仿宋_GB2312" w:cs="仿宋_GB2312"/>
          <w:kern w:val="2"/>
          <w:sz w:val="32"/>
          <w:szCs w:val="30"/>
          <w:lang w:val="en-US" w:eastAsia="zh-CN" w:bidi="ar-SA"/>
        </w:rPr>
        <w:drawing>
          <wp:inline distT="0" distB="0" distL="114300" distR="114300">
            <wp:extent cx="5253990" cy="3695700"/>
            <wp:effectExtent l="0" t="0" r="3810" b="0"/>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7"/>
                    <a:stretch>
                      <a:fillRect/>
                    </a:stretch>
                  </pic:blipFill>
                  <pic:spPr>
                    <a:xfrm>
                      <a:off x="0" y="0"/>
                      <a:ext cx="5253990" cy="3695700"/>
                    </a:xfrm>
                    <a:prstGeom prst="rect">
                      <a:avLst/>
                    </a:prstGeom>
                  </pic:spPr>
                </pic:pic>
              </a:graphicData>
            </a:graphic>
          </wp:inline>
        </w:drawing>
      </w:r>
      <w:r>
        <w:rPr>
          <w:rFonts w:hint="eastAsia" w:ascii="仿宋_GB2312" w:hAnsi="仿宋_GB2312" w:eastAsia="仿宋_GB2312" w:cs="仿宋_GB2312"/>
          <w:kern w:val="2"/>
          <w:sz w:val="32"/>
          <w:szCs w:val="30"/>
          <w:lang w:val="en-US" w:eastAsia="zh-CN" w:bidi="ar-SA"/>
        </w:rPr>
        <w:drawing>
          <wp:inline distT="0" distB="0" distL="114300" distR="114300">
            <wp:extent cx="5253990" cy="3625215"/>
            <wp:effectExtent l="0" t="0" r="3810" b="13335"/>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8"/>
                    <a:stretch>
                      <a:fillRect/>
                    </a:stretch>
                  </pic:blipFill>
                  <pic:spPr>
                    <a:xfrm>
                      <a:off x="0" y="0"/>
                      <a:ext cx="5253990" cy="3625215"/>
                    </a:xfrm>
                    <a:prstGeom prst="rect">
                      <a:avLst/>
                    </a:prstGeom>
                  </pic:spPr>
                </pic:pic>
              </a:graphicData>
            </a:graphic>
          </wp:inline>
        </w:drawing>
      </w:r>
      <w:r>
        <w:rPr>
          <w:rFonts w:hint="eastAsia" w:ascii="仿宋_GB2312" w:hAnsi="仿宋_GB2312" w:eastAsia="仿宋_GB2312" w:cs="仿宋_GB2312"/>
          <w:kern w:val="2"/>
          <w:sz w:val="32"/>
          <w:szCs w:val="30"/>
          <w:lang w:val="en-US" w:eastAsia="zh-CN" w:bidi="ar-SA"/>
        </w:rPr>
        <w:drawing>
          <wp:inline distT="0" distB="0" distL="114300" distR="114300">
            <wp:extent cx="5253990" cy="3554095"/>
            <wp:effectExtent l="0" t="0" r="3810" b="8255"/>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9"/>
                    <a:stretch>
                      <a:fillRect/>
                    </a:stretch>
                  </pic:blipFill>
                  <pic:spPr>
                    <a:xfrm>
                      <a:off x="0" y="0"/>
                      <a:ext cx="5253990" cy="3554095"/>
                    </a:xfrm>
                    <a:prstGeom prst="rect">
                      <a:avLst/>
                    </a:prstGeom>
                  </pic:spPr>
                </pic:pic>
              </a:graphicData>
            </a:graphic>
          </wp:inline>
        </w:drawing>
      </w:r>
      <w:r>
        <w:rPr>
          <w:rFonts w:hint="eastAsia" w:ascii="仿宋_GB2312" w:hAnsi="仿宋_GB2312" w:eastAsia="仿宋_GB2312" w:cs="仿宋_GB2312"/>
          <w:kern w:val="2"/>
          <w:sz w:val="32"/>
          <w:szCs w:val="30"/>
          <w:lang w:val="en-US" w:eastAsia="zh-CN" w:bidi="ar-SA"/>
        </w:rPr>
        <w:drawing>
          <wp:inline distT="0" distB="0" distL="114300" distR="114300">
            <wp:extent cx="5253990" cy="3522345"/>
            <wp:effectExtent l="0" t="0" r="3810" b="1905"/>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1"/>
                    </pic:cNvPicPr>
                  </pic:nvPicPr>
                  <pic:blipFill>
                    <a:blip r:embed="rId10"/>
                    <a:stretch>
                      <a:fillRect/>
                    </a:stretch>
                  </pic:blipFill>
                  <pic:spPr>
                    <a:xfrm>
                      <a:off x="0" y="0"/>
                      <a:ext cx="5253990" cy="3522345"/>
                    </a:xfrm>
                    <a:prstGeom prst="rect">
                      <a:avLst/>
                    </a:prstGeom>
                  </pic:spPr>
                </pic:pic>
              </a:graphicData>
            </a:graphic>
          </wp:inline>
        </w:drawing>
      </w:r>
      <w:r>
        <w:rPr>
          <w:rFonts w:hint="eastAsia" w:ascii="仿宋_GB2312" w:hAnsi="仿宋_GB2312" w:eastAsia="仿宋_GB2312" w:cs="仿宋_GB2312"/>
          <w:kern w:val="2"/>
          <w:sz w:val="32"/>
          <w:szCs w:val="30"/>
          <w:lang w:val="en-US" w:eastAsia="zh-CN" w:bidi="ar-SA"/>
        </w:rPr>
        <w:drawing>
          <wp:inline distT="0" distB="0" distL="114300" distR="114300">
            <wp:extent cx="5272405" cy="3983355"/>
            <wp:effectExtent l="0" t="0" r="4445" b="17145"/>
            <wp:docPr id="7"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
                    <pic:cNvPicPr>
                      <a:picLocks noChangeAspect="1"/>
                    </pic:cNvPicPr>
                  </pic:nvPicPr>
                  <pic:blipFill>
                    <a:blip r:embed="rId11"/>
                    <a:stretch>
                      <a:fillRect/>
                    </a:stretch>
                  </pic:blipFill>
                  <pic:spPr>
                    <a:xfrm>
                      <a:off x="0" y="0"/>
                      <a:ext cx="5272405" cy="3983355"/>
                    </a:xfrm>
                    <a:prstGeom prst="rect">
                      <a:avLst/>
                    </a:prstGeom>
                  </pic:spPr>
                </pic:pic>
              </a:graphicData>
            </a:graphic>
          </wp:inline>
        </w:drawing>
      </w:r>
      <w:r>
        <w:rPr>
          <w:rFonts w:hint="eastAsia" w:ascii="仿宋_GB2312" w:hAnsi="仿宋_GB2312" w:eastAsia="仿宋_GB2312" w:cs="仿宋_GB2312"/>
          <w:kern w:val="2"/>
          <w:sz w:val="32"/>
          <w:szCs w:val="30"/>
          <w:lang w:val="en-US" w:eastAsia="zh-CN" w:bidi="ar-SA"/>
        </w:rPr>
        <w:drawing>
          <wp:inline distT="0" distB="0" distL="114300" distR="114300">
            <wp:extent cx="5253990" cy="3522345"/>
            <wp:effectExtent l="0" t="0" r="3810" b="1905"/>
            <wp:docPr id="8" name="图片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
                    <pic:cNvPicPr>
                      <a:picLocks noChangeAspect="1"/>
                    </pic:cNvPicPr>
                  </pic:nvPicPr>
                  <pic:blipFill>
                    <a:blip r:embed="rId12"/>
                    <a:stretch>
                      <a:fillRect/>
                    </a:stretch>
                  </pic:blipFill>
                  <pic:spPr>
                    <a:xfrm>
                      <a:off x="0" y="0"/>
                      <a:ext cx="5253990" cy="3522345"/>
                    </a:xfrm>
                    <a:prstGeom prst="rect">
                      <a:avLst/>
                    </a:prstGeom>
                  </pic:spPr>
                </pic:pic>
              </a:graphicData>
            </a:graphic>
          </wp:inline>
        </w:drawing>
      </w:r>
      <w:r>
        <w:rPr>
          <w:rFonts w:hint="eastAsia" w:ascii="仿宋_GB2312" w:hAnsi="仿宋_GB2312" w:eastAsia="仿宋_GB2312" w:cs="仿宋_GB2312"/>
          <w:kern w:val="2"/>
          <w:sz w:val="32"/>
          <w:szCs w:val="30"/>
          <w:lang w:val="en-US" w:eastAsia="zh-CN" w:bidi="ar-SA"/>
        </w:rPr>
        <w:drawing>
          <wp:inline distT="0" distB="0" distL="114300" distR="114300">
            <wp:extent cx="5253990" cy="3657600"/>
            <wp:effectExtent l="0" t="0" r="3810" b="0"/>
            <wp:docPr id="9" name="图片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
                    <pic:cNvPicPr>
                      <a:picLocks noChangeAspect="1"/>
                    </pic:cNvPicPr>
                  </pic:nvPicPr>
                  <pic:blipFill>
                    <a:blip r:embed="rId13"/>
                    <a:stretch>
                      <a:fillRect/>
                    </a:stretch>
                  </pic:blipFill>
                  <pic:spPr>
                    <a:xfrm>
                      <a:off x="0" y="0"/>
                      <a:ext cx="5253990" cy="3657600"/>
                    </a:xfrm>
                    <a:prstGeom prst="rect">
                      <a:avLst/>
                    </a:prstGeom>
                  </pic:spPr>
                </pic:pic>
              </a:graphicData>
            </a:graphic>
          </wp:inline>
        </w:drawing>
      </w:r>
      <w:r>
        <w:rPr>
          <w:rFonts w:hint="eastAsia" w:ascii="仿宋_GB2312" w:hAnsi="仿宋_GB2312" w:eastAsia="仿宋_GB2312" w:cs="仿宋_GB2312"/>
          <w:kern w:val="2"/>
          <w:sz w:val="32"/>
          <w:szCs w:val="30"/>
          <w:lang w:val="en-US" w:eastAsia="zh-CN" w:bidi="ar-SA"/>
        </w:rPr>
        <w:drawing>
          <wp:inline distT="0" distB="0" distL="114300" distR="114300">
            <wp:extent cx="5260340" cy="6878320"/>
            <wp:effectExtent l="0" t="0" r="16510" b="17780"/>
            <wp:docPr id="10" name="图片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0"/>
                    <pic:cNvPicPr>
                      <a:picLocks noChangeAspect="1"/>
                    </pic:cNvPicPr>
                  </pic:nvPicPr>
                  <pic:blipFill>
                    <a:blip r:embed="rId14"/>
                    <a:stretch>
                      <a:fillRect/>
                    </a:stretch>
                  </pic:blipFill>
                  <pic:spPr>
                    <a:xfrm>
                      <a:off x="0" y="0"/>
                      <a:ext cx="5260340" cy="6878320"/>
                    </a:xfrm>
                    <a:prstGeom prst="rect">
                      <a:avLst/>
                    </a:prstGeom>
                  </pic:spPr>
                </pic:pic>
              </a:graphicData>
            </a:graphic>
          </wp:inline>
        </w:drawing>
      </w:r>
      <w:r>
        <w:rPr>
          <w:rFonts w:hint="eastAsia" w:ascii="仿宋_GB2312" w:hAnsi="仿宋_GB2312" w:eastAsia="仿宋_GB2312" w:cs="仿宋_GB2312"/>
          <w:kern w:val="2"/>
          <w:sz w:val="32"/>
          <w:szCs w:val="30"/>
          <w:lang w:val="en-US" w:eastAsia="zh-CN" w:bidi="ar-SA"/>
        </w:rPr>
        <w:drawing>
          <wp:inline distT="0" distB="0" distL="114300" distR="114300">
            <wp:extent cx="5266690" cy="7031990"/>
            <wp:effectExtent l="0" t="0" r="10160" b="16510"/>
            <wp:docPr id="11" name="图片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
                    <pic:cNvPicPr>
                      <a:picLocks noChangeAspect="1"/>
                    </pic:cNvPicPr>
                  </pic:nvPicPr>
                  <pic:blipFill>
                    <a:blip r:embed="rId15"/>
                    <a:stretch>
                      <a:fillRect/>
                    </a:stretch>
                  </pic:blipFill>
                  <pic:spPr>
                    <a:xfrm>
                      <a:off x="0" y="0"/>
                      <a:ext cx="5266690" cy="7031990"/>
                    </a:xfrm>
                    <a:prstGeom prst="rect">
                      <a:avLst/>
                    </a:prstGeom>
                  </pic:spPr>
                </pic:pic>
              </a:graphicData>
            </a:graphic>
          </wp:inline>
        </w:drawing>
      </w:r>
      <w:bookmarkStart w:id="0" w:name="_GoBack"/>
      <w:bookmarkEnd w:id="0"/>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br w:type="page"/>
      </w: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仿宋_GB2312" w:eastAsia="仿宋_GB2312"/>
          <w:b/>
          <w:sz w:val="32"/>
          <w:szCs w:val="30"/>
        </w:rPr>
      </w:pPr>
      <w:r>
        <w:rPr>
          <w:rFonts w:hint="eastAsia" w:ascii="方正小标宋简体" w:hAnsi="方正小标宋简体" w:eastAsia="方正小标宋简体" w:cs="方正小标宋简体"/>
          <w:b/>
          <w:sz w:val="32"/>
          <w:szCs w:val="30"/>
        </w:rPr>
        <w:t>第</w:t>
      </w:r>
      <w:r>
        <w:rPr>
          <w:rFonts w:hint="eastAsia" w:ascii="方正小标宋简体" w:hAnsi="方正小标宋简体" w:eastAsia="方正小标宋简体" w:cs="方正小标宋简体"/>
          <w:b/>
          <w:sz w:val="32"/>
          <w:szCs w:val="30"/>
          <w:lang w:val="en-US" w:eastAsia="zh-CN"/>
        </w:rPr>
        <w:t>三</w:t>
      </w:r>
      <w:r>
        <w:rPr>
          <w:rFonts w:hint="eastAsia" w:ascii="方正小标宋简体" w:hAnsi="方正小标宋简体" w:eastAsia="方正小标宋简体" w:cs="方正小标宋简体"/>
          <w:b/>
          <w:sz w:val="32"/>
          <w:szCs w:val="30"/>
        </w:rPr>
        <w:t xml:space="preserve">部分 </w:t>
      </w:r>
      <w:r>
        <w:rPr>
          <w:rFonts w:hint="eastAsia" w:ascii="黑体" w:hAnsi="黑体" w:eastAsia="黑体" w:cs="黑体"/>
          <w:b/>
          <w:bCs/>
          <w:color w:val="000000"/>
          <w:sz w:val="32"/>
          <w:szCs w:val="32"/>
        </w:rPr>
        <w:fldChar w:fldCharType="begin"/>
      </w:r>
      <w:r>
        <w:rPr>
          <w:rFonts w:hint="eastAsia" w:ascii="黑体" w:hAnsi="黑体" w:eastAsia="黑体" w:cs="黑体"/>
          <w:b/>
          <w:bCs/>
          <w:color w:val="000000"/>
          <w:sz w:val="32"/>
          <w:szCs w:val="32"/>
        </w:rPr>
        <w:instrText xml:space="preserve">MERGEFIELD ${page400644146.ds509943833_REP_JXJC_AGENCY_WZR_NAME}</w:instrText>
      </w:r>
      <w:r>
        <w:rPr>
          <w:rFonts w:hint="eastAsia" w:ascii="黑体" w:hAnsi="黑体" w:eastAsia="黑体" w:cs="黑体"/>
          <w:b/>
          <w:bCs/>
          <w:color w:val="000000"/>
          <w:sz w:val="32"/>
          <w:szCs w:val="32"/>
        </w:rPr>
        <w:fldChar w:fldCharType="separate"/>
      </w:r>
      <w:r>
        <w:rPr>
          <w:rFonts w:hint="eastAsia" w:ascii="黑体" w:hAnsi="黑体" w:eastAsia="黑体" w:cs="黑体"/>
          <w:b/>
          <w:bCs/>
          <w:color w:val="000000"/>
          <w:sz w:val="32"/>
          <w:szCs w:val="32"/>
          <w:lang w:val="en-US" w:eastAsia="zh-CN"/>
        </w:rPr>
        <w:t>昌江区</w:t>
      </w:r>
      <w:r>
        <w:rPr>
          <w:rFonts w:hint="eastAsia" w:ascii="方正大标宋简体" w:hAnsi="方正大标宋简体" w:eastAsia="方正大标宋简体" w:cs="方正大标宋简体"/>
          <w:b w:val="0"/>
          <w:bCs w:val="0"/>
          <w:color w:val="000000"/>
          <w:kern w:val="0"/>
          <w:sz w:val="32"/>
          <w:szCs w:val="32"/>
          <w:lang w:val="en-US" w:eastAsia="zh-CN"/>
        </w:rPr>
        <w:t>鲇鱼山镇人民政府</w:t>
      </w:r>
      <w:r>
        <w:rPr>
          <w:rFonts w:hint="eastAsia" w:ascii="黑体" w:hAnsi="黑体" w:eastAsia="黑体" w:cs="黑体"/>
          <w:sz w:val="32"/>
          <w:szCs w:val="32"/>
        </w:rPr>
        <w:fldChar w:fldCharType="end"/>
      </w:r>
      <w:r>
        <w:rPr>
          <w:rFonts w:hint="eastAsia" w:ascii="方正小标宋简体" w:hAnsi="方正小标宋简体" w:eastAsia="方正小标宋简体" w:cs="方正小标宋简体"/>
          <w:b/>
          <w:sz w:val="32"/>
          <w:szCs w:val="30"/>
          <w:lang w:eastAsia="zh-CN"/>
        </w:rPr>
        <w:t>202</w:t>
      </w:r>
      <w:r>
        <w:rPr>
          <w:rFonts w:hint="eastAsia" w:ascii="方正小标宋简体" w:hAnsi="方正小标宋简体" w:eastAsia="方正小标宋简体" w:cs="方正小标宋简体"/>
          <w:b/>
          <w:sz w:val="32"/>
          <w:szCs w:val="30"/>
          <w:lang w:val="en-US" w:eastAsia="zh-CN"/>
        </w:rPr>
        <w:t>5</w:t>
      </w:r>
      <w:r>
        <w:rPr>
          <w:rFonts w:hint="eastAsia" w:ascii="方正小标宋简体" w:hAnsi="方正小标宋简体" w:eastAsia="方正小标宋简体" w:cs="方正小标宋简体"/>
          <w:b/>
          <w:sz w:val="32"/>
          <w:szCs w:val="30"/>
        </w:rPr>
        <w:t>年部门预算情况说明</w:t>
      </w:r>
    </w:p>
    <w:p>
      <w:pPr>
        <w:keepNext w:val="0"/>
        <w:keepLines w:val="0"/>
        <w:pageBreakBefore w:val="0"/>
        <w:widowControl/>
        <w:kinsoku/>
        <w:wordWrap/>
        <w:overflowPunct/>
        <w:topLinePunct w:val="0"/>
        <w:autoSpaceDE/>
        <w:autoSpaceDN/>
        <w:bidi w:val="0"/>
        <w:adjustRightInd/>
        <w:snapToGrid/>
        <w:spacing w:line="600" w:lineRule="exact"/>
        <w:jc w:val="both"/>
        <w:textAlignment w:val="auto"/>
        <w:rPr>
          <w:rFonts w:ascii="仿宋_GB2312" w:eastAsia="仿宋_GB2312"/>
          <w:b/>
          <w:sz w:val="32"/>
          <w:szCs w:val="30"/>
        </w:rPr>
      </w:pP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rFonts w:ascii="楷体_GB2312" w:eastAsia="楷体_GB2312"/>
          <w:b/>
          <w:sz w:val="32"/>
          <w:szCs w:val="30"/>
        </w:rPr>
      </w:pPr>
      <w:r>
        <w:rPr>
          <w:rFonts w:hint="eastAsia" w:ascii="黑体" w:hAnsi="黑体" w:eastAsia="黑体" w:cs="黑体"/>
          <w:b/>
          <w:sz w:val="32"/>
          <w:szCs w:val="32"/>
        </w:rPr>
        <w:t>一、</w:t>
      </w:r>
      <w:r>
        <w:rPr>
          <w:rFonts w:hint="eastAsia" w:ascii="黑体" w:hAnsi="黑体" w:eastAsia="黑体" w:cs="黑体"/>
          <w:b/>
          <w:sz w:val="32"/>
          <w:szCs w:val="32"/>
          <w:lang w:eastAsia="zh-CN"/>
        </w:rPr>
        <w:t>202</w:t>
      </w:r>
      <w:r>
        <w:rPr>
          <w:rFonts w:hint="eastAsia" w:ascii="黑体" w:hAnsi="黑体" w:eastAsia="黑体" w:cs="黑体"/>
          <w:b/>
          <w:sz w:val="32"/>
          <w:szCs w:val="32"/>
          <w:lang w:val="en-US" w:eastAsia="zh-CN"/>
        </w:rPr>
        <w:t>5</w:t>
      </w:r>
      <w:r>
        <w:rPr>
          <w:rFonts w:hint="eastAsia" w:ascii="黑体" w:hAnsi="黑体" w:eastAsia="黑体" w:cs="黑体"/>
          <w:b/>
          <w:sz w:val="32"/>
          <w:szCs w:val="32"/>
        </w:rPr>
        <w:t>年部门预算收支情况说明</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Style w:val="11"/>
          <w:rFonts w:ascii="Adobe 仿宋 Std R" w:hAnsi="Adobe 仿宋 Std R" w:eastAsia="Adobe 仿宋 Std R"/>
          <w:b/>
          <w:sz w:val="32"/>
          <w:szCs w:val="32"/>
        </w:rPr>
      </w:pPr>
      <w:r>
        <w:rPr>
          <w:rStyle w:val="11"/>
          <w:rFonts w:hint="eastAsia" w:ascii="楷体_GB2312" w:hAnsi="楷体_GB2312" w:eastAsia="楷体_GB2312" w:cs="楷体_GB2312"/>
          <w:b/>
          <w:bCs w:val="0"/>
          <w:sz w:val="32"/>
          <w:szCs w:val="32"/>
          <w:lang w:eastAsia="zh-CN"/>
        </w:rPr>
        <w:t>（</w:t>
      </w:r>
      <w:r>
        <w:rPr>
          <w:rStyle w:val="11"/>
          <w:rFonts w:hint="eastAsia" w:ascii="楷体_GB2312" w:hAnsi="楷体_GB2312" w:eastAsia="楷体_GB2312" w:cs="楷体_GB2312"/>
          <w:b/>
          <w:bCs w:val="0"/>
          <w:sz w:val="32"/>
          <w:szCs w:val="32"/>
        </w:rPr>
        <w:t>一</w:t>
      </w:r>
      <w:r>
        <w:rPr>
          <w:rStyle w:val="11"/>
          <w:rFonts w:hint="eastAsia" w:ascii="楷体_GB2312" w:hAnsi="楷体_GB2312" w:eastAsia="楷体_GB2312" w:cs="楷体_GB2312"/>
          <w:b/>
          <w:bCs w:val="0"/>
          <w:sz w:val="32"/>
          <w:szCs w:val="32"/>
          <w:lang w:eastAsia="zh-CN"/>
        </w:rPr>
        <w:t>）</w:t>
      </w:r>
      <w:r>
        <w:rPr>
          <w:rStyle w:val="11"/>
          <w:rFonts w:hint="eastAsia" w:ascii="楷体_GB2312" w:hAnsi="楷体_GB2312" w:eastAsia="楷体_GB2312" w:cs="楷体_GB2312"/>
          <w:b/>
          <w:bCs w:val="0"/>
          <w:sz w:val="32"/>
          <w:szCs w:val="32"/>
        </w:rPr>
        <w:t>收入预算情况</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2025年</w:t>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${page400644146.ds215660413_REP_JXJC_AGENCY_WZR_NAME}</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昌江区</w:t>
      </w:r>
      <w:r>
        <w:rPr>
          <w:rFonts w:hint="eastAsia" w:ascii="仿宋_GB2312" w:hAnsi="仿宋_GB2312" w:eastAsia="仿宋_GB2312" w:cs="仿宋_GB2312"/>
          <w:b w:val="0"/>
          <w:bCs w:val="0"/>
          <w:color w:val="000000"/>
          <w:kern w:val="0"/>
          <w:sz w:val="32"/>
          <w:szCs w:val="32"/>
          <w:lang w:val="en-US" w:eastAsia="zh-CN"/>
        </w:rPr>
        <w:t>鲇鱼山镇人民政府</w:t>
      </w:r>
      <w:r>
        <w:rPr>
          <w:rFonts w:hint="eastAsia" w:ascii="仿宋_GB2312" w:hAnsi="仿宋_GB2312" w:eastAsia="仿宋_GB2312" w:cs="仿宋_GB2312"/>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${page400644146.ds215660413_REP_BGT_T_HC1100002019_DXQ02_S_ZJ}</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收入预算总额为3918.92万元，较上年预算安排减少8834.03万元；</w:t>
      </w:r>
      <w:r>
        <w:rPr>
          <w:rFonts w:hint="eastAsia" w:ascii="仿宋_GB2312" w:hAnsi="仿宋_GB2312" w:eastAsia="仿宋_GB2312" w:cs="仿宋_GB2312"/>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${page400644146.ds509943833_V_BGT_DEP_INCOME_DXQ01_SRXMMX}</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财政拨款收入3907.51万元，较上年预算安排增加697.19万元；</w:t>
      </w:r>
      <w:r>
        <w:rPr>
          <w:rFonts w:hint="eastAsia" w:ascii="仿宋_GB2312" w:hAnsi="仿宋_GB2312" w:eastAsia="仿宋_GB2312" w:cs="仿宋_GB2312"/>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t>其中：</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按支出项目类别划分：</w:t>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${page400644146.ds215660413_REP_BGT_T_HC1100002019_DXQ02_JBZCQK}</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基本支出1326.31万元，较上年预算安排减少1884.01万元；其中：工资福利支出1250.34万元，商品和服务支出68.3万元，对个人和家庭的补助7.67万元。</w:t>
      </w:r>
      <w:r>
        <w:rPr>
          <w:rFonts w:hint="eastAsia" w:ascii="仿宋_GB2312" w:hAnsi="仿宋_GB2312" w:eastAsia="仿宋_GB2312" w:cs="仿宋_GB2312"/>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t>项目支出2592.61万元。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按支出功能科目划分：</w:t>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${page400644146.ds247441498_REP_BGT_T_HC1100002019DXQ01_GNZJMX}</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一般公共服务支出2854.53万元，较上年预算安排减少9336.61万元；社会保障和就业支出74.13万元，较上年预算安排减少15.32万元；卫生健康支出32.41万元，较上年预算安排减少1.16万元；农林水支出908万元，较上年预算安排增加538.71万元；住房保障支出49.85万元，较上年预算安排减少1.79万元。</w:t>
      </w:r>
      <w:r>
        <w:rPr>
          <w:rFonts w:hint="eastAsia" w:ascii="仿宋_GB2312" w:hAnsi="仿宋_GB2312" w:eastAsia="仿宋_GB2312" w:cs="仿宋_GB2312"/>
          <w:kern w:val="2"/>
          <w:sz w:val="32"/>
          <w:szCs w:val="30"/>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auto"/>
          <w:kern w:val="2"/>
          <w:sz w:val="32"/>
          <w:szCs w:val="30"/>
          <w:lang w:val="en-US" w:eastAsia="zh-CN" w:bidi="ar-SA"/>
        </w:rPr>
      </w:pPr>
      <w:r>
        <w:rPr>
          <w:rStyle w:val="11"/>
          <w:rFonts w:hint="eastAsia" w:ascii="楷体_GB2312" w:hAnsi="楷体_GB2312" w:eastAsia="楷体_GB2312" w:cs="楷体_GB2312"/>
          <w:b/>
          <w:bCs w:val="0"/>
          <w:color w:val="auto"/>
          <w:sz w:val="32"/>
          <w:szCs w:val="32"/>
          <w:lang w:eastAsia="zh-CN"/>
        </w:rPr>
        <w:t>（</w:t>
      </w:r>
      <w:r>
        <w:rPr>
          <w:rStyle w:val="11"/>
          <w:rFonts w:hint="eastAsia" w:ascii="楷体_GB2312" w:hAnsi="楷体_GB2312" w:eastAsia="楷体_GB2312" w:cs="楷体_GB2312"/>
          <w:b/>
          <w:bCs w:val="0"/>
          <w:color w:val="auto"/>
          <w:sz w:val="32"/>
          <w:szCs w:val="32"/>
        </w:rPr>
        <w:t>二</w:t>
      </w:r>
      <w:r>
        <w:rPr>
          <w:rStyle w:val="11"/>
          <w:rFonts w:hint="eastAsia" w:ascii="楷体_GB2312" w:hAnsi="楷体_GB2312" w:eastAsia="楷体_GB2312" w:cs="楷体_GB2312"/>
          <w:b/>
          <w:bCs w:val="0"/>
          <w:color w:val="auto"/>
          <w:sz w:val="32"/>
          <w:szCs w:val="32"/>
          <w:lang w:eastAsia="zh-CN"/>
        </w:rPr>
        <w:t>）</w:t>
      </w:r>
      <w:r>
        <w:rPr>
          <w:rStyle w:val="11"/>
          <w:rFonts w:hint="eastAsia" w:ascii="楷体_GB2312" w:hAnsi="楷体_GB2312" w:eastAsia="楷体_GB2312" w:cs="楷体_GB2312"/>
          <w:b/>
          <w:bCs w:val="0"/>
          <w:color w:val="auto"/>
          <w:sz w:val="32"/>
          <w:szCs w:val="32"/>
        </w:rPr>
        <w:t>支出预算情况</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color w:val="auto"/>
          <w:kern w:val="2"/>
          <w:sz w:val="32"/>
          <w:szCs w:val="30"/>
          <w:lang w:val="en-US" w:eastAsia="zh-CN" w:bidi="ar-SA"/>
        </w:rPr>
        <w:t>2025年</w:t>
      </w:r>
      <w:r>
        <w:rPr>
          <w:rFonts w:hint="eastAsia" w:ascii="仿宋_GB2312" w:hAnsi="仿宋_GB2312" w:eastAsia="仿宋_GB2312" w:cs="仿宋_GB2312"/>
          <w:color w:val="auto"/>
          <w:kern w:val="2"/>
          <w:sz w:val="32"/>
          <w:szCs w:val="30"/>
          <w:lang w:val="en-US" w:eastAsia="zh-CN" w:bidi="ar-SA"/>
        </w:rPr>
        <w:fldChar w:fldCharType="begin"/>
      </w:r>
      <w:r>
        <w:rPr>
          <w:rFonts w:hint="eastAsia" w:ascii="仿宋_GB2312" w:hAnsi="仿宋_GB2312" w:eastAsia="仿宋_GB2312" w:cs="仿宋_GB2312"/>
          <w:color w:val="auto"/>
          <w:kern w:val="2"/>
          <w:sz w:val="32"/>
          <w:szCs w:val="30"/>
          <w:lang w:val="en-US" w:eastAsia="zh-CN" w:bidi="ar-SA"/>
        </w:rPr>
        <w:instrText xml:space="preserve">MERGEFIELD ${page400644146.ds215660413_REP_JXJC_AGENCY_WZR_NAME}</w:instrText>
      </w:r>
      <w:r>
        <w:rPr>
          <w:rFonts w:hint="eastAsia" w:ascii="仿宋_GB2312" w:hAnsi="仿宋_GB2312" w:eastAsia="仿宋_GB2312" w:cs="仿宋_GB2312"/>
          <w:color w:val="auto"/>
          <w:kern w:val="2"/>
          <w:sz w:val="32"/>
          <w:szCs w:val="30"/>
          <w:lang w:val="en-US" w:eastAsia="zh-CN" w:bidi="ar-SA"/>
        </w:rPr>
        <w:fldChar w:fldCharType="separate"/>
      </w:r>
      <w:r>
        <w:rPr>
          <w:rFonts w:hint="eastAsia" w:ascii="仿宋_GB2312" w:hAnsi="仿宋_GB2312" w:eastAsia="仿宋_GB2312" w:cs="仿宋_GB2312"/>
          <w:color w:val="auto"/>
          <w:kern w:val="2"/>
          <w:sz w:val="32"/>
          <w:szCs w:val="30"/>
          <w:lang w:val="en-US" w:eastAsia="zh-CN" w:bidi="ar-SA"/>
        </w:rPr>
        <w:t>昌江区</w:t>
      </w:r>
      <w:r>
        <w:rPr>
          <w:rFonts w:hint="eastAsia" w:ascii="仿宋_GB2312" w:hAnsi="仿宋_GB2312" w:eastAsia="仿宋_GB2312" w:cs="仿宋_GB2312"/>
          <w:b w:val="0"/>
          <w:bCs w:val="0"/>
          <w:color w:val="auto"/>
          <w:kern w:val="0"/>
          <w:sz w:val="32"/>
          <w:szCs w:val="32"/>
          <w:lang w:val="en-US" w:eastAsia="zh-CN"/>
        </w:rPr>
        <w:t>鲇鱼山镇人民政府</w:t>
      </w:r>
      <w:r>
        <w:rPr>
          <w:rFonts w:hint="eastAsia" w:ascii="仿宋_GB2312" w:hAnsi="仿宋_GB2312" w:eastAsia="仿宋_GB2312" w:cs="仿宋_GB2312"/>
          <w:color w:val="auto"/>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${page400644146.ds215660413_REP_BGT_T_HC1100002019_DXQ02_S_CBXJ}</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财政拨款支出预算总额3918.92万元，较上年预算安排增加8834.03万元；</w:t>
      </w:r>
      <w:r>
        <w:rPr>
          <w:rFonts w:hint="eastAsia" w:ascii="仿宋_GB2312" w:hAnsi="仿宋_GB2312" w:eastAsia="仿宋_GB2312" w:cs="仿宋_GB2312"/>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t>其中：</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按支出项目类别划分：</w:t>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${page400644146.ds215660413_REP_BGT_T_HC1100002019_DXQ02_JBZCQK}</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基本支出1326.31万元，较上年预算安排减少1884.01万元；其中：工资福利支出1250.34万元，商品和服务支出68.3万元，对个人和家庭的补助7.67万元。</w:t>
      </w:r>
      <w:r>
        <w:rPr>
          <w:rFonts w:hint="eastAsia" w:ascii="仿宋_GB2312" w:hAnsi="仿宋_GB2312" w:eastAsia="仿宋_GB2312" w:cs="仿宋_GB2312"/>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t>项目支出2592.61万元。</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按支出功能科目划分：</w:t>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${page400644146.ds247441498_REP_BGT_T_HC1100002019DXQ01_GNZJMX}</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一般公共服务支出2854.53万元，较上年预算安排减少9336.61万元；社会保障和就业支出74.13万元，较上年预算安排减少15.32万元；卫生健康支出32.41万元，较上年预算安排减少1.16万元；农林水支出908万元，较上年预算安排增加538.71万元；住房保障支出49.85万元，较上年预算安排减少1.79万元。</w:t>
      </w:r>
      <w:r>
        <w:rPr>
          <w:rFonts w:hint="eastAsia" w:ascii="仿宋_GB2312" w:hAnsi="仿宋_GB2312" w:eastAsia="仿宋_GB2312" w:cs="仿宋_GB2312"/>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Style w:val="11"/>
          <w:rFonts w:hint="eastAsia" w:ascii="楷体_GB2312" w:hAnsi="楷体_GB2312" w:eastAsia="楷体_GB2312" w:cs="楷体_GB2312"/>
          <w:b/>
          <w:bCs w:val="0"/>
          <w:sz w:val="32"/>
          <w:szCs w:val="32"/>
        </w:rPr>
      </w:pPr>
      <w:r>
        <w:rPr>
          <w:rStyle w:val="11"/>
          <w:rFonts w:hint="eastAsia" w:ascii="楷体_GB2312" w:hAnsi="楷体_GB2312" w:eastAsia="楷体_GB2312" w:cs="楷体_GB2312"/>
          <w:b/>
          <w:bCs w:val="0"/>
          <w:sz w:val="32"/>
          <w:szCs w:val="32"/>
          <w:lang w:eastAsia="zh-CN"/>
        </w:rPr>
        <w:t>（</w:t>
      </w:r>
      <w:r>
        <w:rPr>
          <w:rStyle w:val="11"/>
          <w:rFonts w:hint="eastAsia" w:ascii="楷体_GB2312" w:hAnsi="楷体_GB2312" w:eastAsia="楷体_GB2312" w:cs="楷体_GB2312"/>
          <w:b/>
          <w:bCs w:val="0"/>
          <w:sz w:val="32"/>
          <w:szCs w:val="32"/>
        </w:rPr>
        <w:t>三</w:t>
      </w:r>
      <w:r>
        <w:rPr>
          <w:rStyle w:val="11"/>
          <w:rFonts w:hint="eastAsia" w:ascii="楷体_GB2312" w:hAnsi="楷体_GB2312" w:eastAsia="楷体_GB2312" w:cs="楷体_GB2312"/>
          <w:b/>
          <w:bCs w:val="0"/>
          <w:sz w:val="32"/>
          <w:szCs w:val="32"/>
          <w:lang w:eastAsia="zh-CN"/>
        </w:rPr>
        <w:t>）</w:t>
      </w:r>
      <w:r>
        <w:rPr>
          <w:rStyle w:val="11"/>
          <w:rFonts w:hint="eastAsia" w:ascii="楷体_GB2312" w:hAnsi="楷体_GB2312" w:eastAsia="楷体_GB2312" w:cs="楷体_GB2312"/>
          <w:b/>
          <w:bCs w:val="0"/>
          <w:sz w:val="32"/>
          <w:szCs w:val="32"/>
        </w:rPr>
        <w:t>财政拨款支出情况</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color w:val="auto"/>
          <w:kern w:val="2"/>
          <w:sz w:val="32"/>
          <w:szCs w:val="30"/>
          <w:lang w:val="en-US" w:eastAsia="zh-CN" w:bidi="ar-SA"/>
        </w:rPr>
        <w:t>2025年</w:t>
      </w:r>
      <w:r>
        <w:rPr>
          <w:rFonts w:hint="eastAsia" w:ascii="仿宋_GB2312" w:hAnsi="仿宋_GB2312" w:eastAsia="仿宋_GB2312" w:cs="仿宋_GB2312"/>
          <w:color w:val="auto"/>
          <w:kern w:val="2"/>
          <w:sz w:val="32"/>
          <w:szCs w:val="30"/>
          <w:lang w:val="en-US" w:eastAsia="zh-CN" w:bidi="ar-SA"/>
        </w:rPr>
        <w:fldChar w:fldCharType="begin"/>
      </w:r>
      <w:r>
        <w:rPr>
          <w:rFonts w:hint="eastAsia" w:ascii="仿宋_GB2312" w:hAnsi="仿宋_GB2312" w:eastAsia="仿宋_GB2312" w:cs="仿宋_GB2312"/>
          <w:color w:val="auto"/>
          <w:kern w:val="2"/>
          <w:sz w:val="32"/>
          <w:szCs w:val="30"/>
          <w:lang w:val="en-US" w:eastAsia="zh-CN" w:bidi="ar-SA"/>
        </w:rPr>
        <w:instrText xml:space="preserve">MERGEFIELD ${page400644146.ds215660413_REP_JXJC_AGENCY_WZR_NAME}</w:instrText>
      </w:r>
      <w:r>
        <w:rPr>
          <w:rFonts w:hint="eastAsia" w:ascii="仿宋_GB2312" w:hAnsi="仿宋_GB2312" w:eastAsia="仿宋_GB2312" w:cs="仿宋_GB2312"/>
          <w:color w:val="auto"/>
          <w:kern w:val="2"/>
          <w:sz w:val="32"/>
          <w:szCs w:val="30"/>
          <w:lang w:val="en-US" w:eastAsia="zh-CN" w:bidi="ar-SA"/>
        </w:rPr>
        <w:fldChar w:fldCharType="separate"/>
      </w:r>
      <w:r>
        <w:rPr>
          <w:rFonts w:hint="eastAsia" w:ascii="仿宋_GB2312" w:hAnsi="仿宋_GB2312" w:eastAsia="仿宋_GB2312" w:cs="仿宋_GB2312"/>
          <w:color w:val="auto"/>
          <w:kern w:val="2"/>
          <w:sz w:val="32"/>
          <w:szCs w:val="30"/>
          <w:lang w:val="en-US" w:eastAsia="zh-CN" w:bidi="ar-SA"/>
        </w:rPr>
        <w:t>昌江区</w:t>
      </w:r>
      <w:r>
        <w:rPr>
          <w:rFonts w:hint="eastAsia" w:ascii="仿宋_GB2312" w:hAnsi="仿宋_GB2312" w:eastAsia="仿宋_GB2312" w:cs="仿宋_GB2312"/>
          <w:b w:val="0"/>
          <w:bCs w:val="0"/>
          <w:color w:val="auto"/>
          <w:kern w:val="0"/>
          <w:sz w:val="32"/>
          <w:szCs w:val="32"/>
          <w:lang w:val="en-US" w:eastAsia="zh-CN"/>
        </w:rPr>
        <w:t>鲇鱼山镇人民政府</w:t>
      </w:r>
      <w:r>
        <w:rPr>
          <w:rFonts w:hint="eastAsia" w:ascii="仿宋_GB2312" w:hAnsi="仿宋_GB2312" w:eastAsia="仿宋_GB2312" w:cs="仿宋_GB2312"/>
          <w:color w:val="auto"/>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${page400644146.ds215660413_REP_BGT_T_HC1100002019_DXQ02_S_CBXJ}</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财政拨款支出预算总额3918.92万元，较上年预算安排增加8834.03万元；</w:t>
      </w:r>
      <w:r>
        <w:rPr>
          <w:rFonts w:hint="eastAsia" w:ascii="仿宋_GB2312" w:hAnsi="仿宋_GB2312" w:eastAsia="仿宋_GB2312" w:cs="仿宋_GB2312"/>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t>其中：</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按支出项目类别划分：</w:t>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${page400644146.ds215660413_REP_BGT_T_HC1100002019_DXQ02_JBZCQK}</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基本支出1326.31万元，较上年预算安排减少1884.01万元；其中：工资福利支出1250.34万元，商品和服务支出68.3万元，对个人和家庭的补助7.67万元。</w:t>
      </w:r>
      <w:r>
        <w:rPr>
          <w:rFonts w:hint="eastAsia" w:ascii="仿宋_GB2312" w:hAnsi="仿宋_GB2312" w:eastAsia="仿宋_GB2312" w:cs="仿宋_GB2312"/>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t>项目支出2592.61万元。</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按支出功能科目划分：</w:t>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${page400644146.ds247441498_REP_BGT_T_HC1100002019DXQ01_GNZJMX}</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一般公共服务支出2854.53万元，较上年预算安排减少9336.61万元；社会保障和就业支出74.13万元，较上年预算安排减少15.32万元；卫生健康支出32.41万元，较上年预算安排减少1.16万元；农林水支出908万元，较上年预算安排增加538.71万元；住房保障支出49.85万元，较上年预算安排减少1.79万元。</w:t>
      </w:r>
      <w:r>
        <w:rPr>
          <w:rFonts w:hint="eastAsia" w:ascii="仿宋_GB2312" w:hAnsi="仿宋_GB2312" w:eastAsia="仿宋_GB2312" w:cs="仿宋_GB2312"/>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t xml:space="preserve"> </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Style w:val="11"/>
          <w:rFonts w:hint="eastAsia" w:ascii="楷体_GB2312" w:hAnsi="楷体_GB2312" w:eastAsia="楷体_GB2312" w:cs="楷体_GB2312"/>
          <w:b/>
          <w:bCs w:val="0"/>
          <w:sz w:val="32"/>
          <w:szCs w:val="32"/>
        </w:rPr>
      </w:pPr>
      <w:r>
        <w:rPr>
          <w:rStyle w:val="11"/>
          <w:rFonts w:hint="eastAsia" w:ascii="楷体_GB2312" w:hAnsi="楷体_GB2312" w:eastAsia="楷体_GB2312" w:cs="楷体_GB2312"/>
          <w:b/>
          <w:bCs w:val="0"/>
          <w:sz w:val="32"/>
          <w:szCs w:val="32"/>
          <w:lang w:eastAsia="zh-CN"/>
        </w:rPr>
        <w:t>（</w:t>
      </w:r>
      <w:r>
        <w:rPr>
          <w:rStyle w:val="11"/>
          <w:rFonts w:hint="eastAsia" w:ascii="楷体_GB2312" w:hAnsi="楷体_GB2312" w:eastAsia="楷体_GB2312" w:cs="楷体_GB2312"/>
          <w:b/>
          <w:bCs w:val="0"/>
          <w:sz w:val="32"/>
          <w:szCs w:val="32"/>
        </w:rPr>
        <w:t>四</w:t>
      </w:r>
      <w:r>
        <w:rPr>
          <w:rStyle w:val="11"/>
          <w:rFonts w:hint="eastAsia" w:ascii="楷体_GB2312" w:hAnsi="楷体_GB2312" w:eastAsia="楷体_GB2312" w:cs="楷体_GB2312"/>
          <w:b/>
          <w:bCs w:val="0"/>
          <w:sz w:val="32"/>
          <w:szCs w:val="32"/>
          <w:lang w:eastAsia="zh-CN"/>
        </w:rPr>
        <w:t>）</w:t>
      </w:r>
      <w:r>
        <w:rPr>
          <w:rStyle w:val="11"/>
          <w:rFonts w:hint="eastAsia" w:ascii="楷体_GB2312" w:hAnsi="楷体_GB2312" w:eastAsia="楷体_GB2312" w:cs="楷体_GB2312"/>
          <w:b/>
          <w:bCs w:val="0"/>
          <w:sz w:val="32"/>
          <w:szCs w:val="32"/>
        </w:rPr>
        <w:t>政府性基金情况</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2025年</w:t>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${page400644146.ds509943833_REP_JXJC_AGENCY_WZR_NAME}</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昌江区</w:t>
      </w:r>
      <w:r>
        <w:rPr>
          <w:rFonts w:hint="eastAsia" w:ascii="仿宋_GB2312" w:hAnsi="仿宋_GB2312" w:eastAsia="仿宋_GB2312" w:cs="仿宋_GB2312"/>
          <w:b w:val="0"/>
          <w:bCs w:val="0"/>
          <w:color w:val="000000"/>
          <w:kern w:val="0"/>
          <w:sz w:val="32"/>
          <w:szCs w:val="32"/>
          <w:lang w:val="en-US" w:eastAsia="zh-CN"/>
        </w:rPr>
        <w:t>鲇鱼山镇人民政府</w:t>
      </w:r>
      <w:r>
        <w:rPr>
          <w:rFonts w:hint="eastAsia" w:ascii="仿宋_GB2312" w:hAnsi="仿宋_GB2312" w:eastAsia="仿宋_GB2312" w:cs="仿宋_GB2312"/>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t>无政府性基金</w:t>
      </w:r>
      <w:r>
        <w:rPr>
          <w:rStyle w:val="11"/>
          <w:rFonts w:hint="eastAsia" w:ascii="仿宋_GB2312" w:hAnsi="仿宋_GB2312" w:eastAsia="仿宋_GB2312" w:cs="仿宋_GB2312"/>
          <w:b w:val="0"/>
          <w:bCs/>
          <w:sz w:val="32"/>
          <w:szCs w:val="32"/>
        </w:rPr>
        <w:t>预算拨款安排的支出</w:t>
      </w:r>
      <w:r>
        <w:rPr>
          <w:rFonts w:hint="eastAsia" w:ascii="仿宋_GB2312" w:hAnsi="仿宋_GB2312" w:eastAsia="仿宋_GB2312" w:cs="仿宋_GB2312"/>
          <w:b w:val="0"/>
          <w:bCs/>
          <w:kern w:val="2"/>
          <w:sz w:val="32"/>
          <w:szCs w:val="30"/>
          <w:lang w:val="en-US" w:eastAsia="zh-CN" w:bidi="ar-SA"/>
        </w:rPr>
        <w:fldChar w:fldCharType="begin"/>
      </w:r>
      <w:r>
        <w:rPr>
          <w:rFonts w:hint="eastAsia" w:ascii="仿宋_GB2312" w:hAnsi="仿宋_GB2312" w:eastAsia="仿宋_GB2312" w:cs="仿宋_GB2312"/>
          <w:b w:val="0"/>
          <w:bCs/>
          <w:kern w:val="2"/>
          <w:sz w:val="32"/>
          <w:szCs w:val="30"/>
          <w:lang w:val="en-US" w:eastAsia="zh-CN" w:bidi="ar-SA"/>
        </w:rPr>
        <w:instrText xml:space="preserve">MERGEFIELD ${page400644146.ds215660413_REP_BGT_T_HC1100002019_DXQ02_JBZCQKJJ}</w:instrText>
      </w:r>
      <w:r>
        <w:rPr>
          <w:rFonts w:hint="eastAsia" w:ascii="仿宋_GB2312" w:hAnsi="仿宋_GB2312" w:eastAsia="仿宋_GB2312" w:cs="仿宋_GB2312"/>
          <w:b w:val="0"/>
          <w:bCs/>
          <w:kern w:val="2"/>
          <w:sz w:val="32"/>
          <w:szCs w:val="30"/>
          <w:lang w:val="en-US" w:eastAsia="zh-CN" w:bidi="ar-SA"/>
        </w:rPr>
        <w:fldChar w:fldCharType="end"/>
      </w:r>
      <w:r>
        <w:rPr>
          <w:rFonts w:hint="eastAsia" w:ascii="仿宋_GB2312" w:hAnsi="仿宋_GB2312" w:eastAsia="仿宋_GB2312" w:cs="仿宋_GB2312"/>
          <w:b w:val="0"/>
          <w:bCs/>
          <w:kern w:val="2"/>
          <w:sz w:val="32"/>
          <w:szCs w:val="30"/>
          <w:lang w:val="en-US" w:eastAsia="zh-CN" w:bidi="ar-SA"/>
        </w:rPr>
        <w:fldChar w:fldCharType="begin"/>
      </w:r>
      <w:r>
        <w:rPr>
          <w:rFonts w:hint="eastAsia" w:ascii="仿宋_GB2312" w:hAnsi="仿宋_GB2312" w:eastAsia="仿宋_GB2312" w:cs="仿宋_GB2312"/>
          <w:b w:val="0"/>
          <w:bCs/>
          <w:kern w:val="2"/>
          <w:sz w:val="32"/>
          <w:szCs w:val="30"/>
          <w:lang w:val="en-US" w:eastAsia="zh-CN" w:bidi="ar-SA"/>
        </w:rPr>
        <w:instrText xml:space="preserve">MERGEFIELD ${page400644146.ds215660413_REP_BGT_T_HC1100002019_DXQ02_XMZCQKJJ}</w:instrText>
      </w:r>
      <w:r>
        <w:rPr>
          <w:rFonts w:hint="eastAsia" w:ascii="仿宋_GB2312" w:hAnsi="仿宋_GB2312" w:eastAsia="仿宋_GB2312" w:cs="仿宋_GB2312"/>
          <w:b w:val="0"/>
          <w:bCs/>
          <w:kern w:val="2"/>
          <w:sz w:val="32"/>
          <w:szCs w:val="30"/>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Style w:val="11"/>
          <w:rFonts w:hint="eastAsia" w:ascii="楷体_GB2312" w:hAnsi="楷体_GB2312" w:eastAsia="楷体_GB2312" w:cs="楷体_GB2312"/>
          <w:b/>
          <w:bCs w:val="0"/>
          <w:sz w:val="32"/>
          <w:szCs w:val="32"/>
        </w:rPr>
      </w:pPr>
      <w:r>
        <w:rPr>
          <w:rStyle w:val="11"/>
          <w:rFonts w:hint="eastAsia" w:ascii="楷体_GB2312" w:hAnsi="楷体_GB2312" w:eastAsia="楷体_GB2312" w:cs="楷体_GB2312"/>
          <w:b/>
          <w:bCs w:val="0"/>
          <w:sz w:val="32"/>
          <w:szCs w:val="32"/>
        </w:rPr>
        <w:t>（五）国有资本经营情况</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Style w:val="11"/>
          <w:rFonts w:hint="eastAsia" w:ascii="仿宋" w:hAnsi="仿宋" w:eastAsia="仿宋_GB2312"/>
          <w:b w:val="0"/>
          <w:bCs/>
          <w:sz w:val="32"/>
          <w:szCs w:val="32"/>
          <w:lang w:eastAsia="zh-CN"/>
        </w:rPr>
      </w:pPr>
      <w:r>
        <w:rPr>
          <w:rFonts w:hint="eastAsia" w:ascii="仿宋_GB2312" w:hAnsi="仿宋_GB2312" w:eastAsia="仿宋_GB2312" w:cs="仿宋_GB2312"/>
          <w:kern w:val="2"/>
          <w:sz w:val="32"/>
          <w:szCs w:val="30"/>
          <w:lang w:val="en-US" w:eastAsia="zh-CN" w:bidi="ar-SA"/>
        </w:rPr>
        <w:t>2025年</w:t>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${page400644146.ds509943833_REP_JXJC_AGENCY_WZR_NAME}</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昌江区</w:t>
      </w:r>
      <w:r>
        <w:rPr>
          <w:rFonts w:hint="eastAsia" w:ascii="仿宋_GB2312" w:hAnsi="仿宋_GB2312" w:eastAsia="仿宋_GB2312" w:cs="仿宋_GB2312"/>
          <w:b w:val="0"/>
          <w:bCs w:val="0"/>
          <w:color w:val="000000"/>
          <w:kern w:val="0"/>
          <w:sz w:val="32"/>
          <w:szCs w:val="32"/>
          <w:lang w:val="en-US" w:eastAsia="zh-CN"/>
        </w:rPr>
        <w:t>鲇鱼山镇人民政府</w:t>
      </w:r>
      <w:r>
        <w:rPr>
          <w:rFonts w:hint="eastAsia" w:ascii="仿宋_GB2312" w:hAnsi="仿宋_GB2312" w:eastAsia="仿宋_GB2312" w:cs="仿宋_GB2312"/>
          <w:kern w:val="2"/>
          <w:sz w:val="32"/>
          <w:szCs w:val="30"/>
          <w:lang w:val="en-US" w:eastAsia="zh-CN" w:bidi="ar-SA"/>
        </w:rPr>
        <w:fldChar w:fldCharType="end"/>
      </w:r>
      <w:r>
        <w:rPr>
          <w:rStyle w:val="11"/>
          <w:rFonts w:hint="eastAsia" w:ascii="仿宋_GB2312" w:hAnsi="仿宋_GB2312" w:eastAsia="仿宋_GB2312" w:cs="仿宋_GB2312"/>
          <w:b w:val="0"/>
          <w:bCs/>
          <w:sz w:val="32"/>
          <w:szCs w:val="32"/>
        </w:rPr>
        <w:t>没有使用国有资本经营预算拨款安排的支出</w:t>
      </w:r>
      <w:r>
        <w:rPr>
          <w:rStyle w:val="11"/>
          <w:rFonts w:hint="eastAsia" w:ascii="仿宋_GB2312" w:hAnsi="仿宋_GB2312" w:eastAsia="仿宋_GB2312" w:cs="仿宋_GB2312"/>
          <w:b w:val="0"/>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Style w:val="11"/>
          <w:rFonts w:hint="eastAsia" w:ascii="楷体_GB2312" w:hAnsi="楷体_GB2312" w:eastAsia="楷体_GB2312" w:cs="楷体_GB2312"/>
          <w:b/>
          <w:bCs w:val="0"/>
          <w:sz w:val="32"/>
          <w:szCs w:val="32"/>
        </w:rPr>
      </w:pPr>
      <w:r>
        <w:rPr>
          <w:rStyle w:val="11"/>
          <w:rFonts w:hint="eastAsia" w:ascii="楷体_GB2312" w:hAnsi="楷体_GB2312" w:eastAsia="楷体_GB2312" w:cs="楷体_GB2312"/>
          <w:b/>
          <w:bCs w:val="0"/>
          <w:sz w:val="32"/>
          <w:szCs w:val="32"/>
          <w:lang w:eastAsia="zh-CN"/>
        </w:rPr>
        <w:t>（</w:t>
      </w:r>
      <w:r>
        <w:rPr>
          <w:rStyle w:val="11"/>
          <w:rFonts w:hint="eastAsia" w:ascii="楷体_GB2312" w:hAnsi="楷体_GB2312" w:eastAsia="楷体_GB2312" w:cs="楷体_GB2312"/>
          <w:b/>
          <w:bCs w:val="0"/>
          <w:color w:val="auto"/>
          <w:sz w:val="32"/>
          <w:szCs w:val="32"/>
        </w:rPr>
        <w:t>六</w:t>
      </w:r>
      <w:r>
        <w:rPr>
          <w:rStyle w:val="11"/>
          <w:rFonts w:hint="eastAsia" w:ascii="楷体_GB2312" w:hAnsi="楷体_GB2312" w:eastAsia="楷体_GB2312" w:cs="楷体_GB2312"/>
          <w:b/>
          <w:bCs w:val="0"/>
          <w:color w:val="auto"/>
          <w:sz w:val="32"/>
          <w:szCs w:val="32"/>
          <w:lang w:eastAsia="zh-CN"/>
        </w:rPr>
        <w:t>）</w:t>
      </w:r>
      <w:r>
        <w:rPr>
          <w:rStyle w:val="11"/>
          <w:rFonts w:hint="eastAsia" w:ascii="楷体_GB2312" w:hAnsi="楷体_GB2312" w:eastAsia="楷体_GB2312" w:cs="楷体_GB2312"/>
          <w:b/>
          <w:bCs w:val="0"/>
          <w:color w:val="auto"/>
          <w:sz w:val="32"/>
          <w:szCs w:val="32"/>
        </w:rPr>
        <w:t>机关</w:t>
      </w:r>
      <w:r>
        <w:rPr>
          <w:rStyle w:val="11"/>
          <w:rFonts w:hint="eastAsia" w:ascii="楷体_GB2312" w:hAnsi="楷体_GB2312" w:eastAsia="楷体_GB2312" w:cs="楷体_GB2312"/>
          <w:b/>
          <w:bCs w:val="0"/>
          <w:sz w:val="32"/>
          <w:szCs w:val="32"/>
        </w:rPr>
        <w:t>运行经费等重要事项的说明</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ascii="Adobe 仿宋 Std R" w:hAnsi="Adobe 仿宋 Std R" w:eastAsia="Adobe 仿宋 Std R"/>
          <w:sz w:val="32"/>
          <w:szCs w:val="32"/>
        </w:rPr>
      </w:pPr>
      <w:r>
        <w:rPr>
          <w:rFonts w:hint="eastAsia" w:ascii="仿宋_GB2312" w:hAnsi="仿宋_GB2312" w:eastAsia="仿宋_GB2312" w:cs="仿宋_GB2312"/>
          <w:kern w:val="2"/>
          <w:sz w:val="32"/>
          <w:szCs w:val="30"/>
          <w:lang w:val="en-US" w:eastAsia="zh-CN" w:bidi="ar-SA"/>
        </w:rPr>
        <w:t>2025年部门机关运行费预算3907.51万元，较上年预算增加697.19万元，增长22%。</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Style w:val="11"/>
          <w:rFonts w:hint="eastAsia" w:ascii="楷体_GB2312" w:hAnsi="楷体_GB2312" w:eastAsia="楷体_GB2312" w:cs="楷体_GB2312"/>
          <w:b/>
          <w:bCs w:val="0"/>
          <w:color w:val="auto"/>
          <w:sz w:val="32"/>
          <w:szCs w:val="32"/>
        </w:rPr>
      </w:pPr>
      <w:r>
        <w:rPr>
          <w:rStyle w:val="11"/>
          <w:rFonts w:hint="eastAsia" w:ascii="楷体_GB2312" w:hAnsi="楷体_GB2312" w:eastAsia="楷体_GB2312" w:cs="楷体_GB2312"/>
          <w:b/>
          <w:bCs w:val="0"/>
          <w:sz w:val="32"/>
          <w:szCs w:val="32"/>
          <w:lang w:eastAsia="zh-CN"/>
        </w:rPr>
        <w:t>（</w:t>
      </w:r>
      <w:r>
        <w:rPr>
          <w:rStyle w:val="11"/>
          <w:rFonts w:hint="eastAsia" w:ascii="楷体_GB2312" w:hAnsi="楷体_GB2312" w:eastAsia="楷体_GB2312" w:cs="楷体_GB2312"/>
          <w:b/>
          <w:bCs w:val="0"/>
          <w:color w:val="auto"/>
          <w:sz w:val="32"/>
          <w:szCs w:val="32"/>
        </w:rPr>
        <w:t>七</w:t>
      </w:r>
      <w:r>
        <w:rPr>
          <w:rStyle w:val="11"/>
          <w:rFonts w:hint="eastAsia" w:ascii="楷体_GB2312" w:hAnsi="楷体_GB2312" w:eastAsia="楷体_GB2312" w:cs="楷体_GB2312"/>
          <w:b/>
          <w:bCs w:val="0"/>
          <w:color w:val="auto"/>
          <w:sz w:val="32"/>
          <w:szCs w:val="32"/>
          <w:lang w:eastAsia="zh-CN"/>
        </w:rPr>
        <w:t>）</w:t>
      </w:r>
      <w:r>
        <w:rPr>
          <w:rStyle w:val="11"/>
          <w:rFonts w:hint="eastAsia" w:ascii="楷体_GB2312" w:hAnsi="楷体_GB2312" w:eastAsia="楷体_GB2312" w:cs="楷体_GB2312"/>
          <w:b/>
          <w:bCs w:val="0"/>
          <w:color w:val="auto"/>
          <w:sz w:val="32"/>
          <w:szCs w:val="32"/>
        </w:rPr>
        <w:t>政府采购情况</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2025年</w:t>
      </w:r>
      <w:r>
        <w:rPr>
          <w:rFonts w:hint="eastAsia" w:ascii="仿宋_GB2312" w:hAnsi="仿宋_GB2312" w:eastAsia="仿宋_GB2312" w:cs="仿宋_GB2312"/>
          <w:b/>
          <w:bCs/>
          <w:color w:val="000000"/>
          <w:sz w:val="32"/>
          <w:szCs w:val="32"/>
        </w:rPr>
        <w:fldChar w:fldCharType="begin"/>
      </w:r>
      <w:r>
        <w:rPr>
          <w:rFonts w:hint="eastAsia" w:ascii="仿宋_GB2312" w:hAnsi="仿宋_GB2312" w:eastAsia="仿宋_GB2312" w:cs="仿宋_GB2312"/>
          <w:b/>
          <w:bCs/>
          <w:color w:val="000000"/>
          <w:sz w:val="32"/>
          <w:szCs w:val="32"/>
        </w:rPr>
        <w:instrText xml:space="preserve">MERGEFIELD ${page400644146.ds509943833_REP_JXJC_AGENCY_WZR_NAME}</w:instrText>
      </w:r>
      <w:r>
        <w:rPr>
          <w:rFonts w:hint="eastAsia" w:ascii="仿宋_GB2312" w:hAnsi="仿宋_GB2312" w:eastAsia="仿宋_GB2312" w:cs="仿宋_GB2312"/>
          <w:b/>
          <w:bCs/>
          <w:color w:val="000000"/>
          <w:sz w:val="32"/>
          <w:szCs w:val="32"/>
        </w:rPr>
        <w:fldChar w:fldCharType="separate"/>
      </w:r>
      <w:r>
        <w:rPr>
          <w:rFonts w:hint="eastAsia" w:ascii="仿宋_GB2312" w:hAnsi="仿宋_GB2312" w:eastAsia="仿宋_GB2312" w:cs="仿宋_GB2312"/>
          <w:b/>
          <w:bCs/>
          <w:color w:val="000000"/>
          <w:sz w:val="32"/>
          <w:szCs w:val="32"/>
          <w:lang w:eastAsia="zh-CN"/>
        </w:rPr>
        <w:t>昌江区</w:t>
      </w:r>
      <w:r>
        <w:rPr>
          <w:rFonts w:hint="eastAsia" w:ascii="仿宋_GB2312" w:hAnsi="仿宋_GB2312" w:eastAsia="仿宋_GB2312" w:cs="仿宋_GB2312"/>
          <w:b w:val="0"/>
          <w:bCs w:val="0"/>
          <w:color w:val="000000"/>
          <w:kern w:val="0"/>
          <w:sz w:val="32"/>
          <w:szCs w:val="32"/>
          <w:lang w:val="en-US" w:eastAsia="zh-CN"/>
        </w:rPr>
        <w:t>鲇鱼山镇人民政府</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2"/>
          <w:sz w:val="32"/>
          <w:szCs w:val="30"/>
          <w:lang w:val="en-US" w:eastAsia="zh-CN" w:bidi="ar-SA"/>
        </w:rPr>
        <w:t>部门所属各单位政府采购总额200万元，其中：政府采购货物预算50万元，政府采购服务预算150万元。</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Style w:val="11"/>
          <w:rFonts w:hint="eastAsia" w:ascii="楷体_GB2312" w:hAnsi="楷体_GB2312" w:eastAsia="楷体_GB2312" w:cs="楷体_GB2312"/>
          <w:b/>
          <w:bCs w:val="0"/>
          <w:sz w:val="32"/>
          <w:szCs w:val="32"/>
        </w:rPr>
      </w:pPr>
      <w:r>
        <w:rPr>
          <w:rStyle w:val="11"/>
          <w:rFonts w:hint="eastAsia" w:ascii="楷体_GB2312" w:hAnsi="楷体_GB2312" w:eastAsia="楷体_GB2312" w:cs="楷体_GB2312"/>
          <w:b/>
          <w:bCs w:val="0"/>
          <w:sz w:val="32"/>
          <w:szCs w:val="32"/>
          <w:lang w:eastAsia="zh-CN"/>
        </w:rPr>
        <w:t>（</w:t>
      </w:r>
      <w:r>
        <w:rPr>
          <w:rStyle w:val="11"/>
          <w:rFonts w:hint="eastAsia" w:ascii="楷体_GB2312" w:hAnsi="楷体_GB2312" w:eastAsia="楷体_GB2312" w:cs="楷体_GB2312"/>
          <w:b/>
          <w:bCs w:val="0"/>
          <w:sz w:val="32"/>
          <w:szCs w:val="32"/>
        </w:rPr>
        <w:t>八</w:t>
      </w:r>
      <w:r>
        <w:rPr>
          <w:rStyle w:val="11"/>
          <w:rFonts w:hint="eastAsia" w:ascii="楷体_GB2312" w:hAnsi="楷体_GB2312" w:eastAsia="楷体_GB2312" w:cs="楷体_GB2312"/>
          <w:b/>
          <w:bCs w:val="0"/>
          <w:sz w:val="32"/>
          <w:szCs w:val="32"/>
          <w:lang w:eastAsia="zh-CN"/>
        </w:rPr>
        <w:t>）</w:t>
      </w:r>
      <w:r>
        <w:rPr>
          <w:rStyle w:val="11"/>
          <w:rFonts w:hint="eastAsia" w:ascii="楷体_GB2312" w:hAnsi="楷体_GB2312" w:eastAsia="楷体_GB2312" w:cs="楷体_GB2312"/>
          <w:b/>
          <w:bCs w:val="0"/>
          <w:sz w:val="32"/>
          <w:szCs w:val="32"/>
        </w:rPr>
        <w:t>国有资产占有使用情况</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截至2024年8月31日，</w:t>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${page400644146.ds532982397_REP_JX_BAS_AGENCY_INFO_ZYFRS_S_CLSYS}</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部门共有车辆5辆；其中：一般业务用车实有数2辆，特殊业务用车实有数0辆，执法执勤用车实有数3辆。</w:t>
      </w:r>
      <w:r>
        <w:rPr>
          <w:rFonts w:hint="eastAsia" w:ascii="仿宋_GB2312" w:hAnsi="仿宋_GB2312" w:eastAsia="仿宋_GB2312" w:cs="仿宋_GB2312"/>
          <w:kern w:val="2"/>
          <w:sz w:val="32"/>
          <w:szCs w:val="30"/>
          <w:lang w:val="en-US" w:eastAsia="zh-CN" w:bidi="ar-SA"/>
        </w:rPr>
        <w:fldChar w:fldCharType="end"/>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2025年部门预算安排购置车辆0辆，安排购置单位价值200万元以上大型设备具体为：...。</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Style w:val="11"/>
          <w:rFonts w:hint="eastAsia" w:ascii="楷体_GB2312" w:hAnsi="楷体_GB2312" w:eastAsia="楷体_GB2312" w:cs="楷体_GB2312"/>
          <w:b/>
          <w:bCs w:val="0"/>
          <w:color w:val="auto"/>
          <w:sz w:val="32"/>
          <w:szCs w:val="32"/>
        </w:rPr>
      </w:pPr>
      <w:r>
        <w:rPr>
          <w:rStyle w:val="11"/>
          <w:rFonts w:hint="eastAsia" w:ascii="楷体_GB2312" w:hAnsi="楷体_GB2312" w:eastAsia="楷体_GB2312" w:cs="楷体_GB2312"/>
          <w:b/>
          <w:bCs w:val="0"/>
          <w:color w:val="auto"/>
          <w:sz w:val="32"/>
          <w:szCs w:val="32"/>
        </w:rPr>
        <w:t>（九）</w:t>
      </w:r>
      <w:r>
        <w:rPr>
          <w:rFonts w:hint="eastAsia" w:ascii="仿宋_GB2312" w:hAnsi="仿宋_GB2312" w:eastAsia="仿宋_GB2312" w:cs="仿宋_GB2312"/>
          <w:b/>
          <w:bCs/>
          <w:color w:val="auto"/>
          <w:sz w:val="32"/>
          <w:szCs w:val="32"/>
        </w:rPr>
        <w:fldChar w:fldCharType="begin"/>
      </w:r>
      <w:r>
        <w:rPr>
          <w:rFonts w:hint="eastAsia" w:ascii="仿宋_GB2312" w:hAnsi="仿宋_GB2312" w:eastAsia="仿宋_GB2312" w:cs="仿宋_GB2312"/>
          <w:b/>
          <w:bCs/>
          <w:color w:val="auto"/>
          <w:sz w:val="32"/>
          <w:szCs w:val="32"/>
        </w:rPr>
        <w:instrText xml:space="preserve">MERGEFIELD ${page400644146.ds509943833_REP_JXJC_AGENCY_WZR_NAME}</w:instrText>
      </w:r>
      <w:r>
        <w:rPr>
          <w:rFonts w:hint="eastAsia" w:ascii="仿宋_GB2312" w:hAnsi="仿宋_GB2312" w:eastAsia="仿宋_GB2312" w:cs="仿宋_GB2312"/>
          <w:b/>
          <w:bCs/>
          <w:color w:val="auto"/>
          <w:sz w:val="32"/>
          <w:szCs w:val="32"/>
        </w:rPr>
        <w:fldChar w:fldCharType="separate"/>
      </w:r>
      <w:r>
        <w:rPr>
          <w:rFonts w:hint="eastAsia" w:ascii="仿宋_GB2312" w:hAnsi="仿宋_GB2312" w:eastAsia="仿宋_GB2312" w:cs="仿宋_GB2312"/>
          <w:b/>
          <w:bCs/>
          <w:color w:val="auto"/>
          <w:sz w:val="32"/>
          <w:szCs w:val="32"/>
          <w:lang w:eastAsia="zh-CN"/>
        </w:rPr>
        <w:t>昌江区</w:t>
      </w:r>
      <w:r>
        <w:rPr>
          <w:rFonts w:hint="eastAsia" w:ascii="仿宋_GB2312" w:hAnsi="仿宋_GB2312" w:eastAsia="仿宋_GB2312" w:cs="仿宋_GB2312"/>
          <w:b/>
          <w:bCs/>
          <w:color w:val="auto"/>
          <w:kern w:val="0"/>
          <w:sz w:val="32"/>
          <w:szCs w:val="32"/>
          <w:lang w:val="en-US" w:eastAsia="zh-CN"/>
        </w:rPr>
        <w:t>鲇鱼山镇人民政府</w:t>
      </w:r>
      <w:r>
        <w:rPr>
          <w:rFonts w:hint="eastAsia" w:ascii="仿宋_GB2312" w:hAnsi="仿宋_GB2312" w:eastAsia="仿宋_GB2312" w:cs="仿宋_GB2312"/>
          <w:color w:val="auto"/>
          <w:sz w:val="32"/>
          <w:szCs w:val="32"/>
        </w:rPr>
        <w:fldChar w:fldCharType="end"/>
      </w:r>
      <w:r>
        <w:rPr>
          <w:rStyle w:val="11"/>
          <w:rFonts w:hint="eastAsia" w:ascii="楷体_GB2312" w:hAnsi="楷体_GB2312" w:eastAsia="楷体_GB2312" w:cs="楷体_GB2312"/>
          <w:b/>
          <w:bCs w:val="0"/>
          <w:color w:val="auto"/>
          <w:sz w:val="32"/>
          <w:szCs w:val="32"/>
        </w:rPr>
        <w:t>项目情况说明</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1）项目概述</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提升基本公共服务均等化水平，增强镇、村两级运转保障能力</w:t>
      </w:r>
    </w:p>
    <w:p>
      <w:pPr>
        <w:keepNext w:val="0"/>
        <w:keepLines w:val="0"/>
        <w:pageBreakBefore w:val="0"/>
        <w:widowControl/>
        <w:numPr>
          <w:ilvl w:val="0"/>
          <w:numId w:val="1"/>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立项依据</w:t>
      </w:r>
    </w:p>
    <w:p>
      <w:pPr>
        <w:keepNext w:val="0"/>
        <w:keepLines w:val="0"/>
        <w:widowControl/>
        <w:suppressLineNumbers w:val="0"/>
        <w:ind w:firstLine="930" w:firstLineChars="300"/>
        <w:jc w:val="left"/>
      </w:pPr>
      <w:r>
        <w:rPr>
          <w:rFonts w:ascii="仿宋_GB2312" w:hAnsi="宋体" w:eastAsia="仿宋_GB2312" w:cs="仿宋_GB2312"/>
          <w:color w:val="000000"/>
          <w:kern w:val="0"/>
          <w:sz w:val="31"/>
          <w:szCs w:val="31"/>
          <w:lang w:val="en-US" w:eastAsia="zh-CN" w:bidi="ar"/>
        </w:rPr>
        <w:t>景财预指〔</w:t>
      </w:r>
      <w:r>
        <w:rPr>
          <w:rFonts w:ascii="仿宋" w:hAnsi="仿宋" w:eastAsia="仿宋" w:cs="仿宋"/>
          <w:color w:val="000000"/>
          <w:kern w:val="0"/>
          <w:sz w:val="31"/>
          <w:szCs w:val="31"/>
          <w:lang w:val="en-US" w:eastAsia="zh-CN" w:bidi="ar"/>
        </w:rPr>
        <w:t>2021</w:t>
      </w:r>
      <w:r>
        <w:rPr>
          <w:rFonts w:hint="eastAsia" w:ascii="仿宋_GB2312" w:hAnsi="宋体" w:eastAsia="仿宋_GB2312" w:cs="仿宋_GB2312"/>
          <w:color w:val="000000"/>
          <w:kern w:val="0"/>
          <w:sz w:val="31"/>
          <w:szCs w:val="31"/>
          <w:lang w:val="en-US" w:eastAsia="zh-CN" w:bidi="ar"/>
        </w:rPr>
        <w:t>〕</w:t>
      </w:r>
      <w:r>
        <w:rPr>
          <w:rFonts w:hint="eastAsia" w:ascii="仿宋" w:hAnsi="仿宋" w:eastAsia="仿宋" w:cs="仿宋"/>
          <w:color w:val="000000"/>
          <w:kern w:val="0"/>
          <w:sz w:val="31"/>
          <w:szCs w:val="31"/>
          <w:lang w:val="en-US" w:eastAsia="zh-CN" w:bidi="ar"/>
        </w:rPr>
        <w:t xml:space="preserve">24 </w:t>
      </w:r>
      <w:r>
        <w:rPr>
          <w:rFonts w:hint="eastAsia" w:ascii="仿宋_GB2312" w:hAnsi="宋体" w:eastAsia="仿宋_GB2312" w:cs="仿宋_GB2312"/>
          <w:color w:val="000000"/>
          <w:kern w:val="0"/>
          <w:sz w:val="31"/>
          <w:szCs w:val="31"/>
          <w:lang w:val="en-US" w:eastAsia="zh-CN" w:bidi="ar"/>
        </w:rPr>
        <w:t>号</w:t>
      </w:r>
    </w:p>
    <w:p>
      <w:pPr>
        <w:keepNext w:val="0"/>
        <w:keepLines w:val="0"/>
        <w:pageBreakBefore w:val="0"/>
        <w:widowControl/>
        <w:numPr>
          <w:ilvl w:val="0"/>
          <w:numId w:val="1"/>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实施主体</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leftChars="200"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鲇鱼山镇人民政府</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4）实施周期</w:t>
      </w:r>
    </w:p>
    <w:p>
      <w:pPr>
        <w:keepNext w:val="0"/>
        <w:keepLines w:val="0"/>
        <w:pageBreakBefore w:val="0"/>
        <w:widowControl/>
        <w:kinsoku/>
        <w:wordWrap/>
        <w:overflowPunct/>
        <w:topLinePunct w:val="0"/>
        <w:autoSpaceDE/>
        <w:autoSpaceDN/>
        <w:bidi w:val="0"/>
        <w:adjustRightInd/>
        <w:snapToGrid/>
        <w:spacing w:line="600" w:lineRule="exact"/>
        <w:ind w:firstLine="1280" w:firstLineChars="4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2025年1月1日至2025年12月31日</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5)年度预算安排</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960" w:firstLineChars="300"/>
        <w:jc w:val="both"/>
        <w:textAlignment w:val="auto"/>
        <w:rPr>
          <w:rFonts w:ascii="Adobe 仿宋 Std R" w:hAnsi="Adobe 仿宋 Std R" w:eastAsia="Adobe 仿宋 Std R"/>
          <w:sz w:val="32"/>
          <w:szCs w:val="32"/>
        </w:rPr>
      </w:pPr>
      <w:r>
        <w:rPr>
          <w:rFonts w:hint="eastAsia" w:ascii="仿宋_GB2312" w:hAnsi="仿宋_GB2312" w:eastAsia="仿宋_GB2312" w:cs="仿宋_GB2312"/>
          <w:kern w:val="2"/>
          <w:sz w:val="32"/>
          <w:szCs w:val="30"/>
          <w:lang w:val="en-US" w:eastAsia="zh-CN" w:bidi="ar-SA"/>
        </w:rPr>
        <w:t>380万元</w:t>
      </w: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rFonts w:ascii="楷体_GB2312" w:eastAsia="楷体_GB2312"/>
          <w:b/>
          <w:sz w:val="32"/>
          <w:szCs w:val="30"/>
        </w:rPr>
      </w:pPr>
      <w:r>
        <w:rPr>
          <w:rFonts w:hint="eastAsia" w:ascii="黑体" w:hAnsi="黑体" w:eastAsia="黑体" w:cs="黑体"/>
          <w:b/>
          <w:sz w:val="32"/>
          <w:szCs w:val="32"/>
        </w:rPr>
        <w:t>二、</w:t>
      </w:r>
      <w:r>
        <w:rPr>
          <w:rFonts w:hint="eastAsia" w:ascii="黑体" w:hAnsi="黑体" w:eastAsia="黑体" w:cs="黑体"/>
          <w:b/>
          <w:sz w:val="32"/>
          <w:szCs w:val="32"/>
          <w:lang w:eastAsia="zh-CN"/>
        </w:rPr>
        <w:t>202</w:t>
      </w:r>
      <w:r>
        <w:rPr>
          <w:rFonts w:hint="eastAsia" w:ascii="黑体" w:hAnsi="黑体" w:eastAsia="黑体" w:cs="黑体"/>
          <w:b/>
          <w:sz w:val="32"/>
          <w:szCs w:val="32"/>
          <w:lang w:val="en-US" w:eastAsia="zh-CN"/>
        </w:rPr>
        <w:t>5</w:t>
      </w:r>
      <w:r>
        <w:rPr>
          <w:rFonts w:hint="eastAsia" w:ascii="黑体" w:hAnsi="黑体" w:eastAsia="黑体" w:cs="黑体"/>
          <w:b/>
          <w:sz w:val="32"/>
          <w:szCs w:val="32"/>
        </w:rPr>
        <w:t>年</w:t>
      </w:r>
      <w:r>
        <w:rPr>
          <w:rFonts w:hint="eastAsia" w:ascii="黑体" w:hAnsi="黑体" w:eastAsia="黑体" w:cs="黑体"/>
          <w:b/>
          <w:sz w:val="32"/>
          <w:szCs w:val="32"/>
          <w:lang w:eastAsia="zh-CN"/>
        </w:rPr>
        <w:t>“</w:t>
      </w:r>
      <w:r>
        <w:rPr>
          <w:rFonts w:hint="eastAsia" w:ascii="黑体" w:hAnsi="黑体" w:eastAsia="黑体" w:cs="黑体"/>
          <w:b/>
          <w:sz w:val="32"/>
          <w:szCs w:val="32"/>
        </w:rPr>
        <w:t>三公</w:t>
      </w:r>
      <w:r>
        <w:rPr>
          <w:rFonts w:hint="eastAsia" w:ascii="黑体" w:hAnsi="黑体" w:eastAsia="黑体" w:cs="黑体"/>
          <w:b/>
          <w:sz w:val="32"/>
          <w:szCs w:val="32"/>
          <w:lang w:eastAsia="zh-CN"/>
        </w:rPr>
        <w:t>”</w:t>
      </w:r>
      <w:r>
        <w:rPr>
          <w:rFonts w:hint="eastAsia" w:ascii="黑体" w:hAnsi="黑体" w:eastAsia="黑体" w:cs="黑体"/>
          <w:b/>
          <w:sz w:val="32"/>
          <w:szCs w:val="32"/>
        </w:rPr>
        <w:t>经费预算情况说明</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leftChars="200"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2025年昌江区鲇鱼山镇人民政府“三公”经费财政拨款安排14.58万元，其中：</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因公出国（境）费0万元，比上年增加（减少）0万元，主要原因是：</w:t>
      </w:r>
      <w:r>
        <w:rPr>
          <w:rStyle w:val="11"/>
          <w:rFonts w:hint="eastAsia" w:ascii="仿宋_GB2312" w:hAnsi="仿宋_GB2312" w:eastAsia="仿宋_GB2312" w:cs="仿宋_GB2312"/>
          <w:b w:val="0"/>
          <w:bCs/>
          <w:sz w:val="32"/>
          <w:szCs w:val="32"/>
        </w:rPr>
        <w:t>与上年安排保持一致</w:t>
      </w:r>
      <w:r>
        <w:rPr>
          <w:rFonts w:hint="eastAsia" w:ascii="仿宋_GB2312" w:hAnsi="仿宋_GB2312" w:eastAsia="仿宋_GB2312" w:cs="仿宋_GB2312"/>
          <w:b w:val="0"/>
          <w:bCs/>
          <w:kern w:val="2"/>
          <w:sz w:val="32"/>
          <w:szCs w:val="30"/>
          <w:lang w:val="en-US" w:eastAsia="zh-CN" w:bidi="ar-SA"/>
        </w:rPr>
        <w:t>。</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公务接待费5万元，比上年增加（减少）0万元，主要原因是：</w:t>
      </w:r>
      <w:r>
        <w:rPr>
          <w:rStyle w:val="11"/>
          <w:rFonts w:hint="eastAsia" w:ascii="仿宋_GB2312" w:hAnsi="仿宋_GB2312" w:eastAsia="仿宋_GB2312" w:cs="仿宋_GB2312"/>
          <w:b w:val="0"/>
          <w:bCs/>
          <w:sz w:val="32"/>
          <w:szCs w:val="32"/>
        </w:rPr>
        <w:t>与上年安排保持一致</w:t>
      </w:r>
      <w:r>
        <w:rPr>
          <w:rFonts w:hint="eastAsia" w:ascii="仿宋_GB2312" w:hAnsi="仿宋_GB2312" w:eastAsia="仿宋_GB2312" w:cs="仿宋_GB2312"/>
          <w:b w:val="0"/>
          <w:bCs/>
          <w:kern w:val="2"/>
          <w:sz w:val="32"/>
          <w:szCs w:val="30"/>
          <w:lang w:val="en-US" w:eastAsia="zh-CN" w:bidi="ar-SA"/>
        </w:rPr>
        <w:t>。</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公务用车运行维护费9.58万元，比上年增加（减少0万元，主要原因是：</w:t>
      </w:r>
      <w:r>
        <w:rPr>
          <w:rStyle w:val="11"/>
          <w:rFonts w:hint="eastAsia" w:ascii="仿宋_GB2312" w:hAnsi="仿宋_GB2312" w:eastAsia="仿宋_GB2312" w:cs="仿宋_GB2312"/>
          <w:b w:val="0"/>
          <w:bCs/>
          <w:sz w:val="32"/>
          <w:szCs w:val="32"/>
        </w:rPr>
        <w:t>与上年安排保持一致</w:t>
      </w:r>
      <w:r>
        <w:rPr>
          <w:rFonts w:hint="eastAsia" w:ascii="仿宋_GB2312" w:hAnsi="仿宋_GB2312" w:eastAsia="仿宋_GB2312" w:cs="仿宋_GB2312"/>
          <w:b w:val="0"/>
          <w:bCs/>
          <w:kern w:val="2"/>
          <w:sz w:val="32"/>
          <w:szCs w:val="30"/>
          <w:lang w:val="en-US" w:eastAsia="zh-CN" w:bidi="ar-SA"/>
        </w:rPr>
        <w:t>。</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kern w:val="2"/>
          <w:sz w:val="32"/>
          <w:szCs w:val="30"/>
          <w:lang w:val="en-US" w:eastAsia="zh-CN" w:bidi="ar-SA"/>
        </w:rPr>
      </w:pPr>
      <w:r>
        <w:rPr>
          <w:rFonts w:hint="eastAsia" w:ascii="仿宋_GB2312" w:hAnsi="仿宋_GB2312" w:eastAsia="仿宋_GB2312" w:cs="仿宋_GB2312"/>
          <w:kern w:val="2"/>
          <w:sz w:val="32"/>
          <w:szCs w:val="30"/>
          <w:lang w:val="en-US" w:eastAsia="zh-CN" w:bidi="ar-SA"/>
        </w:rPr>
        <w:t>公务用车购置费0万元，比上年增加（减少）0万元，主要原因是：</w:t>
      </w:r>
      <w:r>
        <w:rPr>
          <w:rStyle w:val="11"/>
          <w:rFonts w:hint="eastAsia" w:ascii="仿宋_GB2312" w:hAnsi="仿宋_GB2312" w:eastAsia="仿宋_GB2312" w:cs="仿宋_GB2312"/>
          <w:b w:val="0"/>
          <w:bCs/>
          <w:sz w:val="32"/>
          <w:szCs w:val="32"/>
        </w:rPr>
        <w:t>与上年安排保持一致</w:t>
      </w:r>
      <w:r>
        <w:rPr>
          <w:rFonts w:hint="eastAsia" w:ascii="仿宋_GB2312" w:hAnsi="仿宋_GB2312" w:eastAsia="仿宋_GB2312" w:cs="仿宋_GB2312"/>
          <w:b w:val="0"/>
          <w:bCs/>
          <w:kern w:val="2"/>
          <w:sz w:val="32"/>
          <w:szCs w:val="30"/>
          <w:lang w:val="en-US" w:eastAsia="zh-CN" w:bidi="ar-SA"/>
        </w:rPr>
        <w:t>。</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40"/>
        <w:jc w:val="center"/>
        <w:textAlignment w:val="auto"/>
        <w:rPr>
          <w:rFonts w:hint="eastAsia" w:ascii="方正小标宋简体" w:hAnsi="方正小标宋简体" w:eastAsia="方正小标宋简体" w:cs="方正小标宋简体"/>
          <w:b/>
          <w:sz w:val="32"/>
          <w:szCs w:val="30"/>
        </w:rPr>
      </w:pPr>
      <w:r>
        <w:rPr>
          <w:rFonts w:hint="eastAsia" w:ascii="方正小标宋简体" w:hAnsi="方正小标宋简体" w:eastAsia="方正小标宋简体" w:cs="方正小标宋简体"/>
          <w:b/>
          <w:sz w:val="32"/>
          <w:szCs w:val="30"/>
        </w:rPr>
        <w:t>第四部分   名词解释</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40"/>
        <w:jc w:val="both"/>
        <w:textAlignment w:val="auto"/>
        <w:rPr>
          <w:rFonts w:hint="eastAsia" w:ascii="方正小标宋简体" w:hAnsi="方正小标宋简体" w:eastAsia="方正小标宋简体" w:cs="方正小标宋简体"/>
          <w:b/>
          <w:sz w:val="32"/>
          <w:szCs w:val="30"/>
        </w:rPr>
      </w:pP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rFonts w:ascii="Adobe 仿宋 Std R" w:hAnsi="Adobe 仿宋 Std R" w:eastAsia="Adobe 仿宋 Std R"/>
          <w:sz w:val="32"/>
          <w:szCs w:val="32"/>
        </w:rPr>
      </w:pPr>
      <w:r>
        <w:rPr>
          <w:rFonts w:hint="eastAsia" w:ascii="黑体" w:hAnsi="黑体" w:eastAsia="黑体" w:cs="黑体"/>
          <w:b/>
          <w:sz w:val="32"/>
          <w:szCs w:val="32"/>
        </w:rPr>
        <w:t>一、收入科目</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0"/>
        <w:jc w:val="both"/>
        <w:textAlignment w:val="auto"/>
        <w:rPr>
          <w:rFonts w:ascii="仿宋_GB2312" w:hAnsi="Times New Roman" w:eastAsia="仿宋_GB2312" w:cs="Times New Roman"/>
          <w:color w:val="000000"/>
          <w:sz w:val="32"/>
          <w:szCs w:val="30"/>
        </w:rPr>
      </w:pPr>
      <w:r>
        <w:rPr>
          <w:rStyle w:val="11"/>
          <w:rFonts w:hint="eastAsia" w:ascii="楷体_GB2312" w:hAnsi="楷体_GB2312" w:eastAsia="楷体_GB2312" w:cs="楷体_GB2312"/>
          <w:b/>
          <w:bCs w:val="0"/>
          <w:sz w:val="32"/>
          <w:szCs w:val="32"/>
          <w:lang w:val="en-US" w:eastAsia="zh-CN"/>
        </w:rPr>
        <w:t>（一）</w:t>
      </w:r>
      <w:r>
        <w:rPr>
          <w:rStyle w:val="11"/>
          <w:rFonts w:hint="eastAsia" w:ascii="楷体_GB2312" w:hAnsi="楷体_GB2312" w:eastAsia="楷体_GB2312" w:cs="楷体_GB2312"/>
          <w:b/>
          <w:bCs w:val="0"/>
          <w:sz w:val="32"/>
          <w:szCs w:val="32"/>
        </w:rPr>
        <w:t>财政拨款：</w:t>
      </w:r>
      <w:r>
        <w:rPr>
          <w:rFonts w:hint="eastAsia" w:ascii="仿宋_GB2312" w:hAnsi="仿宋_GB2312" w:eastAsia="仿宋_GB2312" w:cs="仿宋_GB2312"/>
          <w:kern w:val="2"/>
          <w:sz w:val="32"/>
          <w:szCs w:val="30"/>
          <w:lang w:val="en-US" w:eastAsia="zh-CN" w:bidi="ar-SA"/>
        </w:rPr>
        <w:t>指市级财政当年拨付的资金。</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0"/>
        <w:jc w:val="both"/>
        <w:textAlignment w:val="auto"/>
        <w:rPr>
          <w:rFonts w:ascii="仿宋_GB2312" w:hAnsi="Times New Roman" w:eastAsia="仿宋_GB2312" w:cs="Times New Roman"/>
          <w:color w:val="000000"/>
          <w:sz w:val="32"/>
          <w:szCs w:val="30"/>
        </w:rPr>
      </w:pPr>
      <w:r>
        <w:rPr>
          <w:rStyle w:val="11"/>
          <w:rFonts w:hint="eastAsia" w:ascii="楷体_GB2312" w:hAnsi="楷体_GB2312" w:eastAsia="楷体_GB2312" w:cs="楷体_GB2312"/>
          <w:b/>
          <w:bCs w:val="0"/>
          <w:sz w:val="32"/>
          <w:szCs w:val="32"/>
          <w:lang w:val="en-US" w:eastAsia="zh-CN"/>
        </w:rPr>
        <w:t>（二）</w:t>
      </w:r>
      <w:r>
        <w:rPr>
          <w:rStyle w:val="11"/>
          <w:rFonts w:hint="eastAsia" w:ascii="楷体_GB2312" w:hAnsi="楷体_GB2312" w:eastAsia="楷体_GB2312" w:cs="楷体_GB2312"/>
          <w:b/>
          <w:bCs w:val="0"/>
          <w:sz w:val="32"/>
          <w:szCs w:val="32"/>
        </w:rPr>
        <w:t>教育收费资金收入：</w:t>
      </w:r>
      <w:r>
        <w:rPr>
          <w:rFonts w:hint="eastAsia" w:ascii="仿宋_GB2312" w:hAnsi="仿宋_GB2312" w:eastAsia="仿宋_GB2312" w:cs="仿宋_GB2312"/>
          <w:kern w:val="2"/>
          <w:sz w:val="32"/>
          <w:szCs w:val="30"/>
          <w:lang w:val="en-US" w:eastAsia="zh-CN" w:bidi="ar-SA"/>
        </w:rPr>
        <w:t>反映实行专项管理的高中以上学费、住宿费，高校委托培养费，函大、电大、夜大及短训班培训费等教育收费取得的收入。</w:t>
      </w:r>
    </w:p>
    <w:p>
      <w:pPr>
        <w:keepNext w:val="0"/>
        <w:keepLines w:val="0"/>
        <w:pageBreakBefore w:val="0"/>
        <w:widowControl/>
        <w:kinsoku/>
        <w:wordWrap/>
        <w:overflowPunct/>
        <w:topLinePunct w:val="0"/>
        <w:autoSpaceDE/>
        <w:autoSpaceDN/>
        <w:bidi w:val="0"/>
        <w:adjustRightInd/>
        <w:snapToGrid/>
        <w:spacing w:line="600" w:lineRule="exact"/>
        <w:ind w:firstLine="636"/>
        <w:jc w:val="both"/>
        <w:textAlignment w:val="auto"/>
        <w:rPr>
          <w:rFonts w:hint="eastAsia" w:ascii="仿宋_GB2312" w:hAnsi="仿宋_GB2312" w:eastAsia="仿宋_GB2312" w:cs="仿宋_GB2312"/>
          <w:kern w:val="2"/>
          <w:sz w:val="32"/>
          <w:szCs w:val="30"/>
          <w:lang w:val="en-US" w:eastAsia="zh-CN" w:bidi="ar-SA"/>
        </w:rPr>
      </w:pPr>
      <w:r>
        <w:rPr>
          <w:rStyle w:val="11"/>
          <w:rFonts w:hint="eastAsia" w:ascii="楷体_GB2312" w:hAnsi="楷体_GB2312" w:eastAsia="楷体_GB2312" w:cs="楷体_GB2312"/>
          <w:b/>
          <w:bCs w:val="0"/>
          <w:sz w:val="32"/>
          <w:szCs w:val="32"/>
        </w:rPr>
        <w:t>（三）事业收入：</w:t>
      </w:r>
      <w:r>
        <w:rPr>
          <w:rFonts w:hint="eastAsia" w:ascii="仿宋_GB2312" w:hAnsi="仿宋_GB2312" w:eastAsia="仿宋_GB2312" w:cs="仿宋_GB2312"/>
          <w:kern w:val="2"/>
          <w:sz w:val="32"/>
          <w:szCs w:val="30"/>
          <w:lang w:val="en-US" w:eastAsia="zh-CN" w:bidi="ar-SA"/>
        </w:rPr>
        <w:t>指事业单位开展专业业务活动及辅助活动取得的收入。</w:t>
      </w:r>
    </w:p>
    <w:p>
      <w:pPr>
        <w:keepNext w:val="0"/>
        <w:keepLines w:val="0"/>
        <w:pageBreakBefore w:val="0"/>
        <w:widowControl/>
        <w:kinsoku/>
        <w:wordWrap/>
        <w:overflowPunct/>
        <w:topLinePunct w:val="0"/>
        <w:autoSpaceDE/>
        <w:autoSpaceDN/>
        <w:bidi w:val="0"/>
        <w:adjustRightInd/>
        <w:snapToGrid/>
        <w:spacing w:line="600" w:lineRule="exact"/>
        <w:ind w:firstLine="636"/>
        <w:jc w:val="both"/>
        <w:textAlignment w:val="auto"/>
        <w:rPr>
          <w:rFonts w:ascii="仿宋_GB2312" w:eastAsia="仿宋_GB2312"/>
          <w:color w:val="000000"/>
          <w:sz w:val="32"/>
          <w:szCs w:val="30"/>
        </w:rPr>
      </w:pPr>
      <w:r>
        <w:rPr>
          <w:rStyle w:val="11"/>
          <w:rFonts w:hint="eastAsia" w:ascii="楷体_GB2312" w:hAnsi="楷体_GB2312" w:eastAsia="楷体_GB2312" w:cs="楷体_GB2312"/>
          <w:b/>
          <w:bCs w:val="0"/>
          <w:sz w:val="32"/>
          <w:szCs w:val="32"/>
        </w:rPr>
        <w:t>（四）事业单位经营收入：</w:t>
      </w:r>
      <w:r>
        <w:rPr>
          <w:rFonts w:hint="eastAsia" w:ascii="仿宋_GB2312" w:hAnsi="仿宋_GB2312" w:eastAsia="仿宋_GB2312" w:cs="仿宋_GB2312"/>
          <w:kern w:val="2"/>
          <w:sz w:val="32"/>
          <w:szCs w:val="30"/>
          <w:lang w:val="en-US" w:eastAsia="zh-CN" w:bidi="ar-SA"/>
        </w:rPr>
        <w:t>指事业单位在专业业务活动及辅助活动之外开展非独立核算经营活动取得的收入。</w:t>
      </w:r>
    </w:p>
    <w:p>
      <w:pPr>
        <w:keepNext w:val="0"/>
        <w:keepLines w:val="0"/>
        <w:pageBreakBefore w:val="0"/>
        <w:widowControl/>
        <w:kinsoku/>
        <w:wordWrap/>
        <w:overflowPunct/>
        <w:topLinePunct w:val="0"/>
        <w:autoSpaceDE/>
        <w:autoSpaceDN/>
        <w:bidi w:val="0"/>
        <w:adjustRightInd/>
        <w:snapToGrid/>
        <w:spacing w:line="600" w:lineRule="exact"/>
        <w:ind w:firstLine="636"/>
        <w:jc w:val="both"/>
        <w:textAlignment w:val="auto"/>
        <w:rPr>
          <w:rFonts w:hint="eastAsia" w:ascii="仿宋_GB2312" w:hAnsi="仿宋_GB2312" w:eastAsia="仿宋_GB2312" w:cs="仿宋_GB2312"/>
          <w:kern w:val="2"/>
          <w:sz w:val="32"/>
          <w:szCs w:val="30"/>
          <w:lang w:val="en-US" w:eastAsia="zh-CN" w:bidi="ar-SA"/>
        </w:rPr>
      </w:pPr>
      <w:r>
        <w:rPr>
          <w:rStyle w:val="11"/>
          <w:rFonts w:hint="eastAsia" w:ascii="楷体_GB2312" w:hAnsi="楷体_GB2312" w:eastAsia="楷体_GB2312" w:cs="楷体_GB2312"/>
          <w:b/>
          <w:bCs w:val="0"/>
          <w:sz w:val="32"/>
          <w:szCs w:val="32"/>
        </w:rPr>
        <w:t>（五）附属单位上缴收入：</w:t>
      </w:r>
      <w:r>
        <w:rPr>
          <w:rFonts w:hint="eastAsia" w:ascii="仿宋_GB2312" w:hAnsi="仿宋_GB2312" w:eastAsia="仿宋_GB2312" w:cs="仿宋_GB2312"/>
          <w:kern w:val="2"/>
          <w:sz w:val="32"/>
          <w:szCs w:val="30"/>
          <w:lang w:val="en-US" w:eastAsia="zh-CN" w:bidi="ar-SA"/>
        </w:rPr>
        <w:t>反映事业单位附属的独立核算单位按规定标准或比例缴纳的各项收入。包括附属的事业单位上缴的收入和附属的企业上缴的利润等。</w:t>
      </w:r>
    </w:p>
    <w:p>
      <w:pPr>
        <w:keepNext w:val="0"/>
        <w:keepLines w:val="0"/>
        <w:pageBreakBefore w:val="0"/>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kern w:val="2"/>
          <w:sz w:val="32"/>
          <w:szCs w:val="30"/>
          <w:lang w:val="en-US" w:eastAsia="zh-CN" w:bidi="ar-SA"/>
        </w:rPr>
      </w:pPr>
      <w:r>
        <w:rPr>
          <w:rStyle w:val="11"/>
          <w:rFonts w:hint="eastAsia" w:ascii="楷体_GB2312" w:hAnsi="楷体_GB2312" w:eastAsia="楷体_GB2312" w:cs="楷体_GB2312"/>
          <w:b/>
          <w:bCs w:val="0"/>
          <w:sz w:val="32"/>
          <w:szCs w:val="32"/>
        </w:rPr>
        <w:t>（六）上级补助收入：</w:t>
      </w:r>
      <w:r>
        <w:rPr>
          <w:rFonts w:hint="eastAsia" w:ascii="仿宋_GB2312" w:hAnsi="仿宋_GB2312" w:eastAsia="仿宋_GB2312" w:cs="仿宋_GB2312"/>
          <w:kern w:val="2"/>
          <w:sz w:val="32"/>
          <w:szCs w:val="30"/>
          <w:lang w:val="en-US" w:eastAsia="zh-CN" w:bidi="ar-SA"/>
        </w:rPr>
        <w:t>反映事业单位从主管部门和上级单位取得的非财政补助收入。</w:t>
      </w:r>
    </w:p>
    <w:p>
      <w:pPr>
        <w:keepNext w:val="0"/>
        <w:keepLines w:val="0"/>
        <w:pageBreakBefore w:val="0"/>
        <w:widowControl/>
        <w:kinsoku/>
        <w:wordWrap/>
        <w:overflowPunct/>
        <w:topLinePunct w:val="0"/>
        <w:autoSpaceDE/>
        <w:autoSpaceDN/>
        <w:bidi w:val="0"/>
        <w:adjustRightInd/>
        <w:snapToGrid/>
        <w:spacing w:line="600" w:lineRule="exact"/>
        <w:ind w:firstLine="636"/>
        <w:jc w:val="both"/>
        <w:textAlignment w:val="auto"/>
        <w:rPr>
          <w:rFonts w:hint="eastAsia" w:ascii="仿宋_GB2312" w:hAnsi="仿宋_GB2312" w:eastAsia="仿宋_GB2312" w:cs="仿宋_GB2312"/>
          <w:kern w:val="2"/>
          <w:sz w:val="32"/>
          <w:szCs w:val="30"/>
          <w:lang w:val="en-US" w:eastAsia="zh-CN" w:bidi="ar-SA"/>
        </w:rPr>
      </w:pPr>
      <w:r>
        <w:rPr>
          <w:rStyle w:val="11"/>
          <w:rFonts w:hint="eastAsia" w:ascii="楷体_GB2312" w:hAnsi="楷体_GB2312" w:eastAsia="楷体_GB2312" w:cs="楷体_GB2312"/>
          <w:b/>
          <w:bCs w:val="0"/>
          <w:sz w:val="32"/>
          <w:szCs w:val="32"/>
        </w:rPr>
        <w:t>（七）其他收入：</w:t>
      </w:r>
      <w:r>
        <w:rPr>
          <w:rFonts w:hint="eastAsia" w:ascii="仿宋_GB2312" w:hAnsi="仿宋_GB2312" w:eastAsia="仿宋_GB2312" w:cs="仿宋_GB2312"/>
          <w:kern w:val="2"/>
          <w:sz w:val="32"/>
          <w:szCs w:val="30"/>
          <w:lang w:val="en-US" w:eastAsia="zh-CN" w:bidi="ar-SA"/>
        </w:rPr>
        <w:t>指除财政拨款、事业收入、事业单位经营收入等以外的各项收入。</w:t>
      </w:r>
    </w:p>
    <w:p>
      <w:pPr>
        <w:keepNext w:val="0"/>
        <w:keepLines w:val="0"/>
        <w:pageBreakBefore w:val="0"/>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kern w:val="2"/>
          <w:sz w:val="32"/>
          <w:szCs w:val="30"/>
          <w:lang w:val="en-US" w:eastAsia="zh-CN" w:bidi="ar-SA"/>
        </w:rPr>
      </w:pPr>
      <w:r>
        <w:rPr>
          <w:rStyle w:val="11"/>
          <w:rFonts w:hint="eastAsia" w:ascii="楷体_GB2312" w:hAnsi="楷体_GB2312" w:eastAsia="楷体_GB2312" w:cs="楷体_GB2312"/>
          <w:b/>
          <w:bCs w:val="0"/>
          <w:sz w:val="32"/>
          <w:szCs w:val="32"/>
        </w:rPr>
        <w:t>（八）使用非财政拨款结余：</w:t>
      </w:r>
      <w:r>
        <w:rPr>
          <w:rFonts w:hint="eastAsia" w:ascii="仿宋_GB2312" w:hAnsi="仿宋_GB2312" w:eastAsia="仿宋_GB2312" w:cs="仿宋_GB2312"/>
          <w:kern w:val="2"/>
          <w:sz w:val="32"/>
          <w:szCs w:val="30"/>
          <w:lang w:val="en-US" w:eastAsia="zh-CN" w:bidi="ar-SA"/>
        </w:rPr>
        <w:t>填列历年滚存的非限定用途的非统计财政拨款结余弥补2025年收支差额的数额。</w:t>
      </w: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kern w:val="2"/>
          <w:sz w:val="32"/>
          <w:szCs w:val="30"/>
          <w:lang w:val="en-US" w:eastAsia="zh-CN" w:bidi="ar-SA"/>
        </w:rPr>
      </w:pPr>
      <w:r>
        <w:rPr>
          <w:rStyle w:val="11"/>
          <w:rFonts w:hint="eastAsia" w:ascii="楷体_GB2312" w:hAnsi="楷体_GB2312" w:eastAsia="楷体_GB2312" w:cs="楷体_GB2312"/>
          <w:b/>
          <w:bCs w:val="0"/>
          <w:sz w:val="32"/>
          <w:szCs w:val="32"/>
        </w:rPr>
        <w:t>（九）上年结转和结余：</w:t>
      </w:r>
      <w:r>
        <w:rPr>
          <w:rFonts w:hint="eastAsia" w:ascii="仿宋_GB2312" w:hAnsi="仿宋_GB2312" w:eastAsia="仿宋_GB2312" w:cs="仿宋_GB2312"/>
          <w:kern w:val="2"/>
          <w:sz w:val="32"/>
          <w:szCs w:val="30"/>
          <w:lang w:val="en-US" w:eastAsia="zh-CN" w:bidi="ar-SA"/>
        </w:rPr>
        <w:t>填列2024年全部结转和结余的资金数，包括当年结转结余资金和历年滚存结转结余资金。</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rFonts w:ascii="Adobe 仿宋 Std R" w:hAnsi="Adobe 仿宋 Std R" w:eastAsia="Adobe 仿宋 Std R"/>
          <w:sz w:val="32"/>
          <w:szCs w:val="32"/>
        </w:rPr>
      </w:pPr>
      <w:r>
        <w:rPr>
          <w:rFonts w:hint="eastAsia" w:ascii="黑体" w:hAnsi="黑体" w:eastAsia="黑体" w:cs="黑体"/>
          <w:b/>
          <w:sz w:val="32"/>
          <w:szCs w:val="32"/>
        </w:rPr>
        <w:t>二、支出科目</w:t>
      </w: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rFonts w:hint="eastAsia" w:ascii="仿宋_GB2312" w:eastAsia="仿宋_GB2312"/>
          <w:color w:val="000000"/>
          <w:sz w:val="32"/>
          <w:szCs w:val="30"/>
        </w:rPr>
      </w:pPr>
      <w:r>
        <w:rPr>
          <w:rFonts w:hint="eastAsia" w:ascii="仿宋_GB2312" w:eastAsia="仿宋_GB2312"/>
          <w:b/>
          <w:bCs/>
          <w:color w:val="000000"/>
          <w:sz w:val="32"/>
          <w:szCs w:val="30"/>
        </w:rPr>
        <w:t>（</w:t>
      </w:r>
      <w:r>
        <w:rPr>
          <w:rFonts w:hint="eastAsia" w:ascii="仿宋_GB2312" w:eastAsia="仿宋_GB2312"/>
          <w:b/>
          <w:bCs/>
          <w:color w:val="000000"/>
          <w:sz w:val="32"/>
          <w:szCs w:val="30"/>
          <w:lang w:eastAsia="zh-CN"/>
        </w:rPr>
        <w:t>一</w:t>
      </w:r>
      <w:r>
        <w:rPr>
          <w:rFonts w:hint="eastAsia" w:ascii="仿宋_GB2312" w:eastAsia="仿宋_GB2312"/>
          <w:b/>
          <w:bCs/>
          <w:color w:val="000000"/>
          <w:sz w:val="32"/>
          <w:szCs w:val="30"/>
        </w:rPr>
        <w:t>）社会保障和就业支出（类）行政事业单位养老支出（款）</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eastAsia="仿宋_GB2312"/>
          <w:color w:val="000000"/>
          <w:sz w:val="32"/>
          <w:szCs w:val="30"/>
        </w:rPr>
      </w:pPr>
      <w:r>
        <w:rPr>
          <w:rFonts w:hint="eastAsia" w:ascii="仿宋_GB2312" w:eastAsia="仿宋_GB2312"/>
          <w:color w:val="000000"/>
          <w:sz w:val="32"/>
          <w:szCs w:val="30"/>
        </w:rPr>
        <w:t>1. 机关事业单位基本养老保险缴费支出（项）：反映机关事业单位实施养老保险制度由单位缴纳的基本养老保险费支出；</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eastAsia="仿宋_GB2312"/>
          <w:color w:val="000000"/>
          <w:sz w:val="32"/>
          <w:szCs w:val="30"/>
        </w:rPr>
      </w:pPr>
      <w:r>
        <w:rPr>
          <w:rFonts w:hint="eastAsia" w:ascii="仿宋_GB2312" w:eastAsia="仿宋_GB2312"/>
          <w:color w:val="000000"/>
          <w:sz w:val="32"/>
          <w:szCs w:val="30"/>
        </w:rPr>
        <w:t>2. 机关事业单位职业年金缴费支出（项）：反映机关事业单位实施养老保险制度由单位实际缴纳的职业年金支出（含职业年金补记支出）。</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ascii="仿宋_GB2312" w:eastAsia="仿宋_GB2312"/>
          <w:color w:val="000000"/>
          <w:sz w:val="32"/>
          <w:szCs w:val="30"/>
        </w:rPr>
      </w:pPr>
      <w:r>
        <w:rPr>
          <w:rFonts w:hint="eastAsia" w:ascii="仿宋_GB2312" w:hAnsi="仿宋_GB2312" w:eastAsia="仿宋_GB2312" w:cs="仿宋_GB2312"/>
          <w:kern w:val="2"/>
          <w:sz w:val="32"/>
          <w:szCs w:val="30"/>
          <w:lang w:val="en-US" w:eastAsia="zh-CN" w:bidi="ar-SA"/>
        </w:rPr>
        <w:t>……</w:t>
      </w: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rFonts w:ascii="Adobe 仿宋 Std R" w:hAnsi="Adobe 仿宋 Std R" w:eastAsia="Adobe 仿宋 Std R"/>
          <w:sz w:val="32"/>
          <w:szCs w:val="32"/>
        </w:rPr>
      </w:pPr>
      <w:r>
        <w:rPr>
          <w:rFonts w:hint="eastAsia" w:ascii="黑体" w:hAnsi="黑体" w:eastAsia="黑体" w:cs="黑体"/>
          <w:b/>
          <w:sz w:val="32"/>
          <w:szCs w:val="32"/>
        </w:rPr>
        <w:t>三、相关专业名词</w:t>
      </w: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kern w:val="2"/>
          <w:sz w:val="32"/>
          <w:szCs w:val="30"/>
          <w:lang w:val="en-US" w:eastAsia="zh-CN" w:bidi="ar-SA"/>
        </w:rPr>
      </w:pPr>
      <w:r>
        <w:rPr>
          <w:rStyle w:val="11"/>
          <w:rFonts w:hint="eastAsia" w:ascii="楷体_GB2312" w:hAnsi="楷体_GB2312" w:eastAsia="楷体_GB2312" w:cs="楷体_GB2312"/>
          <w:b/>
          <w:bCs w:val="0"/>
          <w:sz w:val="32"/>
          <w:szCs w:val="32"/>
        </w:rPr>
        <w:t>（一）机关运行费：</w:t>
      </w:r>
      <w:r>
        <w:rPr>
          <w:rFonts w:hint="eastAsia" w:ascii="仿宋_GB2312" w:hAnsi="仿宋_GB2312" w:eastAsia="仿宋_GB2312" w:cs="仿宋_GB2312"/>
          <w:kern w:val="2"/>
          <w:sz w:val="32"/>
          <w:szCs w:val="30"/>
          <w:lang w:val="en-US" w:eastAsia="zh-CN" w:bidi="ar-SA"/>
        </w:rPr>
        <w:t>指用一般公共预算财政拨款安排的为保障行政单位（含参照公务员法管理的事业单位）运行用于购买货物和服务的各项资金，包括办公费、印刷费、邮电费、差旅费、会议费、福利费、日常维修费、专用材料及一般设备购置费、办公用房水电费、办公用房取暖费、办公用房物业管理费、公务用车运行维护费以及其他费用。</w:t>
      </w: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rFonts w:ascii="仿宋" w:hAnsi="仿宋" w:eastAsia="仿宋"/>
          <w:color w:val="000000"/>
          <w:sz w:val="32"/>
          <w:szCs w:val="32"/>
        </w:rPr>
      </w:pPr>
      <w:r>
        <w:rPr>
          <w:rStyle w:val="11"/>
          <w:rFonts w:hint="eastAsia" w:ascii="楷体_GB2312" w:hAnsi="楷体_GB2312" w:eastAsia="楷体_GB2312" w:cs="楷体_GB2312"/>
          <w:b/>
          <w:bCs w:val="0"/>
          <w:sz w:val="32"/>
          <w:szCs w:val="32"/>
        </w:rPr>
        <w:t>（二）“三公”经费：</w:t>
      </w:r>
      <w:r>
        <w:rPr>
          <w:rFonts w:hint="eastAsia" w:ascii="仿宋_GB2312" w:hAnsi="仿宋_GB2312" w:eastAsia="仿宋_GB2312" w:cs="仿宋_GB2312"/>
          <w:kern w:val="2"/>
          <w:sz w:val="32"/>
          <w:szCs w:val="30"/>
          <w:lang w:val="en-US" w:eastAsia="zh-CN" w:bidi="ar-SA"/>
        </w:rPr>
        <w:t>指用财政拨款安排的因公出国（境）费、公务用车购置及运行维护费和公务接待费。其中，因公出国（境）费反映单位公务出国（境）的国际旅费、国外城市间交通费、住宿费、伙食费、培训费、公杂费等支出；公务用车购置及运行维护费反映单位公务用车车辆购置支出（含车辆购置税、牌照费），按规定保留的公务用车燃料费、维修费、过桥过路费、保险费、安全奖励费用等支出；公务接待费反映单位按规定开支的各类公务接待（含外宾接待）支出。</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altName w:val="黑体"/>
    <w:panose1 w:val="02010601030101010101"/>
    <w:charset w:val="86"/>
    <w:family w:val="auto"/>
    <w:pitch w:val="default"/>
    <w:sig w:usb0="00000000" w:usb1="00000000" w:usb2="00000000" w:usb3="00000000" w:csb0="00040000" w:csb1="00000000"/>
  </w:font>
  <w:font w:name="方正大标宋简体">
    <w:altName w:val="微软雅黑"/>
    <w:panose1 w:val="03000509000000000000"/>
    <w:charset w:val="86"/>
    <w:family w:val="auto"/>
    <w:pitch w:val="default"/>
    <w:sig w:usb0="00000000" w:usb1="00000000" w:usb2="00000000" w:usb3="00000000" w:csb0="00040000" w:csb1="00000000"/>
  </w:font>
  <w:font w:name="Adobe 仿宋 Std R">
    <w:altName w:val="仿宋"/>
    <w:panose1 w:val="00000000000000000000"/>
    <w:charset w:val="86"/>
    <w:family w:val="roman"/>
    <w:pitch w:val="default"/>
    <w:sig w:usb0="00000000" w:usb1="00000000" w:usb2="00000016" w:usb3="00000000" w:csb0="00060007"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361C23"/>
    <w:multiLevelType w:val="singleLevel"/>
    <w:tmpl w:val="14361C23"/>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jQ3YWNmZWRmNmZhZGUxYmY3ZDJjYjM1ZWVjNjgxNzEifQ=="/>
    <w:docVar w:name="KSO_WPS_MARK_KEY" w:val="dc1af74b-1abe-4496-b965-79deeb27cc8e"/>
  </w:docVars>
  <w:rsids>
    <w:rsidRoot w:val="00DF43D8"/>
    <w:rsid w:val="000001B2"/>
    <w:rsid w:val="00014049"/>
    <w:rsid w:val="0001648A"/>
    <w:rsid w:val="00022CB3"/>
    <w:rsid w:val="00031749"/>
    <w:rsid w:val="00041EAA"/>
    <w:rsid w:val="000501C3"/>
    <w:rsid w:val="00055F20"/>
    <w:rsid w:val="000630BE"/>
    <w:rsid w:val="0006515E"/>
    <w:rsid w:val="00085227"/>
    <w:rsid w:val="0009034E"/>
    <w:rsid w:val="000927A9"/>
    <w:rsid w:val="000963CD"/>
    <w:rsid w:val="000A2066"/>
    <w:rsid w:val="000B313A"/>
    <w:rsid w:val="000B4F9E"/>
    <w:rsid w:val="000C6AF7"/>
    <w:rsid w:val="000E1BC2"/>
    <w:rsid w:val="000E6313"/>
    <w:rsid w:val="000F227D"/>
    <w:rsid w:val="000F2E5F"/>
    <w:rsid w:val="00104F58"/>
    <w:rsid w:val="00117D8C"/>
    <w:rsid w:val="00131F78"/>
    <w:rsid w:val="001823EA"/>
    <w:rsid w:val="00186709"/>
    <w:rsid w:val="00192620"/>
    <w:rsid w:val="00193C37"/>
    <w:rsid w:val="001C4ED5"/>
    <w:rsid w:val="001C6F31"/>
    <w:rsid w:val="001D2644"/>
    <w:rsid w:val="001E0EE7"/>
    <w:rsid w:val="001E6FA2"/>
    <w:rsid w:val="001F1DED"/>
    <w:rsid w:val="0021331D"/>
    <w:rsid w:val="00213D4E"/>
    <w:rsid w:val="0022612A"/>
    <w:rsid w:val="00232A32"/>
    <w:rsid w:val="002436CD"/>
    <w:rsid w:val="00251AD0"/>
    <w:rsid w:val="00281E28"/>
    <w:rsid w:val="00283C63"/>
    <w:rsid w:val="00284437"/>
    <w:rsid w:val="002A02B4"/>
    <w:rsid w:val="002A1ED6"/>
    <w:rsid w:val="002A45BD"/>
    <w:rsid w:val="002B0263"/>
    <w:rsid w:val="002B128B"/>
    <w:rsid w:val="002B2D42"/>
    <w:rsid w:val="002C2478"/>
    <w:rsid w:val="002D2681"/>
    <w:rsid w:val="002D418E"/>
    <w:rsid w:val="002D497C"/>
    <w:rsid w:val="002D7200"/>
    <w:rsid w:val="0030186C"/>
    <w:rsid w:val="003057A1"/>
    <w:rsid w:val="00316059"/>
    <w:rsid w:val="00316B29"/>
    <w:rsid w:val="0032092A"/>
    <w:rsid w:val="00323750"/>
    <w:rsid w:val="00334A98"/>
    <w:rsid w:val="00344E49"/>
    <w:rsid w:val="00380DD1"/>
    <w:rsid w:val="00394DC6"/>
    <w:rsid w:val="003959F5"/>
    <w:rsid w:val="003A2923"/>
    <w:rsid w:val="003B68F4"/>
    <w:rsid w:val="003B76FD"/>
    <w:rsid w:val="003C0BFF"/>
    <w:rsid w:val="003C0D66"/>
    <w:rsid w:val="003C19AF"/>
    <w:rsid w:val="003C7840"/>
    <w:rsid w:val="003D0809"/>
    <w:rsid w:val="00406851"/>
    <w:rsid w:val="004345D9"/>
    <w:rsid w:val="00436836"/>
    <w:rsid w:val="0044016E"/>
    <w:rsid w:val="00446148"/>
    <w:rsid w:val="004535A0"/>
    <w:rsid w:val="00456869"/>
    <w:rsid w:val="004664AF"/>
    <w:rsid w:val="00472987"/>
    <w:rsid w:val="00480768"/>
    <w:rsid w:val="00495985"/>
    <w:rsid w:val="00496629"/>
    <w:rsid w:val="004A0058"/>
    <w:rsid w:val="004B06B4"/>
    <w:rsid w:val="004D6A23"/>
    <w:rsid w:val="004E0577"/>
    <w:rsid w:val="004E5555"/>
    <w:rsid w:val="004F5378"/>
    <w:rsid w:val="004F7260"/>
    <w:rsid w:val="005006DE"/>
    <w:rsid w:val="00502AB1"/>
    <w:rsid w:val="00516279"/>
    <w:rsid w:val="0052565B"/>
    <w:rsid w:val="00526265"/>
    <w:rsid w:val="00526CE0"/>
    <w:rsid w:val="00532264"/>
    <w:rsid w:val="00544895"/>
    <w:rsid w:val="00553AA6"/>
    <w:rsid w:val="00555080"/>
    <w:rsid w:val="0055670D"/>
    <w:rsid w:val="00571A5D"/>
    <w:rsid w:val="00580BF8"/>
    <w:rsid w:val="005828C8"/>
    <w:rsid w:val="005902D1"/>
    <w:rsid w:val="0059038A"/>
    <w:rsid w:val="0059672A"/>
    <w:rsid w:val="00596957"/>
    <w:rsid w:val="005A3FD6"/>
    <w:rsid w:val="005A65E4"/>
    <w:rsid w:val="005C3676"/>
    <w:rsid w:val="005C3DDD"/>
    <w:rsid w:val="005D7ACB"/>
    <w:rsid w:val="005F090C"/>
    <w:rsid w:val="005F35BD"/>
    <w:rsid w:val="005F69D4"/>
    <w:rsid w:val="00611FE7"/>
    <w:rsid w:val="00623A52"/>
    <w:rsid w:val="006247CA"/>
    <w:rsid w:val="00631E83"/>
    <w:rsid w:val="00631FA4"/>
    <w:rsid w:val="00650900"/>
    <w:rsid w:val="00655E8B"/>
    <w:rsid w:val="00660CC3"/>
    <w:rsid w:val="006740FD"/>
    <w:rsid w:val="006833F4"/>
    <w:rsid w:val="00687B67"/>
    <w:rsid w:val="006918B8"/>
    <w:rsid w:val="006924DA"/>
    <w:rsid w:val="00696646"/>
    <w:rsid w:val="006A1709"/>
    <w:rsid w:val="006C08EA"/>
    <w:rsid w:val="006C185B"/>
    <w:rsid w:val="006C3868"/>
    <w:rsid w:val="006F20BD"/>
    <w:rsid w:val="00704CAB"/>
    <w:rsid w:val="0075709B"/>
    <w:rsid w:val="007574FE"/>
    <w:rsid w:val="00777795"/>
    <w:rsid w:val="00777962"/>
    <w:rsid w:val="007913DC"/>
    <w:rsid w:val="00792A6C"/>
    <w:rsid w:val="0079393D"/>
    <w:rsid w:val="00796F4F"/>
    <w:rsid w:val="007A4D44"/>
    <w:rsid w:val="007B4314"/>
    <w:rsid w:val="007C27E0"/>
    <w:rsid w:val="007D4ACC"/>
    <w:rsid w:val="007F1616"/>
    <w:rsid w:val="007F4968"/>
    <w:rsid w:val="007F5C86"/>
    <w:rsid w:val="007F79A6"/>
    <w:rsid w:val="008032D2"/>
    <w:rsid w:val="00804C42"/>
    <w:rsid w:val="00823697"/>
    <w:rsid w:val="00846526"/>
    <w:rsid w:val="008506D9"/>
    <w:rsid w:val="00863898"/>
    <w:rsid w:val="00865CCE"/>
    <w:rsid w:val="00865FE3"/>
    <w:rsid w:val="00872CE4"/>
    <w:rsid w:val="00875B04"/>
    <w:rsid w:val="00876D17"/>
    <w:rsid w:val="008827CA"/>
    <w:rsid w:val="00882C91"/>
    <w:rsid w:val="00884FAE"/>
    <w:rsid w:val="008979F6"/>
    <w:rsid w:val="00897CAC"/>
    <w:rsid w:val="008A2491"/>
    <w:rsid w:val="008B52E8"/>
    <w:rsid w:val="008C011F"/>
    <w:rsid w:val="008C01B1"/>
    <w:rsid w:val="008C6EEE"/>
    <w:rsid w:val="008E1EFA"/>
    <w:rsid w:val="00902917"/>
    <w:rsid w:val="009160F0"/>
    <w:rsid w:val="0091783F"/>
    <w:rsid w:val="0094115F"/>
    <w:rsid w:val="009421D2"/>
    <w:rsid w:val="0094514C"/>
    <w:rsid w:val="00946A59"/>
    <w:rsid w:val="009471C3"/>
    <w:rsid w:val="0095097A"/>
    <w:rsid w:val="009527A7"/>
    <w:rsid w:val="009557AC"/>
    <w:rsid w:val="00956999"/>
    <w:rsid w:val="009619B4"/>
    <w:rsid w:val="00964DCD"/>
    <w:rsid w:val="00973905"/>
    <w:rsid w:val="0097415C"/>
    <w:rsid w:val="00984ACE"/>
    <w:rsid w:val="009A4624"/>
    <w:rsid w:val="009A7AB9"/>
    <w:rsid w:val="009B2C7D"/>
    <w:rsid w:val="009B4813"/>
    <w:rsid w:val="009C2EBF"/>
    <w:rsid w:val="009C3827"/>
    <w:rsid w:val="009D3197"/>
    <w:rsid w:val="009E1C45"/>
    <w:rsid w:val="009E1F3F"/>
    <w:rsid w:val="009F72E5"/>
    <w:rsid w:val="00A0455D"/>
    <w:rsid w:val="00A10F16"/>
    <w:rsid w:val="00A2168A"/>
    <w:rsid w:val="00A345A4"/>
    <w:rsid w:val="00A54282"/>
    <w:rsid w:val="00A55773"/>
    <w:rsid w:val="00A60B4D"/>
    <w:rsid w:val="00A81BA2"/>
    <w:rsid w:val="00AA62DE"/>
    <w:rsid w:val="00AB656D"/>
    <w:rsid w:val="00AB7307"/>
    <w:rsid w:val="00AC370A"/>
    <w:rsid w:val="00AF095D"/>
    <w:rsid w:val="00AF57C9"/>
    <w:rsid w:val="00AF62CD"/>
    <w:rsid w:val="00B0337F"/>
    <w:rsid w:val="00B128C8"/>
    <w:rsid w:val="00B169A7"/>
    <w:rsid w:val="00B348A8"/>
    <w:rsid w:val="00B619F8"/>
    <w:rsid w:val="00B6242B"/>
    <w:rsid w:val="00B71EBE"/>
    <w:rsid w:val="00B82840"/>
    <w:rsid w:val="00B96CEB"/>
    <w:rsid w:val="00BA572C"/>
    <w:rsid w:val="00BF0316"/>
    <w:rsid w:val="00C03AFB"/>
    <w:rsid w:val="00C35830"/>
    <w:rsid w:val="00C4059E"/>
    <w:rsid w:val="00C474E4"/>
    <w:rsid w:val="00C61B8F"/>
    <w:rsid w:val="00C644A7"/>
    <w:rsid w:val="00C771B3"/>
    <w:rsid w:val="00C803DA"/>
    <w:rsid w:val="00C82CA3"/>
    <w:rsid w:val="00CB10B2"/>
    <w:rsid w:val="00CB3DBA"/>
    <w:rsid w:val="00CC4504"/>
    <w:rsid w:val="00CC4FF5"/>
    <w:rsid w:val="00CC517F"/>
    <w:rsid w:val="00CD0083"/>
    <w:rsid w:val="00CE1A2B"/>
    <w:rsid w:val="00CE6F1B"/>
    <w:rsid w:val="00CE7185"/>
    <w:rsid w:val="00CF0A52"/>
    <w:rsid w:val="00D00272"/>
    <w:rsid w:val="00D01624"/>
    <w:rsid w:val="00D11449"/>
    <w:rsid w:val="00D14B5F"/>
    <w:rsid w:val="00D17D0A"/>
    <w:rsid w:val="00D20C6C"/>
    <w:rsid w:val="00D23489"/>
    <w:rsid w:val="00D3381E"/>
    <w:rsid w:val="00D36173"/>
    <w:rsid w:val="00D41219"/>
    <w:rsid w:val="00D524EE"/>
    <w:rsid w:val="00D666BC"/>
    <w:rsid w:val="00D678E3"/>
    <w:rsid w:val="00D826D7"/>
    <w:rsid w:val="00D86F52"/>
    <w:rsid w:val="00DB0580"/>
    <w:rsid w:val="00DD15FE"/>
    <w:rsid w:val="00DE2065"/>
    <w:rsid w:val="00DE20E0"/>
    <w:rsid w:val="00DE5904"/>
    <w:rsid w:val="00DE6773"/>
    <w:rsid w:val="00DF2E83"/>
    <w:rsid w:val="00DF43D8"/>
    <w:rsid w:val="00E04E74"/>
    <w:rsid w:val="00E11187"/>
    <w:rsid w:val="00E17B11"/>
    <w:rsid w:val="00E34083"/>
    <w:rsid w:val="00E365F2"/>
    <w:rsid w:val="00E503CC"/>
    <w:rsid w:val="00E5794A"/>
    <w:rsid w:val="00E60E90"/>
    <w:rsid w:val="00E83029"/>
    <w:rsid w:val="00E9293D"/>
    <w:rsid w:val="00E92A8B"/>
    <w:rsid w:val="00E97D8C"/>
    <w:rsid w:val="00EA3654"/>
    <w:rsid w:val="00EA36FC"/>
    <w:rsid w:val="00EB5768"/>
    <w:rsid w:val="00EB656D"/>
    <w:rsid w:val="00EB6777"/>
    <w:rsid w:val="00EC3DDF"/>
    <w:rsid w:val="00ED0D2B"/>
    <w:rsid w:val="00EE5DE1"/>
    <w:rsid w:val="00EE6568"/>
    <w:rsid w:val="00F01B58"/>
    <w:rsid w:val="00F11FE4"/>
    <w:rsid w:val="00F132AE"/>
    <w:rsid w:val="00F2583E"/>
    <w:rsid w:val="00F32E83"/>
    <w:rsid w:val="00F823EA"/>
    <w:rsid w:val="00F95E5A"/>
    <w:rsid w:val="00F975EB"/>
    <w:rsid w:val="00FA278B"/>
    <w:rsid w:val="00FA354D"/>
    <w:rsid w:val="00FA3B89"/>
    <w:rsid w:val="00FD29E0"/>
    <w:rsid w:val="00FE0E90"/>
    <w:rsid w:val="00FE32CC"/>
    <w:rsid w:val="00FE7CCF"/>
    <w:rsid w:val="00FF60EC"/>
    <w:rsid w:val="00FF6368"/>
    <w:rsid w:val="01442237"/>
    <w:rsid w:val="021E79B1"/>
    <w:rsid w:val="0292465C"/>
    <w:rsid w:val="031F7F73"/>
    <w:rsid w:val="03D87688"/>
    <w:rsid w:val="04EE6113"/>
    <w:rsid w:val="058660B7"/>
    <w:rsid w:val="06483D8D"/>
    <w:rsid w:val="067A6028"/>
    <w:rsid w:val="067D4729"/>
    <w:rsid w:val="072B0A36"/>
    <w:rsid w:val="081000FC"/>
    <w:rsid w:val="091E72AA"/>
    <w:rsid w:val="09204F5C"/>
    <w:rsid w:val="09B428D7"/>
    <w:rsid w:val="0B0E0536"/>
    <w:rsid w:val="0B220119"/>
    <w:rsid w:val="0C97247A"/>
    <w:rsid w:val="0D2C040D"/>
    <w:rsid w:val="0DB3098E"/>
    <w:rsid w:val="0F1D6016"/>
    <w:rsid w:val="0F8E55BD"/>
    <w:rsid w:val="10160F19"/>
    <w:rsid w:val="109B3AB3"/>
    <w:rsid w:val="10AA7280"/>
    <w:rsid w:val="11BF69E5"/>
    <w:rsid w:val="11DF4AA5"/>
    <w:rsid w:val="12F419E9"/>
    <w:rsid w:val="137326CA"/>
    <w:rsid w:val="139E0B6E"/>
    <w:rsid w:val="13AC0EEB"/>
    <w:rsid w:val="13B44E73"/>
    <w:rsid w:val="13BE000D"/>
    <w:rsid w:val="13F86582"/>
    <w:rsid w:val="14044304"/>
    <w:rsid w:val="146C7B5E"/>
    <w:rsid w:val="14AF1D34"/>
    <w:rsid w:val="15052C48"/>
    <w:rsid w:val="15D639D9"/>
    <w:rsid w:val="162D3B1B"/>
    <w:rsid w:val="192E15CE"/>
    <w:rsid w:val="19492425"/>
    <w:rsid w:val="1A455B47"/>
    <w:rsid w:val="1BFD5BF1"/>
    <w:rsid w:val="1D3B2063"/>
    <w:rsid w:val="1D9717BF"/>
    <w:rsid w:val="1E97244E"/>
    <w:rsid w:val="1EA438D4"/>
    <w:rsid w:val="1EA52355"/>
    <w:rsid w:val="1F703155"/>
    <w:rsid w:val="1FEB49E9"/>
    <w:rsid w:val="20312F60"/>
    <w:rsid w:val="206D0602"/>
    <w:rsid w:val="21F06EEB"/>
    <w:rsid w:val="22430342"/>
    <w:rsid w:val="22725466"/>
    <w:rsid w:val="22837C9C"/>
    <w:rsid w:val="238B5443"/>
    <w:rsid w:val="24886943"/>
    <w:rsid w:val="25B931E9"/>
    <w:rsid w:val="2612304C"/>
    <w:rsid w:val="269768F9"/>
    <w:rsid w:val="27552580"/>
    <w:rsid w:val="27B920AB"/>
    <w:rsid w:val="2828673B"/>
    <w:rsid w:val="28CE08FA"/>
    <w:rsid w:val="2A676C5C"/>
    <w:rsid w:val="2C3F62CD"/>
    <w:rsid w:val="2C57797E"/>
    <w:rsid w:val="2D235F89"/>
    <w:rsid w:val="2D47706C"/>
    <w:rsid w:val="2D7C628D"/>
    <w:rsid w:val="2D7E68F4"/>
    <w:rsid w:val="2DD02A1C"/>
    <w:rsid w:val="2EF94632"/>
    <w:rsid w:val="304656AA"/>
    <w:rsid w:val="30E95A36"/>
    <w:rsid w:val="3328400E"/>
    <w:rsid w:val="35BE2487"/>
    <w:rsid w:val="36290947"/>
    <w:rsid w:val="37227AD6"/>
    <w:rsid w:val="37D43B3D"/>
    <w:rsid w:val="3A841EE9"/>
    <w:rsid w:val="3A9F1A72"/>
    <w:rsid w:val="3B010DCF"/>
    <w:rsid w:val="3B7D1841"/>
    <w:rsid w:val="3BAA13B7"/>
    <w:rsid w:val="3D7F0054"/>
    <w:rsid w:val="3DB83225"/>
    <w:rsid w:val="3DEC3337"/>
    <w:rsid w:val="3F06523A"/>
    <w:rsid w:val="3F255DC8"/>
    <w:rsid w:val="3F383632"/>
    <w:rsid w:val="4052753A"/>
    <w:rsid w:val="41011AD4"/>
    <w:rsid w:val="41260D01"/>
    <w:rsid w:val="4188751C"/>
    <w:rsid w:val="43FF7BD3"/>
    <w:rsid w:val="443D65FB"/>
    <w:rsid w:val="4660317D"/>
    <w:rsid w:val="4788282B"/>
    <w:rsid w:val="48865120"/>
    <w:rsid w:val="4A901356"/>
    <w:rsid w:val="4BA502F6"/>
    <w:rsid w:val="51632CD9"/>
    <w:rsid w:val="52B8424C"/>
    <w:rsid w:val="53516268"/>
    <w:rsid w:val="53CB2517"/>
    <w:rsid w:val="54A450AF"/>
    <w:rsid w:val="555E6F2D"/>
    <w:rsid w:val="556B4602"/>
    <w:rsid w:val="562E4844"/>
    <w:rsid w:val="56C47F55"/>
    <w:rsid w:val="57531C95"/>
    <w:rsid w:val="57AC297D"/>
    <w:rsid w:val="57E76BD5"/>
    <w:rsid w:val="57F86D83"/>
    <w:rsid w:val="583E69F1"/>
    <w:rsid w:val="58B27B15"/>
    <w:rsid w:val="5A2F1E93"/>
    <w:rsid w:val="5AAA0E26"/>
    <w:rsid w:val="5B324542"/>
    <w:rsid w:val="5BB44401"/>
    <w:rsid w:val="5CF87539"/>
    <w:rsid w:val="5EAC10B3"/>
    <w:rsid w:val="5F3F601C"/>
    <w:rsid w:val="612005C5"/>
    <w:rsid w:val="6260539E"/>
    <w:rsid w:val="62CF2399"/>
    <w:rsid w:val="630038BC"/>
    <w:rsid w:val="63E33020"/>
    <w:rsid w:val="64D735C8"/>
    <w:rsid w:val="65677A74"/>
    <w:rsid w:val="667F7531"/>
    <w:rsid w:val="674175E4"/>
    <w:rsid w:val="6743495A"/>
    <w:rsid w:val="6A8B0BE3"/>
    <w:rsid w:val="6AC8573D"/>
    <w:rsid w:val="6ACD7B5D"/>
    <w:rsid w:val="6B42086E"/>
    <w:rsid w:val="6BA126F5"/>
    <w:rsid w:val="6BAD3106"/>
    <w:rsid w:val="6BE248E5"/>
    <w:rsid w:val="6EDB6140"/>
    <w:rsid w:val="6F414C81"/>
    <w:rsid w:val="70191685"/>
    <w:rsid w:val="71001F2A"/>
    <w:rsid w:val="712005D8"/>
    <w:rsid w:val="71435071"/>
    <w:rsid w:val="726A18B9"/>
    <w:rsid w:val="73A85115"/>
    <w:rsid w:val="748D2E52"/>
    <w:rsid w:val="75E67458"/>
    <w:rsid w:val="765E4813"/>
    <w:rsid w:val="76FA399F"/>
    <w:rsid w:val="77CE66C6"/>
    <w:rsid w:val="78B825F4"/>
    <w:rsid w:val="78BA0F89"/>
    <w:rsid w:val="792372BD"/>
    <w:rsid w:val="79B2500A"/>
    <w:rsid w:val="79D0329F"/>
    <w:rsid w:val="7DD45208"/>
    <w:rsid w:val="7EDD6A61"/>
    <w:rsid w:val="7F936FCC"/>
    <w:rsid w:val="7FB7473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rPr>
      <w:rFonts w:ascii="仿宋_GB2312" w:hAnsi="仿宋_GB2312" w:eastAsia="仿宋_GB2312" w:cs="仿宋_GB2312"/>
      <w:sz w:val="32"/>
      <w:szCs w:val="32"/>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qFormat/>
    <w:uiPriority w:val="0"/>
    <w:rPr>
      <w:color w:val="0000FF"/>
      <w:u w:val="single"/>
    </w:rPr>
  </w:style>
  <w:style w:type="character" w:customStyle="1" w:styleId="8">
    <w:name w:val="页眉 Char"/>
    <w:basedOn w:val="6"/>
    <w:link w:val="4"/>
    <w:qFormat/>
    <w:uiPriority w:val="99"/>
    <w:rPr>
      <w:sz w:val="18"/>
      <w:szCs w:val="18"/>
    </w:rPr>
  </w:style>
  <w:style w:type="character" w:customStyle="1" w:styleId="9">
    <w:name w:val="页脚 Char"/>
    <w:basedOn w:val="6"/>
    <w:link w:val="3"/>
    <w:qFormat/>
    <w:uiPriority w:val="99"/>
    <w:rPr>
      <w:sz w:val="18"/>
      <w:szCs w:val="18"/>
    </w:rPr>
  </w:style>
  <w:style w:type="character" w:customStyle="1" w:styleId="10">
    <w:name w:val="row_tree_level_3"/>
    <w:basedOn w:val="6"/>
    <w:qFormat/>
    <w:uiPriority w:val="0"/>
  </w:style>
  <w:style w:type="character" w:customStyle="1" w:styleId="11">
    <w:name w:val="row_tree_level_4"/>
    <w:basedOn w:val="6"/>
    <w:qFormat/>
    <w:uiPriority w:val="0"/>
  </w:style>
  <w:style w:type="paragraph" w:customStyle="1" w:styleId="12">
    <w:name w:val="p0"/>
    <w:basedOn w:val="1"/>
    <w:qFormat/>
    <w:uiPriority w:val="0"/>
    <w:pPr>
      <w:widowControl/>
    </w:pPr>
    <w:rPr>
      <w:rFonts w:ascii="Times New Roman" w:hAnsi="Times New Roman" w:eastAsia="宋体" w:cs="Times New Roman"/>
      <w:kern w:val="0"/>
      <w:szCs w:val="21"/>
    </w:rPr>
  </w:style>
  <w:style w:type="character" w:customStyle="1" w:styleId="13">
    <w:name w:val="15"/>
    <w:basedOn w:val="6"/>
    <w:qFormat/>
    <w:uiPriority w:val="0"/>
    <w:rPr>
      <w:rFonts w:hint="default" w:ascii="Times New Roman" w:hAnsi="Times New Roman"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4586</Words>
  <Characters>4867</Characters>
  <Lines>51</Lines>
  <Paragraphs>14</Paragraphs>
  <TotalTime>9</TotalTime>
  <ScaleCrop>false</ScaleCrop>
  <LinksUpToDate>false</LinksUpToDate>
  <CharactersWithSpaces>4890</CharactersWithSpaces>
  <Application>WPS Office_11.1.0.10395_F1E327BC-269C-435d-A152-05C5408002CA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2015-04-23T05:26:00Z</dcterms:created>
  <dc:creator>NTKO</dc:creator>
  <cp:lastModifiedBy>江西省景德镇市昌江区鲇鱼山镇人民政府</cp:lastModifiedBy>
  <cp:lastPrinted>2024-02-05T02:35:00Z</cp:lastPrinted>
  <dcterms:modified xsi:type="dcterms:W3CDTF">2025-06-11T03:08:30Z</dcterms:modified>
  <cp:revision>144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2052-11.1.0.10395</vt:lpwstr>
  </property>
  <property fmtid="{D5CDD505-2E9C-101B-9397-08002B2CF9AE}" pid="3" name="ICV">
    <vt:lpwstr>26856AD12D2B426282A6CAC3B8845BFD_12</vt:lpwstr>
  </property>
  <property fmtid="{D5CDD505-2E9C-101B-9397-08002B2CF9AE}" pid="4" name="KSOTemplateDocerSaveRecord">
    <vt:lpwstr>eyJoZGlkIjoiMGVkNDgyYjA0NGM1MDQyMDhlNjczNzUwY2Y3ZDU4NzYiLCJ1c2VySWQiOiIxMzU2MDkyMDUzIn0=</vt:lpwstr>
  </property>
</Properties>
</file>