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BCA33">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000000"/>
          <w:kern w:val="0"/>
          <w:sz w:val="44"/>
          <w:szCs w:val="44"/>
        </w:rPr>
      </w:pPr>
      <w:bookmarkStart w:id="0" w:name="_GoBack"/>
      <w:bookmarkEnd w:id="0"/>
      <w:r>
        <w:rPr>
          <w:rFonts w:hint="eastAsia" w:ascii="方正小标宋简体" w:hAnsi="方正小标宋简体" w:eastAsia="方正小标宋简体" w:cs="方正小标宋简体"/>
          <w:b w:val="0"/>
          <w:bCs w:val="0"/>
          <w:color w:val="000000"/>
          <w:kern w:val="0"/>
          <w:sz w:val="44"/>
          <w:szCs w:val="44"/>
          <w:lang w:val="en-US" w:eastAsia="zh-CN"/>
        </w:rPr>
        <w:t>昌江区鲇鱼山镇人民政府</w:t>
      </w:r>
      <w:r>
        <w:rPr>
          <w:rFonts w:hint="eastAsia" w:ascii="方正小标宋简体" w:hAnsi="方正小标宋简体" w:eastAsia="方正小标宋简体" w:cs="方正小标宋简体"/>
          <w:b w:val="0"/>
          <w:bCs w:val="0"/>
          <w:color w:val="000000"/>
          <w:kern w:val="0"/>
          <w:sz w:val="44"/>
          <w:szCs w:val="44"/>
          <w:lang w:eastAsia="zh-CN"/>
        </w:rPr>
        <w:t>202</w:t>
      </w:r>
      <w:r>
        <w:rPr>
          <w:rFonts w:hint="eastAsia" w:ascii="方正小标宋简体" w:hAnsi="方正小标宋简体" w:eastAsia="方正小标宋简体" w:cs="方正小标宋简体"/>
          <w:b w:val="0"/>
          <w:bCs w:val="0"/>
          <w:color w:val="000000"/>
          <w:kern w:val="0"/>
          <w:sz w:val="44"/>
          <w:szCs w:val="44"/>
          <w:lang w:val="en-US" w:eastAsia="zh-CN"/>
        </w:rPr>
        <w:t>6</w:t>
      </w:r>
      <w:r>
        <w:rPr>
          <w:rFonts w:hint="eastAsia" w:ascii="方正小标宋简体" w:hAnsi="方正小标宋简体" w:eastAsia="方正小标宋简体" w:cs="方正小标宋简体"/>
          <w:b w:val="0"/>
          <w:bCs w:val="0"/>
          <w:color w:val="000000"/>
          <w:kern w:val="0"/>
          <w:sz w:val="44"/>
          <w:szCs w:val="44"/>
        </w:rPr>
        <w:t>年部门预算</w:t>
      </w:r>
    </w:p>
    <w:p w14:paraId="218D06F1">
      <w:pPr>
        <w:pStyle w:val="13"/>
        <w:spacing w:line="600" w:lineRule="atLeast"/>
        <w:jc w:val="center"/>
        <w:rPr>
          <w:rFonts w:ascii="黑体" w:hAnsi="黑体" w:eastAsia="黑体"/>
          <w:color w:val="000000"/>
          <w:sz w:val="32"/>
          <w:szCs w:val="32"/>
        </w:rPr>
      </w:pPr>
    </w:p>
    <w:p w14:paraId="48C4DB06">
      <w:pPr>
        <w:pStyle w:val="13"/>
        <w:spacing w:line="600" w:lineRule="atLeast"/>
        <w:jc w:val="center"/>
        <w:rPr>
          <w:rFonts w:ascii="黑体" w:hAnsi="黑体" w:eastAsia="黑体"/>
          <w:color w:val="000000"/>
          <w:sz w:val="32"/>
          <w:szCs w:val="32"/>
        </w:rPr>
      </w:pPr>
      <w:r>
        <w:rPr>
          <w:rFonts w:hint="eastAsia" w:ascii="黑体" w:hAnsi="黑体" w:eastAsia="黑体"/>
          <w:color w:val="000000"/>
          <w:sz w:val="32"/>
          <w:szCs w:val="32"/>
        </w:rPr>
        <w:t>目    录</w:t>
      </w:r>
    </w:p>
    <w:p w14:paraId="0B6BB4C4">
      <w:pPr>
        <w:pStyle w:val="13"/>
        <w:rPr>
          <w:rFonts w:ascii="宋体" w:hAnsi="宋体"/>
          <w:color w:val="000000"/>
        </w:rPr>
      </w:pPr>
    </w:p>
    <w:p w14:paraId="21898305">
      <w:pPr>
        <w:pStyle w:val="17"/>
        <w:numPr>
          <w:ilvl w:val="0"/>
          <w:numId w:val="0"/>
        </w:numPr>
        <w:bidi w:val="0"/>
        <w:ind w:left="420" w:leftChars="200"/>
        <w:jc w:val="left"/>
        <w:rPr>
          <w:rFonts w:hint="eastAsia"/>
          <w:lang w:eastAsia="zh-CN"/>
        </w:rPr>
      </w:pPr>
      <w:r>
        <w:rPr>
          <w:rFonts w:hint="eastAsia"/>
          <w:lang w:val="en-US" w:eastAsia="zh-CN"/>
        </w:rPr>
        <w:t xml:space="preserve">第一部分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rPr>
        <w:t>概况</w:t>
      </w:r>
    </w:p>
    <w:p w14:paraId="29002D5E">
      <w:pPr>
        <w:pStyle w:val="18"/>
        <w:bidi w:val="0"/>
        <w:rPr>
          <w:rFonts w:hint="eastAsia" w:ascii="仿宋_GB2312" w:hAnsi="仿宋_GB2312" w:eastAsia="仿宋_GB2312" w:cs="仿宋_GB2312"/>
        </w:rPr>
      </w:pPr>
      <w:r>
        <w:rPr>
          <w:rFonts w:hint="eastAsia" w:ascii="仿宋_GB2312" w:hAnsi="仿宋_GB2312" w:eastAsia="仿宋_GB2312" w:cs="仿宋_GB2312"/>
        </w:rPr>
        <w:t>一、部门主要职责</w:t>
      </w:r>
    </w:p>
    <w:p w14:paraId="2A131652">
      <w:pPr>
        <w:pStyle w:val="18"/>
        <w:bidi w:val="0"/>
        <w:rPr>
          <w:rFonts w:hint="eastAsia" w:ascii="仿宋_GB2312" w:hAnsi="仿宋_GB2312" w:eastAsia="仿宋_GB2312" w:cs="仿宋_GB2312"/>
        </w:rPr>
      </w:pPr>
      <w:r>
        <w:rPr>
          <w:rFonts w:hint="eastAsia" w:ascii="仿宋_GB2312" w:hAnsi="仿宋_GB2312" w:eastAsia="仿宋_GB2312" w:cs="仿宋_GB2312"/>
        </w:rPr>
        <w:t>二、机构设置及人员情况</w:t>
      </w:r>
    </w:p>
    <w:p w14:paraId="5FAB629F">
      <w:pPr>
        <w:pStyle w:val="13"/>
        <w:keepNext w:val="0"/>
        <w:keepLines w:val="0"/>
        <w:pageBreakBefore w:val="0"/>
        <w:widowControl/>
        <w:tabs>
          <w:tab w:val="right" w:pos="8306"/>
        </w:tabs>
        <w:kinsoku/>
        <w:wordWrap/>
        <w:overflowPunct/>
        <w:topLinePunct w:val="0"/>
        <w:autoSpaceDE/>
        <w:autoSpaceDN/>
        <w:bidi w:val="0"/>
        <w:adjustRightInd/>
        <w:snapToGrid/>
        <w:spacing w:line="560" w:lineRule="exact"/>
        <w:ind w:firstLine="420" w:firstLineChars="200"/>
        <w:jc w:val="both"/>
        <w:textAlignment w:val="auto"/>
        <w:rPr>
          <w:rFonts w:hint="eastAsia" w:ascii="黑体" w:hAnsi="黑体" w:eastAsia="黑体" w:cs="黑体"/>
          <w:b/>
          <w:bCs/>
          <w:color w:val="000000"/>
          <w:sz w:val="32"/>
          <w:szCs w:val="32"/>
        </w:rPr>
      </w:pPr>
      <w:r>
        <w:rPr>
          <w:rFonts w:hint="eastAsia"/>
        </w:rPr>
        <w:t xml:space="preserve">第二部分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lang w:eastAsia="zh-CN"/>
        </w:rPr>
        <w:t>202</w:t>
      </w:r>
      <w:r>
        <w:rPr>
          <w:rFonts w:hint="eastAsia" w:ascii="黑体" w:hAnsi="黑体" w:eastAsia="黑体" w:cs="黑体"/>
          <w:b/>
          <w:bCs/>
          <w:color w:val="000000"/>
          <w:sz w:val="32"/>
          <w:szCs w:val="32"/>
          <w:lang w:val="en-US" w:eastAsia="zh-CN"/>
        </w:rPr>
        <w:t>6</w:t>
      </w:r>
      <w:r>
        <w:rPr>
          <w:rFonts w:hint="eastAsia" w:ascii="黑体" w:hAnsi="黑体" w:eastAsia="黑体" w:cs="黑体"/>
          <w:b/>
          <w:bCs/>
          <w:color w:val="000000"/>
          <w:sz w:val="32"/>
          <w:szCs w:val="32"/>
        </w:rPr>
        <w:t>年部门预算表</w:t>
      </w:r>
    </w:p>
    <w:p w14:paraId="5F86D5CD">
      <w:pPr>
        <w:pStyle w:val="18"/>
        <w:bidi w:val="0"/>
        <w:ind w:left="0" w:leftChars="0" w:firstLine="640" w:firstLineChars="200"/>
        <w:rPr>
          <w:rFonts w:hint="eastAsia" w:ascii="仿宋_GB2312" w:hAnsi="仿宋_GB2312" w:eastAsia="仿宋_GB2312" w:cs="仿宋_GB2312"/>
        </w:rPr>
      </w:pPr>
      <w:r>
        <w:rPr>
          <w:rFonts w:hint="eastAsia" w:ascii="仿宋_GB2312" w:hAnsi="仿宋_GB2312" w:eastAsia="仿宋_GB2312" w:cs="仿宋_GB2312"/>
        </w:rPr>
        <w:t>一、《收支预算总表》</w:t>
      </w:r>
    </w:p>
    <w:p w14:paraId="0074BC7B">
      <w:pPr>
        <w:pStyle w:val="18"/>
        <w:bidi w:val="0"/>
        <w:rPr>
          <w:rFonts w:hint="eastAsia" w:ascii="仿宋_GB2312" w:hAnsi="仿宋_GB2312" w:eastAsia="仿宋_GB2312" w:cs="仿宋_GB2312"/>
        </w:rPr>
      </w:pPr>
      <w:r>
        <w:rPr>
          <w:rFonts w:hint="eastAsia" w:ascii="仿宋_GB2312" w:hAnsi="仿宋_GB2312" w:eastAsia="仿宋_GB2312" w:cs="仿宋_GB2312"/>
        </w:rPr>
        <w:t>二、《部门收入总表》</w:t>
      </w:r>
    </w:p>
    <w:p w14:paraId="37A06463">
      <w:pPr>
        <w:pStyle w:val="18"/>
        <w:bidi w:val="0"/>
        <w:rPr>
          <w:rFonts w:hint="eastAsia" w:ascii="仿宋_GB2312" w:hAnsi="仿宋_GB2312" w:eastAsia="仿宋_GB2312" w:cs="仿宋_GB2312"/>
        </w:rPr>
      </w:pPr>
      <w:r>
        <w:rPr>
          <w:rFonts w:hint="eastAsia" w:ascii="仿宋_GB2312" w:hAnsi="仿宋_GB2312" w:eastAsia="仿宋_GB2312" w:cs="仿宋_GB2312"/>
        </w:rPr>
        <w:t>三、《部门支出总表》</w:t>
      </w:r>
    </w:p>
    <w:p w14:paraId="10CB889B">
      <w:pPr>
        <w:pStyle w:val="18"/>
        <w:bidi w:val="0"/>
        <w:rPr>
          <w:rFonts w:hint="eastAsia" w:ascii="仿宋_GB2312" w:hAnsi="仿宋_GB2312" w:eastAsia="仿宋_GB2312" w:cs="仿宋_GB2312"/>
        </w:rPr>
      </w:pPr>
      <w:r>
        <w:rPr>
          <w:rFonts w:hint="eastAsia" w:ascii="仿宋_GB2312" w:hAnsi="仿宋_GB2312" w:eastAsia="仿宋_GB2312" w:cs="仿宋_GB2312"/>
        </w:rPr>
        <w:t>四、《财政拨款收支总表》</w:t>
      </w:r>
    </w:p>
    <w:p w14:paraId="6BFD1C0C">
      <w:pPr>
        <w:pStyle w:val="18"/>
        <w:bidi w:val="0"/>
        <w:rPr>
          <w:rFonts w:hint="eastAsia" w:ascii="仿宋_GB2312" w:hAnsi="仿宋_GB2312" w:eastAsia="仿宋_GB2312" w:cs="仿宋_GB2312"/>
        </w:rPr>
      </w:pPr>
      <w:r>
        <w:rPr>
          <w:rFonts w:hint="eastAsia" w:ascii="仿宋_GB2312" w:hAnsi="仿宋_GB2312" w:eastAsia="仿宋_GB2312" w:cs="仿宋_GB2312"/>
        </w:rPr>
        <w:t>五、《一般公共预算支出表》</w:t>
      </w:r>
    </w:p>
    <w:p w14:paraId="2D243E89">
      <w:pPr>
        <w:pStyle w:val="18"/>
        <w:bidi w:val="0"/>
        <w:rPr>
          <w:rFonts w:hint="eastAsia" w:ascii="仿宋_GB2312" w:hAnsi="仿宋_GB2312" w:eastAsia="仿宋_GB2312" w:cs="仿宋_GB2312"/>
        </w:rPr>
      </w:pPr>
      <w:r>
        <w:rPr>
          <w:rFonts w:hint="eastAsia" w:ascii="仿宋_GB2312" w:hAnsi="仿宋_GB2312" w:eastAsia="仿宋_GB2312" w:cs="仿宋_GB2312"/>
        </w:rPr>
        <w:t>六、《一般公共预算基本支出表》</w:t>
      </w:r>
    </w:p>
    <w:p w14:paraId="4F0C8CC2">
      <w:pPr>
        <w:pStyle w:val="18"/>
        <w:bidi w:val="0"/>
        <w:rPr>
          <w:rFonts w:hint="eastAsia" w:ascii="仿宋_GB2312" w:hAnsi="仿宋_GB2312" w:eastAsia="仿宋_GB2312" w:cs="仿宋_GB2312"/>
        </w:rPr>
      </w:pPr>
      <w:r>
        <w:rPr>
          <w:rFonts w:hint="eastAsia" w:ascii="仿宋_GB2312" w:hAnsi="仿宋_GB2312" w:eastAsia="仿宋_GB2312" w:cs="仿宋_GB2312"/>
        </w:rPr>
        <w:t>七、《财政拨款“三公”经费支出表》</w:t>
      </w:r>
    </w:p>
    <w:p w14:paraId="21DFE3B4">
      <w:pPr>
        <w:pStyle w:val="18"/>
        <w:bidi w:val="0"/>
        <w:rPr>
          <w:rFonts w:hint="eastAsia" w:ascii="仿宋_GB2312" w:hAnsi="仿宋_GB2312" w:eastAsia="仿宋_GB2312" w:cs="仿宋_GB2312"/>
        </w:rPr>
      </w:pPr>
      <w:r>
        <w:rPr>
          <w:rFonts w:hint="eastAsia" w:ascii="仿宋_GB2312" w:hAnsi="仿宋_GB2312" w:eastAsia="仿宋_GB2312" w:cs="仿宋_GB2312"/>
        </w:rPr>
        <w:t>八、《政府性基金预算支出表》</w:t>
      </w:r>
    </w:p>
    <w:p w14:paraId="7E3E65AC">
      <w:pPr>
        <w:pStyle w:val="18"/>
        <w:bidi w:val="0"/>
        <w:rPr>
          <w:rFonts w:hint="eastAsia" w:ascii="仿宋_GB2312" w:hAnsi="仿宋_GB2312" w:eastAsia="仿宋_GB2312" w:cs="仿宋_GB2312"/>
        </w:rPr>
      </w:pPr>
      <w:r>
        <w:rPr>
          <w:rFonts w:hint="eastAsia" w:ascii="仿宋_GB2312" w:hAnsi="仿宋_GB2312" w:eastAsia="仿宋_GB2312" w:cs="仿宋_GB2312"/>
        </w:rPr>
        <w:t>九、《国有资本经营预算支出表》</w:t>
      </w:r>
      <w:r>
        <w:rPr>
          <w:rFonts w:hint="eastAsia" w:ascii="仿宋_GB2312" w:hAnsi="仿宋_GB2312" w:eastAsia="仿宋_GB2312" w:cs="仿宋_GB2312"/>
        </w:rPr>
        <w:tab/>
      </w:r>
    </w:p>
    <w:p w14:paraId="27A25AC3">
      <w:pPr>
        <w:pStyle w:val="18"/>
        <w:bidi w:val="0"/>
        <w:rPr>
          <w:rFonts w:hint="eastAsia" w:ascii="仿宋_GB2312" w:hAnsi="仿宋_GB2312" w:eastAsia="仿宋_GB2312" w:cs="仿宋_GB2312"/>
        </w:rPr>
      </w:pPr>
      <w:r>
        <w:rPr>
          <w:rFonts w:hint="eastAsia" w:ascii="仿宋_GB2312" w:hAnsi="仿宋_GB2312" w:eastAsia="仿宋_GB2312" w:cs="仿宋_GB2312"/>
        </w:rPr>
        <w:t>十、《部门整体绩效目标》</w:t>
      </w:r>
    </w:p>
    <w:p w14:paraId="13E1B35A">
      <w:pPr>
        <w:pStyle w:val="18"/>
        <w:bidi w:val="0"/>
        <w:rPr>
          <w:rFonts w:hint="eastAsia" w:ascii="仿宋_GB2312" w:hAnsi="仿宋_GB2312" w:eastAsia="仿宋_GB2312" w:cs="仿宋_GB2312"/>
        </w:rPr>
      </w:pPr>
      <w:r>
        <w:rPr>
          <w:rFonts w:hint="eastAsia" w:ascii="仿宋_GB2312" w:hAnsi="仿宋_GB2312" w:eastAsia="仿宋_GB2312" w:cs="仿宋_GB2312"/>
        </w:rPr>
        <w:t>十一、《项目绩效目标</w:t>
      </w:r>
      <w:r>
        <w:rPr>
          <w:rFonts w:hint="eastAsia" w:cs="仿宋_GB2312"/>
          <w:lang w:val="en-US" w:eastAsia="zh-CN"/>
        </w:rPr>
        <w:t>表</w:t>
      </w:r>
      <w:r>
        <w:rPr>
          <w:rFonts w:hint="eastAsia" w:ascii="仿宋_GB2312" w:hAnsi="仿宋_GB2312" w:eastAsia="仿宋_GB2312" w:cs="仿宋_GB2312"/>
        </w:rPr>
        <w:t>》</w:t>
      </w:r>
    </w:p>
    <w:p w14:paraId="51CDD621">
      <w:pPr>
        <w:pStyle w:val="18"/>
        <w:bidi w:val="0"/>
        <w:rPr>
          <w:rFonts w:hint="eastAsia" w:ascii="仿宋_GB2312" w:hAnsi="仿宋_GB2312" w:eastAsia="仿宋_GB2312" w:cs="仿宋_GB2312"/>
        </w:rPr>
      </w:pPr>
    </w:p>
    <w:p w14:paraId="43D2F991">
      <w:pPr>
        <w:pStyle w:val="13"/>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w:t>
      </w:r>
      <w:r>
        <w:rPr>
          <w:rFonts w:hint="eastAsia" w:ascii="黑体" w:hAnsi="黑体" w:eastAsia="黑体" w:cs="黑体"/>
          <w:b/>
          <w:bCs/>
          <w:color w:val="000000"/>
          <w:sz w:val="32"/>
          <w:szCs w:val="32"/>
          <w:lang w:val="en-US" w:eastAsia="zh-CN"/>
        </w:rPr>
        <w:t>三</w:t>
      </w:r>
      <w:r>
        <w:rPr>
          <w:rFonts w:hint="eastAsia" w:ascii="黑体" w:hAnsi="黑体" w:eastAsia="黑体" w:cs="黑体"/>
          <w:b/>
          <w:bCs/>
          <w:color w:val="000000"/>
          <w:sz w:val="32"/>
          <w:szCs w:val="32"/>
        </w:rPr>
        <w:t xml:space="preserve">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lang w:eastAsia="zh-CN"/>
        </w:rPr>
        <w:t>202</w:t>
      </w:r>
      <w:r>
        <w:rPr>
          <w:rFonts w:hint="eastAsia" w:ascii="黑体" w:hAnsi="黑体" w:eastAsia="黑体" w:cs="黑体"/>
          <w:b/>
          <w:bCs/>
          <w:color w:val="000000"/>
          <w:sz w:val="32"/>
          <w:szCs w:val="32"/>
          <w:lang w:val="en-US" w:eastAsia="zh-CN"/>
        </w:rPr>
        <w:t>6</w:t>
      </w:r>
      <w:r>
        <w:rPr>
          <w:rFonts w:hint="eastAsia" w:ascii="黑体" w:hAnsi="黑体" w:eastAsia="黑体" w:cs="黑体"/>
          <w:b/>
          <w:bCs/>
          <w:color w:val="000000"/>
          <w:sz w:val="32"/>
          <w:szCs w:val="32"/>
        </w:rPr>
        <w:t>年部门预算情况说明</w:t>
      </w:r>
    </w:p>
    <w:p w14:paraId="6EABBC8C">
      <w:pPr>
        <w:pStyle w:val="18"/>
        <w:bidi w:val="0"/>
        <w:rPr>
          <w:rFonts w:hint="eastAsia" w:ascii="仿宋_GB2312" w:hAnsi="仿宋_GB2312" w:eastAsia="仿宋_GB2312" w:cs="仿宋_GB2312"/>
        </w:rPr>
      </w:pPr>
      <w:r>
        <w:rPr>
          <w:rFonts w:hint="eastAsia" w:ascii="仿宋_GB2312" w:hAnsi="仿宋_GB2312" w:eastAsia="仿宋_GB2312" w:cs="仿宋_GB2312"/>
        </w:rPr>
        <w:t>一、</w:t>
      </w:r>
      <w:r>
        <w:rPr>
          <w:rFonts w:hint="eastAsia" w:ascii="仿宋_GB2312" w:hAnsi="仿宋_GB2312" w:eastAsia="仿宋_GB2312" w:cs="仿宋_GB2312"/>
          <w:lang w:eastAsia="zh-CN"/>
        </w:rPr>
        <w:t>2026</w:t>
      </w:r>
      <w:r>
        <w:rPr>
          <w:rFonts w:hint="eastAsia" w:ascii="仿宋_GB2312" w:hAnsi="仿宋_GB2312" w:eastAsia="仿宋_GB2312" w:cs="仿宋_GB2312"/>
        </w:rPr>
        <w:t>年部门预算收支情况说明</w:t>
      </w:r>
    </w:p>
    <w:p w14:paraId="33A018EF">
      <w:pPr>
        <w:pStyle w:val="13"/>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二、</w:t>
      </w:r>
      <w:r>
        <w:rPr>
          <w:rFonts w:hint="eastAsia" w:ascii="仿宋_GB2312" w:hAnsi="仿宋_GB2312" w:eastAsia="仿宋_GB2312" w:cs="仿宋_GB2312"/>
          <w:kern w:val="2"/>
          <w:sz w:val="32"/>
          <w:szCs w:val="30"/>
          <w:lang w:eastAsia="zh-CN"/>
        </w:rPr>
        <w:t>202</w:t>
      </w:r>
      <w:r>
        <w:rPr>
          <w:rFonts w:hint="eastAsia" w:ascii="仿宋_GB2312" w:hAnsi="仿宋_GB2312" w:eastAsia="仿宋_GB2312" w:cs="仿宋_GB2312"/>
          <w:kern w:val="2"/>
          <w:sz w:val="32"/>
          <w:szCs w:val="30"/>
          <w:lang w:val="en-US" w:eastAsia="zh-CN"/>
        </w:rPr>
        <w:t>6</w:t>
      </w:r>
      <w:r>
        <w:rPr>
          <w:rFonts w:hint="eastAsia" w:ascii="仿宋_GB2312" w:hAnsi="仿宋_GB2312" w:eastAsia="仿宋_GB2312" w:cs="仿宋_GB2312"/>
          <w:kern w:val="2"/>
          <w:sz w:val="32"/>
          <w:szCs w:val="30"/>
        </w:rPr>
        <w:t>年“三公”经费预算情况说明</w:t>
      </w:r>
    </w:p>
    <w:p w14:paraId="057BCBEB">
      <w:pPr>
        <w:pStyle w:val="18"/>
        <w:bidi w:val="0"/>
        <w:spacing w:line="240" w:lineRule="auto"/>
        <w:rPr>
          <w:rFonts w:hint="eastAsia" w:ascii="仿宋_GB2312" w:hAnsi="仿宋_GB2312" w:eastAsia="仿宋_GB2312" w:cs="仿宋_GB2312"/>
          <w:lang w:val="en-US" w:eastAsia="zh-CN"/>
        </w:rPr>
      </w:pPr>
    </w:p>
    <w:p w14:paraId="24ADFD64">
      <w:pPr>
        <w:pStyle w:val="18"/>
        <w:bidi w:val="0"/>
        <w:spacing w:line="240" w:lineRule="auto"/>
        <w:rPr>
          <w:rFonts w:hint="eastAsia" w:ascii="仿宋_GB2312" w:hAnsi="仿宋_GB2312" w:eastAsia="仿宋_GB2312" w:cs="仿宋_GB2312"/>
          <w:lang w:eastAsia="zh-CN"/>
        </w:rPr>
      </w:pPr>
    </w:p>
    <w:p w14:paraId="65224525">
      <w:pPr>
        <w:pStyle w:val="18"/>
        <w:bidi w:val="0"/>
        <w:spacing w:line="240" w:lineRule="auto"/>
        <w:rPr>
          <w:rFonts w:hint="eastAsia" w:ascii="仿宋_GB2312" w:hAnsi="仿宋_GB2312" w:eastAsia="仿宋_GB2312" w:cs="仿宋_GB2312"/>
          <w:lang w:eastAsia="zh-CN"/>
        </w:rPr>
      </w:pPr>
    </w:p>
    <w:p w14:paraId="37F8FE6B">
      <w:pPr>
        <w:pStyle w:val="13"/>
        <w:tabs>
          <w:tab w:val="left" w:pos="6546"/>
        </w:tabs>
        <w:spacing w:line="600" w:lineRule="atLeast"/>
        <w:ind w:firstLine="1280"/>
        <w:jc w:val="left"/>
        <w:rPr>
          <w:rFonts w:hint="eastAsia" w:ascii="Adobe 仿宋 Std R" w:hAnsi="Adobe 仿宋 Std R" w:eastAsia="Adobe 仿宋 Std R" w:cstheme="minorBidi"/>
          <w:kern w:val="2"/>
          <w:sz w:val="32"/>
          <w:szCs w:val="30"/>
          <w:lang w:eastAsia="zh-CN"/>
        </w:rPr>
      </w:pPr>
    </w:p>
    <w:p w14:paraId="1C53F1CC">
      <w:pPr>
        <w:pStyle w:val="17"/>
        <w:numPr>
          <w:ilvl w:val="0"/>
          <w:numId w:val="0"/>
        </w:numPr>
        <w:bidi w:val="0"/>
        <w:ind w:left="420" w:leftChars="200"/>
        <w:jc w:val="left"/>
        <w:rPr>
          <w:rFonts w:hint="eastAsia"/>
          <w:lang w:eastAsia="zh-CN"/>
        </w:rPr>
      </w:pPr>
      <w:r>
        <w:rPr>
          <w:rFonts w:hint="eastAsia"/>
          <w:lang w:eastAsia="zh-CN"/>
        </w:rPr>
        <w:t>第四部分  名词解释</w:t>
      </w:r>
    </w:p>
    <w:p w14:paraId="629C6AB0">
      <w:pPr>
        <w:widowControl/>
        <w:spacing w:line="580" w:lineRule="exact"/>
        <w:jc w:val="left"/>
        <w:rPr>
          <w:rFonts w:asciiTheme="minorEastAsia" w:hAnsiTheme="minorEastAsia"/>
          <w:b/>
          <w:sz w:val="36"/>
          <w:szCs w:val="36"/>
        </w:rPr>
      </w:pPr>
    </w:p>
    <w:p w14:paraId="6CEA3FEA">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 xml:space="preserve">第一部分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rPr>
        <w:t>概况</w:t>
      </w:r>
    </w:p>
    <w:p w14:paraId="6121C381">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Theme="minorEastAsia" w:hAnsiTheme="minorEastAsia"/>
          <w:b/>
          <w:sz w:val="36"/>
          <w:szCs w:val="36"/>
        </w:rPr>
      </w:pPr>
    </w:p>
    <w:p w14:paraId="1856B64F">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Theme="minorEastAsia" w:hAnsiTheme="minorEastAsia"/>
          <w:b/>
          <w:sz w:val="36"/>
          <w:szCs w:val="36"/>
        </w:rPr>
      </w:pPr>
      <w:r>
        <w:rPr>
          <w:rFonts w:hint="eastAsia" w:ascii="黑体" w:hAnsi="黑体" w:eastAsia="黑体" w:cs="黑体"/>
          <w:b/>
          <w:sz w:val="32"/>
          <w:szCs w:val="32"/>
        </w:rPr>
        <w:t>一、部门主要职责</w:t>
      </w:r>
    </w:p>
    <w:p w14:paraId="31B90535">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主要职责是：</w:t>
      </w:r>
    </w:p>
    <w:p w14:paraId="387590B6">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1.加强党的建设。落实基层党建工作贵任制，严格抓好基层党组织建设各项制度，统筹抓好基层党建工作。推进全面从严治党，强化“两个责任”，全面落实农村基层党支部“五化”建设，全面加强农村基层宣传思想文化工作，强化党建引领基层治理，进一步增强党在基层的政治领导力、思想引领力、群众组织力、社会号召力。</w:t>
      </w:r>
    </w:p>
    <w:p w14:paraId="6651F488">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2.加强公共管理。推进区域发展，全面实施镇村振兴战略，统筹落实辖区发展的重大决策和建设规划。实施综合管理，组织、领导、推进、协调辖区内镇村管理、人口管理、社会管理、经济发展、综合执法、市场监管、公共服务、生态环境保护等工作。领导基层自治工作，健全完善自治为基、法治为本、德治为先的基层治理体系。</w:t>
      </w:r>
    </w:p>
    <w:p w14:paraId="1F8BCFB9">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3.加强公共安全。负责辖区公共安全及安全生产监管，构建公共安全防控体系，建立应对突发紧急事件的处理预案，做好安全生产、防汛、防火、防疫、气象灾害防御、食品药品安全等应急管理工作。承担辖区社会治安综合治理工作，健全多元纠纷解决机制，综合发挥人民调解、行政调解和司法调解的作用，及时化解辖区社会矛盾，确保社会稳定。</w:t>
      </w:r>
    </w:p>
    <w:p w14:paraId="6CE61E2A">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4.加强公共服务。组织实施与群众生活密切相关的各项公共服务，落实人力资源和社会保障、民政、退役军人、教育、文化、体育、卫生健康等方面相关政策。拓宽服务渠道，改进服务方式，建立健全群众办事一次办结机制。推进镇村两级便民服务平台标准化建设，落实审批服务“三集中三到位”改革，深化“一窗受理、集成服务”改革，提升群众获得感和幸福感。</w:t>
      </w:r>
    </w:p>
    <w:p w14:paraId="22020116">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5.贯彻执行相关法律法规，落实党和国家的方针、政策，承担上级交办的其他事项。</w:t>
      </w:r>
    </w:p>
    <w:p w14:paraId="0CA52CA4">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b/>
          <w:sz w:val="36"/>
          <w:szCs w:val="36"/>
        </w:rPr>
      </w:pPr>
      <w:r>
        <w:rPr>
          <w:rFonts w:hint="eastAsia" w:ascii="黑体" w:hAnsi="黑体" w:eastAsia="黑体" w:cs="黑体"/>
          <w:b/>
          <w:sz w:val="32"/>
          <w:szCs w:val="32"/>
        </w:rPr>
        <w:t>二、机构设置及人员情况</w:t>
      </w:r>
    </w:p>
    <w:p w14:paraId="39329E9B">
      <w:pPr>
        <w:keepNext w:val="0"/>
        <w:keepLines w:val="0"/>
        <w:pageBreakBefore w:val="0"/>
        <w:kinsoku/>
        <w:wordWrap/>
        <w:overflowPunct/>
        <w:topLinePunct w:val="0"/>
        <w:autoSpaceDE/>
        <w:autoSpaceDN/>
        <w:bidi w:val="0"/>
        <w:adjustRightInd/>
        <w:snapToGrid w:val="0"/>
        <w:spacing w:line="240" w:lineRule="auto"/>
        <w:ind w:firstLine="640" w:firstLineChars="200"/>
        <w:rPr>
          <w:rFonts w:hint="default" w:ascii="仿宋_GB2312" w:hAnsi="仿宋" w:eastAsia="仿宋_GB2312" w:cs="Times New Roman"/>
          <w:sz w:val="32"/>
          <w:szCs w:val="32"/>
          <w:highlight w:val="none"/>
          <w:lang w:val="en-US" w:eastAsia="zh-CN"/>
        </w:rPr>
      </w:pPr>
      <w:r>
        <w:rPr>
          <w:rFonts w:hint="eastAsia" w:ascii="仿宋_GB2312" w:hAnsi="仿宋_GB2312" w:eastAsia="仿宋_GB2312" w:cs="仿宋_GB2312"/>
          <w:kern w:val="2"/>
          <w:sz w:val="32"/>
          <w:szCs w:val="30"/>
          <w:lang w:val="en-US" w:eastAsia="zh-CN" w:bidi="ar-SA"/>
        </w:rPr>
        <w:t>2026年</w:t>
      </w:r>
      <w:r>
        <w:rPr>
          <w:rFonts w:hint="eastAsia" w:ascii="仿宋_GB2312" w:hAnsi="仿宋" w:eastAsia="仿宋_GB2312" w:cs="Times New Roman"/>
          <w:sz w:val="32"/>
          <w:szCs w:val="32"/>
          <w:highlight w:val="none"/>
          <w:lang w:val="en-US" w:eastAsia="zh-CN"/>
        </w:rPr>
        <w:t>昌江区鲇鱼山镇人民政府</w:t>
      </w:r>
      <w:r>
        <w:rPr>
          <w:rFonts w:hint="eastAsia" w:ascii="仿宋_GB2312" w:hAnsi="仿宋_GB2312" w:eastAsia="仿宋_GB2312" w:cs="仿宋_GB2312"/>
          <w:kern w:val="2"/>
          <w:sz w:val="32"/>
          <w:szCs w:val="30"/>
          <w:lang w:val="en-US" w:eastAsia="zh-CN" w:bidi="ar-SA"/>
        </w:rPr>
        <w:t>共有预算单位5个，</w:t>
      </w:r>
      <w:r>
        <w:rPr>
          <w:rFonts w:hint="eastAsia" w:ascii="仿宋_GB2312" w:hAnsi="仿宋" w:eastAsia="仿宋_GB2312" w:cs="Times New Roman"/>
          <w:sz w:val="32"/>
          <w:szCs w:val="32"/>
          <w:highlight w:val="none"/>
          <w:lang w:val="en-US" w:eastAsia="zh-CN"/>
        </w:rPr>
        <w:t>分别是经济发展和财政办公室、党政办公室、社会治理办公室、社会事务办公室、农业农村工作办公室。设立2个事业单位，分别是综合行政执法队和便民服务中心。</w:t>
      </w:r>
    </w:p>
    <w:p w14:paraId="43F9568E">
      <w:pPr>
        <w:rPr>
          <w:rFonts w:hint="eastAsia" w:ascii="仿宋_GB2312" w:hAnsi="仿宋_GB2312" w:eastAsia="仿宋_GB2312" w:cs="仿宋_GB2312"/>
          <w:kern w:val="2"/>
          <w:sz w:val="32"/>
          <w:szCs w:val="30"/>
          <w:lang w:val="en-US" w:eastAsia="zh-CN" w:bidi="ar-SA"/>
        </w:rPr>
      </w:pPr>
      <w:r>
        <w:rPr>
          <w:rFonts w:hint="eastAsia" w:ascii="仿宋_GB2312" w:hAnsi="仿宋" w:eastAsia="仿宋_GB2312" w:cs="Times New Roman"/>
          <w:sz w:val="32"/>
          <w:szCs w:val="32"/>
          <w:highlight w:val="none"/>
          <w:lang w:val="en-US" w:eastAsia="zh-CN"/>
        </w:rPr>
        <w:t>2．人员情况：2026年度本单位在职人员44人，其中：行政</w:t>
      </w:r>
      <w:r>
        <w:rPr>
          <w:rFonts w:hint="eastAsia" w:ascii="仿宋_GB2312" w:hAnsi="仿宋_GB2312" w:eastAsia="仿宋_GB2312" w:cs="仿宋_GB2312"/>
          <w:kern w:val="2"/>
          <w:sz w:val="32"/>
          <w:szCs w:val="30"/>
          <w:lang w:val="en-US" w:eastAsia="zh-CN" w:bidi="ar-SA"/>
        </w:rPr>
        <w:t>在职人数18</w:t>
      </w:r>
      <w:r>
        <w:rPr>
          <w:rFonts w:hint="eastAsia" w:ascii="仿宋_GB2312" w:hAnsi="仿宋" w:eastAsia="仿宋_GB2312" w:cs="Times New Roman"/>
          <w:sz w:val="32"/>
          <w:szCs w:val="32"/>
          <w:highlight w:val="none"/>
          <w:lang w:val="en-US" w:eastAsia="zh-CN"/>
        </w:rPr>
        <w:t>人，</w:t>
      </w:r>
      <w:r>
        <w:rPr>
          <w:rFonts w:hint="eastAsia" w:ascii="仿宋_GB2312" w:hAnsi="仿宋_GB2312" w:eastAsia="仿宋_GB2312" w:cs="仿宋_GB2312"/>
          <w:kern w:val="2"/>
          <w:sz w:val="32"/>
          <w:szCs w:val="30"/>
          <w:lang w:val="en-US" w:eastAsia="zh-CN" w:bidi="ar-SA"/>
        </w:rPr>
        <w:t>全部补助事业在职人数26</w:t>
      </w:r>
      <w:r>
        <w:rPr>
          <w:rFonts w:hint="eastAsia" w:ascii="仿宋_GB2312" w:hAnsi="仿宋" w:eastAsia="仿宋_GB2312" w:cs="Times New Roman"/>
          <w:sz w:val="32"/>
          <w:szCs w:val="32"/>
          <w:highlight w:val="none"/>
          <w:lang w:val="en-US" w:eastAsia="zh-CN"/>
        </w:rPr>
        <w:t>人。</w:t>
      </w:r>
      <w:r>
        <w:rPr>
          <w:rFonts w:hint="eastAsia" w:ascii="仿宋_GB2312" w:hAnsi="仿宋_GB2312" w:eastAsia="仿宋_GB2312" w:cs="仿宋_GB2312"/>
          <w:kern w:val="2"/>
          <w:sz w:val="32"/>
          <w:szCs w:val="30"/>
          <w:lang w:val="en-US" w:eastAsia="zh-CN" w:bidi="ar-SA"/>
        </w:rPr>
        <w:t>退休人数小计22人，遗属人数7人。</w:t>
      </w:r>
    </w:p>
    <w:p w14:paraId="162BB942">
      <w:pPr>
        <w:pStyle w:val="18"/>
        <w:bidi w:val="0"/>
        <w:rPr>
          <w:rFonts w:hint="eastAsia" w:ascii="仿宋_GB2312" w:hAnsi="仿宋_GB2312" w:eastAsia="仿宋_GB2312" w:cs="仿宋_GB2312"/>
        </w:rPr>
      </w:pPr>
    </w:p>
    <w:p w14:paraId="31168C7D">
      <w:pPr>
        <w:widowControl/>
        <w:spacing w:line="580" w:lineRule="exact"/>
        <w:jc w:val="center"/>
        <w:rPr>
          <w:rFonts w:ascii="仿宋_GB2312" w:eastAsia="仿宋_GB2312"/>
          <w:b/>
          <w:szCs w:val="30"/>
        </w:rPr>
      </w:pPr>
    </w:p>
    <w:p w14:paraId="248F289C">
      <w:pPr>
        <w:pStyle w:val="17"/>
        <w:numPr>
          <w:ilvl w:val="0"/>
          <w:numId w:val="0"/>
        </w:numPr>
        <w:bidi w:val="0"/>
        <w:ind w:left="420" w:leftChars="200"/>
        <w:jc w:val="center"/>
        <w:rPr>
          <w:rFonts w:hint="eastAsia"/>
          <w:lang w:eastAsia="zh-CN"/>
        </w:rPr>
      </w:pPr>
      <w:r>
        <w:rPr>
          <w:rFonts w:hint="eastAsia"/>
          <w:lang w:eastAsia="zh-CN"/>
        </w:rPr>
        <w:t xml:space="preserve">第二部分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lang w:eastAsia="zh-CN"/>
        </w:rPr>
        <w:t>202</w:t>
      </w:r>
      <w:r>
        <w:rPr>
          <w:rFonts w:hint="eastAsia" w:ascii="方正小标宋简体" w:hAnsi="方正小标宋简体" w:eastAsia="方正小标宋简体" w:cs="方正小标宋简体"/>
          <w:b/>
          <w:sz w:val="32"/>
          <w:szCs w:val="30"/>
          <w:lang w:val="en-US" w:eastAsia="zh-CN"/>
        </w:rPr>
        <w:t>6</w:t>
      </w:r>
      <w:r>
        <w:rPr>
          <w:rFonts w:hint="eastAsia" w:ascii="方正小标宋简体" w:hAnsi="方正小标宋简体" w:eastAsia="方正小标宋简体" w:cs="方正小标宋简体"/>
          <w:b/>
          <w:sz w:val="32"/>
          <w:szCs w:val="30"/>
        </w:rPr>
        <w:t>年部门预算表</w:t>
      </w:r>
    </w:p>
    <w:p w14:paraId="2D40644A">
      <w:pPr>
        <w:pStyle w:val="17"/>
        <w:numPr>
          <w:ilvl w:val="0"/>
          <w:numId w:val="0"/>
        </w:numPr>
        <w:bidi w:val="0"/>
        <w:ind w:left="420" w:leftChars="200"/>
        <w:rPr>
          <w:rFonts w:hint="eastAsia"/>
          <w:lang w:eastAsia="zh-CN"/>
        </w:rPr>
      </w:pPr>
    </w:p>
    <w:p w14:paraId="780A39CC">
      <w:pPr>
        <w:rPr>
          <w:rFonts w:hint="eastAsia"/>
          <w:lang w:eastAsia="zh-CN"/>
        </w:rPr>
        <w:sectPr>
          <w:headerReference r:id="rId3" w:type="default"/>
          <w:pgSz w:w="11906" w:h="16838"/>
          <w:pgMar w:top="2098" w:right="1587" w:bottom="2098" w:left="1587" w:header="851" w:footer="992" w:gutter="0"/>
          <w:cols w:space="425" w:num="1"/>
          <w:docGrid w:type="lines" w:linePitch="312" w:charSpace="0"/>
        </w:sectPr>
      </w:pPr>
      <w:r>
        <w:rPr>
          <w:rFonts w:hint="eastAsia"/>
          <w:lang w:eastAsia="zh-CN"/>
        </w:rPr>
        <w:drawing>
          <wp:inline distT="0" distB="0" distL="114300" distR="114300">
            <wp:extent cx="5527675" cy="3803650"/>
            <wp:effectExtent l="0" t="0" r="15875" b="635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527675" cy="3803650"/>
                    </a:xfrm>
                    <a:prstGeom prst="rect">
                      <a:avLst/>
                    </a:prstGeom>
                  </pic:spPr>
                </pic:pic>
              </a:graphicData>
            </a:graphic>
          </wp:inline>
        </w:drawing>
      </w:r>
      <w:r>
        <w:rPr>
          <w:rFonts w:hint="eastAsia"/>
          <w:lang w:eastAsia="zh-CN"/>
        </w:rPr>
        <w:drawing>
          <wp:inline distT="0" distB="0" distL="114300" distR="114300">
            <wp:extent cx="5528945" cy="3730625"/>
            <wp:effectExtent l="0" t="0" r="14605" b="317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528945" cy="3730625"/>
                    </a:xfrm>
                    <a:prstGeom prst="rect">
                      <a:avLst/>
                    </a:prstGeom>
                  </pic:spPr>
                </pic:pic>
              </a:graphicData>
            </a:graphic>
          </wp:inline>
        </w:drawing>
      </w:r>
      <w:r>
        <w:rPr>
          <w:rFonts w:hint="eastAsia"/>
          <w:lang w:eastAsia="zh-CN"/>
        </w:rPr>
        <w:drawing>
          <wp:inline distT="0" distB="0" distL="114300" distR="114300">
            <wp:extent cx="5542915" cy="3950335"/>
            <wp:effectExtent l="0" t="0" r="635" b="1206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542915" cy="3950335"/>
                    </a:xfrm>
                    <a:prstGeom prst="rect">
                      <a:avLst/>
                    </a:prstGeom>
                  </pic:spPr>
                </pic:pic>
              </a:graphicData>
            </a:graphic>
          </wp:inline>
        </w:drawing>
      </w:r>
      <w:r>
        <w:rPr>
          <w:rFonts w:hint="eastAsia"/>
          <w:lang w:eastAsia="zh-CN"/>
        </w:rPr>
        <w:drawing>
          <wp:inline distT="0" distB="0" distL="114300" distR="114300">
            <wp:extent cx="5542280" cy="3645535"/>
            <wp:effectExtent l="0" t="0" r="1270" b="1206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5542280" cy="3645535"/>
                    </a:xfrm>
                    <a:prstGeom prst="rect">
                      <a:avLst/>
                    </a:prstGeom>
                  </pic:spPr>
                </pic:pic>
              </a:graphicData>
            </a:graphic>
          </wp:inline>
        </w:drawing>
      </w:r>
      <w:r>
        <w:rPr>
          <w:rFonts w:hint="eastAsia"/>
          <w:lang w:eastAsia="zh-CN"/>
        </w:rPr>
        <w:drawing>
          <wp:inline distT="0" distB="0" distL="114300" distR="114300">
            <wp:extent cx="5539740" cy="3950335"/>
            <wp:effectExtent l="0" t="0" r="3810" b="1206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5539740" cy="3950335"/>
                    </a:xfrm>
                    <a:prstGeom prst="rect">
                      <a:avLst/>
                    </a:prstGeom>
                  </pic:spPr>
                </pic:pic>
              </a:graphicData>
            </a:graphic>
          </wp:inline>
        </w:drawing>
      </w:r>
      <w:r>
        <w:rPr>
          <w:rFonts w:hint="eastAsia"/>
          <w:lang w:eastAsia="zh-CN"/>
        </w:rPr>
        <w:drawing>
          <wp:inline distT="0" distB="0" distL="114300" distR="114300">
            <wp:extent cx="3998595" cy="5652135"/>
            <wp:effectExtent l="0" t="0" r="5715" b="190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0"/>
                    <a:stretch>
                      <a:fillRect/>
                    </a:stretch>
                  </pic:blipFill>
                  <pic:spPr>
                    <a:xfrm rot="16200000">
                      <a:off x="0" y="0"/>
                      <a:ext cx="3998595" cy="5652135"/>
                    </a:xfrm>
                    <a:prstGeom prst="rect">
                      <a:avLst/>
                    </a:prstGeom>
                  </pic:spPr>
                </pic:pic>
              </a:graphicData>
            </a:graphic>
          </wp:inline>
        </w:drawing>
      </w:r>
      <w:r>
        <w:rPr>
          <w:rFonts w:hint="eastAsia"/>
          <w:lang w:eastAsia="zh-CN"/>
        </w:rPr>
        <w:drawing>
          <wp:inline distT="0" distB="0" distL="114300" distR="114300">
            <wp:extent cx="5542915" cy="3559810"/>
            <wp:effectExtent l="0" t="0" r="635" b="2540"/>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1"/>
                    <a:stretch>
                      <a:fillRect/>
                    </a:stretch>
                  </pic:blipFill>
                  <pic:spPr>
                    <a:xfrm>
                      <a:off x="0" y="0"/>
                      <a:ext cx="5542915" cy="3559810"/>
                    </a:xfrm>
                    <a:prstGeom prst="rect">
                      <a:avLst/>
                    </a:prstGeom>
                  </pic:spPr>
                </pic:pic>
              </a:graphicData>
            </a:graphic>
          </wp:inline>
        </w:drawing>
      </w:r>
      <w:r>
        <w:rPr>
          <w:rFonts w:hint="eastAsia"/>
          <w:lang w:eastAsia="zh-CN"/>
        </w:rPr>
        <w:drawing>
          <wp:inline distT="0" distB="0" distL="114300" distR="114300">
            <wp:extent cx="5530215" cy="3401695"/>
            <wp:effectExtent l="0" t="0" r="13335" b="825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2"/>
                    <a:stretch>
                      <a:fillRect/>
                    </a:stretch>
                  </pic:blipFill>
                  <pic:spPr>
                    <a:xfrm>
                      <a:off x="0" y="0"/>
                      <a:ext cx="5530215" cy="3401695"/>
                    </a:xfrm>
                    <a:prstGeom prst="rect">
                      <a:avLst/>
                    </a:prstGeom>
                  </pic:spPr>
                </pic:pic>
              </a:graphicData>
            </a:graphic>
          </wp:inline>
        </w:drawing>
      </w:r>
      <w:r>
        <w:rPr>
          <w:rFonts w:hint="eastAsia"/>
          <w:lang w:eastAsia="zh-CN"/>
        </w:rPr>
        <w:drawing>
          <wp:inline distT="0" distB="0" distL="114300" distR="114300">
            <wp:extent cx="5535930" cy="3523615"/>
            <wp:effectExtent l="0" t="0" r="7620" b="635"/>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3"/>
                    <a:stretch>
                      <a:fillRect/>
                    </a:stretch>
                  </pic:blipFill>
                  <pic:spPr>
                    <a:xfrm>
                      <a:off x="0" y="0"/>
                      <a:ext cx="5535930" cy="3523615"/>
                    </a:xfrm>
                    <a:prstGeom prst="rect">
                      <a:avLst/>
                    </a:prstGeom>
                  </pic:spPr>
                </pic:pic>
              </a:graphicData>
            </a:graphic>
          </wp:inline>
        </w:drawing>
      </w:r>
      <w:r>
        <w:rPr>
          <w:rFonts w:hint="eastAsia"/>
          <w:lang w:eastAsia="zh-CN"/>
        </w:rPr>
        <w:drawing>
          <wp:inline distT="0" distB="0" distL="114300" distR="114300">
            <wp:extent cx="5535295" cy="7840345"/>
            <wp:effectExtent l="0" t="0" r="8255" b="8255"/>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4"/>
                    <a:stretch>
                      <a:fillRect/>
                    </a:stretch>
                  </pic:blipFill>
                  <pic:spPr>
                    <a:xfrm>
                      <a:off x="0" y="0"/>
                      <a:ext cx="5535295" cy="7840345"/>
                    </a:xfrm>
                    <a:prstGeom prst="rect">
                      <a:avLst/>
                    </a:prstGeom>
                  </pic:spPr>
                </pic:pic>
              </a:graphicData>
            </a:graphic>
          </wp:inline>
        </w:drawing>
      </w:r>
      <w:r>
        <w:rPr>
          <w:rFonts w:hint="eastAsia"/>
          <w:lang w:eastAsia="zh-CN"/>
        </w:rPr>
        <w:drawing>
          <wp:inline distT="0" distB="0" distL="114300" distR="114300">
            <wp:extent cx="4939030" cy="6991985"/>
            <wp:effectExtent l="0" t="0" r="13970" b="18415"/>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5"/>
                    <a:stretch>
                      <a:fillRect/>
                    </a:stretch>
                  </pic:blipFill>
                  <pic:spPr>
                    <a:xfrm rot="10800000">
                      <a:off x="0" y="0"/>
                      <a:ext cx="4939030" cy="6991985"/>
                    </a:xfrm>
                    <a:prstGeom prst="rect">
                      <a:avLst/>
                    </a:prstGeom>
                  </pic:spPr>
                </pic:pic>
              </a:graphicData>
            </a:graphic>
          </wp:inline>
        </w:drawing>
      </w:r>
    </w:p>
    <w:p w14:paraId="762552A2">
      <w:pPr>
        <w:jc w:val="left"/>
        <w:rPr>
          <w:rStyle w:val="12"/>
          <w:rFonts w:hint="eastAsia" w:ascii="仿宋" w:hAnsi="仿宋" w:eastAsia="仿宋"/>
          <w:bCs/>
          <w:sz w:val="32"/>
          <w:szCs w:val="32"/>
        </w:rPr>
      </w:pPr>
    </w:p>
    <w:p w14:paraId="1A9CE70D">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lang w:val="en-US" w:eastAsia="zh-CN"/>
        </w:rPr>
        <w:t xml:space="preserve">第三部分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lang w:eastAsia="zh-CN"/>
        </w:rPr>
        <w:t>202</w:t>
      </w:r>
      <w:r>
        <w:rPr>
          <w:rFonts w:hint="eastAsia" w:ascii="方正小标宋简体" w:hAnsi="方正小标宋简体" w:eastAsia="方正小标宋简体" w:cs="方正小标宋简体"/>
          <w:b/>
          <w:sz w:val="32"/>
          <w:szCs w:val="30"/>
          <w:lang w:val="en-US" w:eastAsia="zh-CN"/>
        </w:rPr>
        <w:t>6</w:t>
      </w:r>
      <w:r>
        <w:rPr>
          <w:rFonts w:hint="eastAsia" w:ascii="方正小标宋简体" w:hAnsi="方正小标宋简体" w:eastAsia="方正小标宋简体" w:cs="方正小标宋简体"/>
          <w:b/>
          <w:sz w:val="32"/>
          <w:szCs w:val="30"/>
        </w:rPr>
        <w:t>年部门预算情况说明</w:t>
      </w:r>
    </w:p>
    <w:p w14:paraId="2703F926">
      <w:pPr>
        <w:pStyle w:val="17"/>
        <w:numPr>
          <w:ilvl w:val="0"/>
          <w:numId w:val="0"/>
        </w:numPr>
        <w:bidi w:val="0"/>
        <w:ind w:left="420" w:leftChars="200"/>
        <w:jc w:val="center"/>
        <w:rPr>
          <w:rFonts w:hint="eastAsia"/>
          <w:lang w:eastAsia="zh-CN"/>
        </w:rPr>
      </w:pPr>
    </w:p>
    <w:p w14:paraId="055153FC">
      <w:pPr>
        <w:widowControl/>
        <w:spacing w:line="580" w:lineRule="exact"/>
        <w:jc w:val="center"/>
        <w:rPr>
          <w:rFonts w:ascii="仿宋_GB2312" w:eastAsia="仿宋_GB2312"/>
          <w:b/>
          <w:sz w:val="32"/>
          <w:szCs w:val="30"/>
        </w:rPr>
      </w:pPr>
    </w:p>
    <w:p w14:paraId="48D5B7CE">
      <w:pPr>
        <w:pStyle w:val="17"/>
        <w:numPr>
          <w:ilvl w:val="0"/>
          <w:numId w:val="0"/>
        </w:numPr>
        <w:bidi w:val="0"/>
        <w:ind w:left="420" w:leftChars="200" w:firstLine="321" w:firstLineChars="100"/>
        <w:rPr>
          <w:rFonts w:ascii="楷体_GB2312" w:eastAsia="楷体_GB2312"/>
          <w:b/>
          <w:sz w:val="32"/>
          <w:szCs w:val="30"/>
        </w:rPr>
      </w:pPr>
      <w:r>
        <w:rPr>
          <w:rFonts w:hint="eastAsia" w:ascii="楷体_GB2312" w:eastAsia="楷体_GB2312"/>
          <w:b/>
          <w:sz w:val="32"/>
          <w:szCs w:val="30"/>
        </w:rPr>
        <w:t>一、</w:t>
      </w:r>
      <w:r>
        <w:rPr>
          <w:rFonts w:hint="eastAsia" w:ascii="楷体_GB2312" w:eastAsia="楷体_GB2312"/>
          <w:b/>
          <w:sz w:val="32"/>
          <w:szCs w:val="30"/>
          <w:lang w:eastAsia="zh-CN"/>
        </w:rPr>
        <w:t>2026</w:t>
      </w:r>
      <w:r>
        <w:rPr>
          <w:rFonts w:hint="eastAsia" w:ascii="楷体_GB2312" w:eastAsia="楷体_GB2312"/>
          <w:b/>
          <w:sz w:val="32"/>
          <w:szCs w:val="30"/>
        </w:rPr>
        <w:t>年部门预算收支情况说明</w:t>
      </w:r>
    </w:p>
    <w:p w14:paraId="6618D4C3">
      <w:pPr>
        <w:pStyle w:val="19"/>
        <w:numPr>
          <w:ilvl w:val="0"/>
          <w:numId w:val="0"/>
        </w:numPr>
        <w:bidi w:val="0"/>
        <w:ind w:left="420" w:leftChars="200"/>
        <w:rPr>
          <w:rFonts w:hint="eastAsia"/>
        </w:rPr>
      </w:pPr>
      <w:r>
        <w:rPr>
          <w:rFonts w:hint="eastAsia"/>
        </w:rPr>
        <w:t xml:space="preserve"> (一)收入预算情况</w:t>
      </w:r>
    </w:p>
    <w:p w14:paraId="13CC828C">
      <w:pPr>
        <w:pStyle w:val="18"/>
        <w:bidi w:val="0"/>
        <w:rPr>
          <w:rFonts w:hint="eastAsia"/>
        </w:rPr>
      </w:pPr>
      <w:r>
        <w:rPr>
          <w:rFonts w:hint="eastAsia"/>
          <w:lang w:eastAsia="zh-CN"/>
        </w:rPr>
        <w:t>2026</w:t>
      </w:r>
      <w:r>
        <w:rPr>
          <w:rFonts w:hint="eastAsia"/>
        </w:rPr>
        <w:t>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Fonts w:hint="eastAsia"/>
        </w:rPr>
        <w:t>收入预算总额为</w:t>
      </w:r>
      <w:r>
        <w:rPr>
          <w:rFonts w:hint="eastAsia"/>
          <w:lang w:val="en-US" w:eastAsia="zh-CN"/>
        </w:rPr>
        <w:t>5601.86</w:t>
      </w:r>
      <w:r>
        <w:rPr>
          <w:rFonts w:hint="eastAsia"/>
        </w:rPr>
        <w:t>万元</w:t>
      </w:r>
      <w:r>
        <w:rPr>
          <w:rFonts w:hint="eastAsia"/>
          <w:lang w:eastAsia="zh-CN"/>
        </w:rPr>
        <w:t>，</w:t>
      </w:r>
      <w:r>
        <w:rPr>
          <w:rFonts w:hint="eastAsia"/>
        </w:rPr>
        <w:t>较上年预算安排增加</w:t>
      </w:r>
      <w:r>
        <w:rPr>
          <w:rFonts w:hint="eastAsia"/>
          <w:lang w:val="en-US" w:eastAsia="zh-CN"/>
        </w:rPr>
        <w:t>1682.94</w:t>
      </w:r>
      <w:r>
        <w:rPr>
          <w:rFonts w:hint="eastAsia"/>
        </w:rPr>
        <w:t>万元</w:t>
      </w:r>
      <w:r>
        <w:rPr>
          <w:rFonts w:hint="eastAsia"/>
          <w:lang w:eastAsia="zh-CN"/>
        </w:rPr>
        <w:t>；本年收入合计</w:t>
      </w:r>
      <w:r>
        <w:rPr>
          <w:rFonts w:hint="eastAsia"/>
          <w:lang w:val="en-US" w:eastAsia="zh-CN"/>
        </w:rPr>
        <w:t>5582.36</w:t>
      </w:r>
      <w:r>
        <w:rPr>
          <w:rFonts w:hint="eastAsia"/>
          <w:lang w:eastAsia="zh-CN"/>
        </w:rPr>
        <w:t>万元，较上年预算安排增加</w:t>
      </w:r>
      <w:r>
        <w:rPr>
          <w:rFonts w:hint="eastAsia"/>
          <w:lang w:val="en-US" w:eastAsia="zh-CN"/>
        </w:rPr>
        <w:t>1664.85</w:t>
      </w:r>
      <w:r>
        <w:rPr>
          <w:rFonts w:hint="eastAsia"/>
          <w:lang w:eastAsia="zh-CN"/>
        </w:rPr>
        <w:t>万元；包括：财政拨款收入</w:t>
      </w:r>
      <w:r>
        <w:rPr>
          <w:rFonts w:hint="eastAsia"/>
          <w:lang w:val="en-US" w:eastAsia="zh-CN"/>
        </w:rPr>
        <w:t>3182.36</w:t>
      </w:r>
      <w:r>
        <w:rPr>
          <w:rFonts w:hint="eastAsia"/>
          <w:lang w:eastAsia="zh-CN"/>
        </w:rPr>
        <w:t>万元，较上年预算安排增加减少</w:t>
      </w:r>
      <w:r>
        <w:rPr>
          <w:rFonts w:hint="eastAsia"/>
          <w:lang w:val="en-US" w:eastAsia="zh-CN"/>
        </w:rPr>
        <w:t>725.15</w:t>
      </w:r>
      <w:r>
        <w:rPr>
          <w:rFonts w:hint="eastAsia"/>
          <w:lang w:eastAsia="zh-CN"/>
        </w:rPr>
        <w:t>万元；其他收入</w:t>
      </w:r>
      <w:r>
        <w:rPr>
          <w:rFonts w:hint="eastAsia"/>
          <w:lang w:val="en-US" w:eastAsia="zh-CN"/>
        </w:rPr>
        <w:t>2400</w:t>
      </w:r>
      <w:r>
        <w:rPr>
          <w:rFonts w:hint="eastAsia"/>
          <w:lang w:eastAsia="zh-CN"/>
        </w:rPr>
        <w:t>万元，较上年预算安排增加</w:t>
      </w:r>
      <w:r>
        <w:rPr>
          <w:rFonts w:hint="eastAsia"/>
          <w:lang w:val="en-US" w:eastAsia="zh-CN"/>
        </w:rPr>
        <w:t>2390</w:t>
      </w:r>
      <w:r>
        <w:rPr>
          <w:rFonts w:hint="eastAsia"/>
          <w:lang w:eastAsia="zh-CN"/>
        </w:rPr>
        <w:t>万元。</w:t>
      </w:r>
    </w:p>
    <w:p w14:paraId="63AF15CB">
      <w:pPr>
        <w:pStyle w:val="19"/>
        <w:numPr>
          <w:ilvl w:val="0"/>
          <w:numId w:val="0"/>
        </w:numPr>
        <w:bidi w:val="0"/>
        <w:ind w:left="420" w:leftChars="200"/>
        <w:rPr>
          <w:rFonts w:hint="eastAsia"/>
        </w:rPr>
      </w:pPr>
      <w:r>
        <w:rPr>
          <w:rFonts w:hint="eastAsia"/>
        </w:rPr>
        <w:t xml:space="preserve"> </w:t>
      </w:r>
      <w:r>
        <w:rPr>
          <w:rFonts w:hint="eastAsia"/>
          <w:lang w:val="en-US" w:eastAsia="zh-CN"/>
        </w:rPr>
        <w:t>(二)支出预算情况</w:t>
      </w:r>
    </w:p>
    <w:p w14:paraId="1193D106">
      <w:pPr>
        <w:pStyle w:val="18"/>
        <w:bidi w:val="0"/>
        <w:rPr>
          <w:rFonts w:hint="eastAsia"/>
        </w:rPr>
      </w:pPr>
      <w:r>
        <w:rPr>
          <w:rFonts w:hint="eastAsia"/>
          <w:lang w:eastAsia="zh-CN"/>
        </w:rPr>
        <w:t>2026</w:t>
      </w:r>
      <w:r>
        <w:rPr>
          <w:rFonts w:hint="eastAsia"/>
        </w:rPr>
        <w:t>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Fonts w:hint="eastAsia"/>
        </w:rPr>
        <w:t>支出预算总额为</w:t>
      </w:r>
      <w:r>
        <w:rPr>
          <w:rFonts w:hint="eastAsia"/>
          <w:lang w:val="en-US" w:eastAsia="zh-CN"/>
        </w:rPr>
        <w:t>5601.86</w:t>
      </w:r>
      <w:r>
        <w:rPr>
          <w:rFonts w:hint="eastAsia"/>
        </w:rPr>
        <w:t>万元</w:t>
      </w:r>
      <w:r>
        <w:rPr>
          <w:rFonts w:hint="eastAsia"/>
          <w:lang w:eastAsia="zh-CN"/>
        </w:rPr>
        <w:t>，</w:t>
      </w:r>
      <w:r>
        <w:rPr>
          <w:rFonts w:hint="eastAsia"/>
        </w:rPr>
        <w:t>较上年预算安排增加</w:t>
      </w:r>
      <w:r>
        <w:rPr>
          <w:rFonts w:hint="eastAsia"/>
          <w:lang w:val="en-US" w:eastAsia="zh-CN"/>
        </w:rPr>
        <w:t>1682.94</w:t>
      </w:r>
      <w:r>
        <w:rPr>
          <w:rFonts w:hint="eastAsia"/>
        </w:rPr>
        <w:t xml:space="preserve">万元。 </w:t>
      </w:r>
    </w:p>
    <w:p w14:paraId="4B190B99">
      <w:pPr>
        <w:pStyle w:val="18"/>
        <w:bidi w:val="0"/>
        <w:rPr>
          <w:rFonts w:hint="eastAsia"/>
        </w:rPr>
      </w:pPr>
      <w:r>
        <w:rPr>
          <w:rFonts w:hint="eastAsia"/>
        </w:rPr>
        <w:t>按支出项目类别划分：基本支出</w:t>
      </w:r>
      <w:r>
        <w:rPr>
          <w:rFonts w:hint="eastAsia"/>
          <w:lang w:val="en-US" w:eastAsia="zh-CN"/>
        </w:rPr>
        <w:t>3765.33</w:t>
      </w:r>
      <w:r>
        <w:rPr>
          <w:rFonts w:hint="eastAsia"/>
        </w:rPr>
        <w:t>万元</w:t>
      </w:r>
      <w:r>
        <w:rPr>
          <w:rFonts w:hint="eastAsia"/>
          <w:lang w:eastAsia="zh-CN"/>
        </w:rPr>
        <w:t>，</w:t>
      </w:r>
      <w:r>
        <w:rPr>
          <w:rFonts w:hint="eastAsia"/>
        </w:rPr>
        <w:t>较上年预算安排增加</w:t>
      </w:r>
      <w:r>
        <w:rPr>
          <w:rFonts w:hint="eastAsia"/>
          <w:lang w:val="en-US" w:eastAsia="zh-CN"/>
        </w:rPr>
        <w:t>2439.02</w:t>
      </w:r>
      <w:r>
        <w:rPr>
          <w:rFonts w:hint="eastAsia"/>
        </w:rPr>
        <w:t>万元</w:t>
      </w:r>
      <w:r>
        <w:rPr>
          <w:rFonts w:hint="eastAsia"/>
          <w:lang w:eastAsia="zh-CN"/>
        </w:rPr>
        <w:t>；</w:t>
      </w:r>
      <w:r>
        <w:rPr>
          <w:rFonts w:hint="eastAsia"/>
        </w:rPr>
        <w:t>项目支出</w:t>
      </w:r>
      <w:r>
        <w:rPr>
          <w:rFonts w:hint="eastAsia"/>
          <w:lang w:val="en-US" w:eastAsia="zh-CN"/>
        </w:rPr>
        <w:t>1836.53</w:t>
      </w:r>
      <w:r>
        <w:rPr>
          <w:rFonts w:hint="eastAsia"/>
        </w:rPr>
        <w:t>万元</w:t>
      </w:r>
      <w:r>
        <w:rPr>
          <w:rFonts w:hint="eastAsia"/>
          <w:lang w:eastAsia="zh-CN"/>
        </w:rPr>
        <w:t>，</w:t>
      </w:r>
      <w:r>
        <w:rPr>
          <w:rFonts w:hint="eastAsia"/>
        </w:rPr>
        <w:t>较上年预算安排减少</w:t>
      </w:r>
      <w:r>
        <w:rPr>
          <w:rFonts w:hint="eastAsia"/>
          <w:lang w:val="en-US" w:eastAsia="zh-CN"/>
        </w:rPr>
        <w:t>756.08</w:t>
      </w:r>
      <w:r>
        <w:rPr>
          <w:rFonts w:hint="eastAsia"/>
        </w:rPr>
        <w:t>万元。</w:t>
      </w:r>
    </w:p>
    <w:p w14:paraId="7E1D18B2">
      <w:pPr>
        <w:pStyle w:val="18"/>
        <w:bidi w:val="0"/>
        <w:rPr>
          <w:rFonts w:hint="eastAsia"/>
        </w:rPr>
      </w:pPr>
      <w:r>
        <w:rPr>
          <w:rFonts w:hint="eastAsia"/>
        </w:rPr>
        <w:t>按支出功能科目划分：一般公共服务支出</w:t>
      </w:r>
      <w:r>
        <w:rPr>
          <w:rFonts w:hint="eastAsia"/>
          <w:lang w:val="en-US" w:eastAsia="zh-CN"/>
        </w:rPr>
        <w:t>1766.62</w:t>
      </w:r>
      <w:r>
        <w:rPr>
          <w:rFonts w:hint="eastAsia"/>
        </w:rPr>
        <w:t>万元，较上年预算安排减少</w:t>
      </w:r>
      <w:r>
        <w:rPr>
          <w:rFonts w:hint="eastAsia"/>
          <w:lang w:val="en-US" w:eastAsia="zh-CN"/>
        </w:rPr>
        <w:t>1087.91</w:t>
      </w:r>
      <w:r>
        <w:rPr>
          <w:rFonts w:hint="eastAsia"/>
        </w:rPr>
        <w:t>万元；文化旅游体育与传媒支出</w:t>
      </w:r>
      <w:r>
        <w:rPr>
          <w:rFonts w:hint="eastAsia"/>
          <w:lang w:val="en-US" w:eastAsia="zh-CN"/>
        </w:rPr>
        <w:t>3.5万元，</w:t>
      </w:r>
      <w:r>
        <w:rPr>
          <w:rFonts w:hint="eastAsia"/>
        </w:rPr>
        <w:t>较上年预算安排增加</w:t>
      </w:r>
      <w:r>
        <w:rPr>
          <w:rFonts w:hint="eastAsia"/>
          <w:lang w:val="en-US" w:eastAsia="zh-CN"/>
        </w:rPr>
        <w:t>3.5</w:t>
      </w:r>
      <w:r>
        <w:rPr>
          <w:rFonts w:hint="eastAsia"/>
        </w:rPr>
        <w:t>万元</w:t>
      </w:r>
      <w:r>
        <w:rPr>
          <w:rFonts w:hint="eastAsia"/>
          <w:lang w:eastAsia="zh-CN"/>
        </w:rPr>
        <w:t>；</w:t>
      </w:r>
      <w:r>
        <w:rPr>
          <w:rFonts w:hint="eastAsia"/>
        </w:rPr>
        <w:t>社会保障和就业支出</w:t>
      </w:r>
      <w:r>
        <w:rPr>
          <w:rFonts w:hint="eastAsia"/>
          <w:lang w:val="en-US" w:eastAsia="zh-CN"/>
        </w:rPr>
        <w:t>87.48</w:t>
      </w:r>
      <w:r>
        <w:rPr>
          <w:rFonts w:hint="eastAsia"/>
        </w:rPr>
        <w:t>万元，较上年预算安排增加</w:t>
      </w:r>
      <w:r>
        <w:rPr>
          <w:rFonts w:hint="eastAsia"/>
          <w:lang w:val="en-US" w:eastAsia="zh-CN"/>
        </w:rPr>
        <w:t>13.35</w:t>
      </w:r>
      <w:r>
        <w:rPr>
          <w:rFonts w:hint="eastAsia"/>
        </w:rPr>
        <w:t>万元；卫生健康支出</w:t>
      </w:r>
      <w:r>
        <w:rPr>
          <w:rFonts w:hint="eastAsia"/>
          <w:lang w:val="en-US" w:eastAsia="zh-CN"/>
        </w:rPr>
        <w:t>32.61</w:t>
      </w:r>
      <w:r>
        <w:rPr>
          <w:rFonts w:hint="eastAsia"/>
        </w:rPr>
        <w:t>万元，较上年预算安排增加</w:t>
      </w:r>
      <w:r>
        <w:rPr>
          <w:rFonts w:hint="eastAsia"/>
          <w:lang w:val="en-US" w:eastAsia="zh-CN"/>
        </w:rPr>
        <w:t>0.2</w:t>
      </w:r>
      <w:r>
        <w:rPr>
          <w:rFonts w:hint="eastAsia"/>
        </w:rPr>
        <w:t>万元；农林水支出</w:t>
      </w:r>
      <w:r>
        <w:rPr>
          <w:rFonts w:hint="eastAsia"/>
          <w:lang w:val="en-US" w:eastAsia="zh-CN"/>
        </w:rPr>
        <w:t>1258.03万元，</w:t>
      </w:r>
      <w:r>
        <w:rPr>
          <w:rFonts w:hint="eastAsia"/>
        </w:rPr>
        <w:t>较上年预算安排增加</w:t>
      </w:r>
      <w:r>
        <w:rPr>
          <w:rFonts w:hint="eastAsia"/>
          <w:lang w:val="en-US" w:eastAsia="zh-CN"/>
        </w:rPr>
        <w:t>350.03</w:t>
      </w:r>
      <w:r>
        <w:rPr>
          <w:rFonts w:hint="eastAsia"/>
        </w:rPr>
        <w:t>万元</w:t>
      </w:r>
      <w:r>
        <w:rPr>
          <w:rFonts w:hint="eastAsia"/>
          <w:lang w:eastAsia="zh-CN"/>
        </w:rPr>
        <w:t>；</w:t>
      </w:r>
      <w:r>
        <w:rPr>
          <w:rFonts w:hint="eastAsia"/>
        </w:rPr>
        <w:t>住房保障支出</w:t>
      </w:r>
      <w:r>
        <w:rPr>
          <w:rFonts w:hint="eastAsia"/>
          <w:lang w:val="en-US" w:eastAsia="zh-CN"/>
        </w:rPr>
        <w:t>53.61</w:t>
      </w:r>
      <w:r>
        <w:rPr>
          <w:rFonts w:hint="eastAsia"/>
        </w:rPr>
        <w:t>万元，较上年预算安排增加</w:t>
      </w:r>
      <w:r>
        <w:rPr>
          <w:rFonts w:hint="eastAsia"/>
          <w:lang w:val="en-US" w:eastAsia="zh-CN"/>
        </w:rPr>
        <w:t>3.76</w:t>
      </w:r>
      <w:r>
        <w:rPr>
          <w:rFonts w:hint="eastAsia"/>
        </w:rPr>
        <w:t>万元。</w:t>
      </w:r>
    </w:p>
    <w:p w14:paraId="46C44538">
      <w:pPr>
        <w:pStyle w:val="18"/>
        <w:bidi w:val="0"/>
        <w:rPr>
          <w:rFonts w:hint="eastAsia" w:eastAsia="仿宋_GB2312"/>
          <w:lang w:val="en-US" w:eastAsia="zh-CN"/>
        </w:rPr>
      </w:pPr>
      <w:r>
        <w:rPr>
          <w:rFonts w:hint="eastAsia"/>
          <w:color w:val="auto"/>
        </w:rPr>
        <w:t>按支出经济分类划分：工资福利支出</w:t>
      </w:r>
      <w:r>
        <w:rPr>
          <w:rFonts w:hint="eastAsia"/>
          <w:color w:val="auto"/>
          <w:lang w:val="en-US" w:eastAsia="zh-CN"/>
        </w:rPr>
        <w:t>1269.17</w:t>
      </w:r>
      <w:r>
        <w:rPr>
          <w:rFonts w:hint="eastAsia"/>
          <w:color w:val="auto"/>
        </w:rPr>
        <w:t>万元，较上年预算安排增加</w:t>
      </w:r>
      <w:r>
        <w:rPr>
          <w:rFonts w:hint="eastAsia"/>
          <w:color w:val="auto"/>
          <w:lang w:val="en-US" w:eastAsia="zh-CN"/>
        </w:rPr>
        <w:t>18.82</w:t>
      </w:r>
      <w:r>
        <w:rPr>
          <w:rFonts w:hint="eastAsia"/>
          <w:color w:val="auto"/>
        </w:rPr>
        <w:t>万元；</w:t>
      </w:r>
      <w:r>
        <w:rPr>
          <w:rFonts w:hint="eastAsia"/>
        </w:rPr>
        <w:t>商品和服务支出</w:t>
      </w:r>
      <w:r>
        <w:rPr>
          <w:rFonts w:hint="eastAsia"/>
          <w:lang w:val="en-US" w:eastAsia="zh-CN"/>
        </w:rPr>
        <w:t>53</w:t>
      </w:r>
      <w:r>
        <w:rPr>
          <w:rFonts w:hint="eastAsia"/>
        </w:rPr>
        <w:t>万元，较上年预算安排增加减少</w:t>
      </w:r>
      <w:r>
        <w:rPr>
          <w:rFonts w:hint="eastAsia"/>
          <w:lang w:val="en-US" w:eastAsia="zh-CN"/>
        </w:rPr>
        <w:t>5.3</w:t>
      </w:r>
      <w:r>
        <w:rPr>
          <w:rFonts w:hint="eastAsia"/>
        </w:rPr>
        <w:t>万元；对个人和家庭的补助</w:t>
      </w:r>
      <w:r>
        <w:rPr>
          <w:rFonts w:hint="eastAsia"/>
          <w:lang w:val="en-US" w:eastAsia="zh-CN"/>
        </w:rPr>
        <w:t>40.26</w:t>
      </w:r>
      <w:r>
        <w:rPr>
          <w:rFonts w:hint="eastAsia"/>
        </w:rPr>
        <w:t>万元，较上年预算安排增加</w:t>
      </w:r>
      <w:r>
        <w:rPr>
          <w:rFonts w:hint="eastAsia"/>
          <w:lang w:val="en-US" w:eastAsia="zh-CN"/>
        </w:rPr>
        <w:t>34</w:t>
      </w:r>
      <w:r>
        <w:rPr>
          <w:rFonts w:hint="eastAsia"/>
        </w:rPr>
        <w:t>万元</w:t>
      </w:r>
      <w:r>
        <w:rPr>
          <w:rFonts w:hint="eastAsia"/>
          <w:lang w:eastAsia="zh-CN"/>
        </w:rPr>
        <w:t>；</w:t>
      </w:r>
      <w:r>
        <w:rPr>
          <w:rFonts w:hint="eastAsia"/>
        </w:rPr>
        <w:t>资本性支出</w:t>
      </w:r>
      <w:r>
        <w:rPr>
          <w:rFonts w:hint="eastAsia"/>
          <w:lang w:val="en-US" w:eastAsia="zh-CN"/>
        </w:rPr>
        <w:t>2.9万元，</w:t>
      </w:r>
      <w:r>
        <w:rPr>
          <w:rFonts w:hint="eastAsia"/>
        </w:rPr>
        <w:t>较上年预算安排增加</w:t>
      </w:r>
      <w:r>
        <w:rPr>
          <w:rFonts w:hint="eastAsia"/>
          <w:lang w:val="en-US" w:eastAsia="zh-CN"/>
        </w:rPr>
        <w:t>2.9</w:t>
      </w:r>
      <w:r>
        <w:rPr>
          <w:rFonts w:hint="eastAsia"/>
        </w:rPr>
        <w:t>万元。</w:t>
      </w:r>
    </w:p>
    <w:p w14:paraId="7A9C207C">
      <w:pPr>
        <w:pStyle w:val="19"/>
        <w:numPr>
          <w:ilvl w:val="0"/>
          <w:numId w:val="0"/>
        </w:numPr>
        <w:bidi w:val="0"/>
        <w:ind w:left="420" w:leftChars="200"/>
        <w:rPr>
          <w:rFonts w:hint="eastAsia"/>
          <w:lang w:val="en-US" w:eastAsia="zh-CN"/>
        </w:rPr>
      </w:pPr>
      <w:r>
        <w:rPr>
          <w:rFonts w:hint="eastAsia"/>
          <w:lang w:val="en-US" w:eastAsia="zh-CN"/>
        </w:rPr>
        <w:t xml:space="preserve"> (三)财政拨款支出情况</w:t>
      </w:r>
    </w:p>
    <w:p w14:paraId="1C86E31F">
      <w:pPr>
        <w:pStyle w:val="18"/>
        <w:bidi w:val="0"/>
        <w:rPr>
          <w:rFonts w:hint="eastAsia"/>
        </w:rPr>
      </w:pPr>
      <w:r>
        <w:rPr>
          <w:rFonts w:hint="eastAsia"/>
          <w:lang w:eastAsia="zh-CN"/>
        </w:rPr>
        <w:t>2026</w:t>
      </w:r>
      <w:r>
        <w:rPr>
          <w:rFonts w:hint="eastAsia"/>
        </w:rPr>
        <w:t>年</w:t>
      </w:r>
      <w:r>
        <w:rPr>
          <w:rFonts w:hint="eastAsia" w:ascii="仿宋_GB2312" w:hAnsi="仿宋_GB2312" w:eastAsia="仿宋_GB2312" w:cs="仿宋_GB2312"/>
          <w:color w:val="auto"/>
          <w:kern w:val="2"/>
          <w:sz w:val="32"/>
          <w:szCs w:val="30"/>
          <w:lang w:val="en-US" w:eastAsia="zh-CN" w:bidi="ar-SA"/>
        </w:rPr>
        <w:fldChar w:fldCharType="begin"/>
      </w:r>
      <w:r>
        <w:rPr>
          <w:rFonts w:hint="eastAsia" w:ascii="仿宋_GB2312" w:hAnsi="仿宋_GB2312" w:eastAsia="仿宋_GB2312" w:cs="仿宋_GB2312"/>
          <w:color w:val="auto"/>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color w:val="auto"/>
          <w:kern w:val="2"/>
          <w:sz w:val="32"/>
          <w:szCs w:val="30"/>
          <w:lang w:val="en-US" w:eastAsia="zh-CN" w:bidi="ar-SA"/>
        </w:rPr>
        <w:fldChar w:fldCharType="separate"/>
      </w:r>
      <w:r>
        <w:rPr>
          <w:rFonts w:hint="eastAsia" w:ascii="仿宋_GB2312" w:hAnsi="仿宋_GB2312" w:eastAsia="仿宋_GB2312" w:cs="仿宋_GB2312"/>
          <w:color w:val="auto"/>
          <w:kern w:val="2"/>
          <w:sz w:val="32"/>
          <w:szCs w:val="30"/>
          <w:lang w:val="en-US" w:eastAsia="zh-CN" w:bidi="ar-SA"/>
        </w:rPr>
        <w:t>昌江区</w:t>
      </w:r>
      <w:r>
        <w:rPr>
          <w:rFonts w:hint="eastAsia" w:ascii="仿宋_GB2312" w:hAnsi="仿宋_GB2312" w:eastAsia="仿宋_GB2312" w:cs="仿宋_GB2312"/>
          <w:b w:val="0"/>
          <w:bCs w:val="0"/>
          <w:color w:val="auto"/>
          <w:kern w:val="0"/>
          <w:sz w:val="32"/>
          <w:szCs w:val="32"/>
          <w:lang w:val="en-US" w:eastAsia="zh-CN"/>
        </w:rPr>
        <w:t>鲇鱼山镇人民政府</w:t>
      </w:r>
      <w:r>
        <w:rPr>
          <w:rFonts w:hint="eastAsia" w:ascii="仿宋_GB2312" w:hAnsi="仿宋_GB2312" w:eastAsia="仿宋_GB2312" w:cs="仿宋_GB2312"/>
          <w:color w:val="auto"/>
          <w:kern w:val="2"/>
          <w:sz w:val="32"/>
          <w:szCs w:val="30"/>
          <w:lang w:val="en-US" w:eastAsia="zh-CN" w:bidi="ar-SA"/>
        </w:rPr>
        <w:fldChar w:fldCharType="end"/>
      </w:r>
      <w:r>
        <w:rPr>
          <w:rFonts w:hint="eastAsia"/>
        </w:rPr>
        <w:t>财政拨款支出预算总额</w:t>
      </w:r>
      <w:r>
        <w:rPr>
          <w:rFonts w:hint="eastAsia"/>
          <w:lang w:val="en-US" w:eastAsia="zh-CN"/>
        </w:rPr>
        <w:t>5601.86</w:t>
      </w:r>
      <w:r>
        <w:rPr>
          <w:rFonts w:hint="eastAsia"/>
        </w:rPr>
        <w:t>万元,较上年预算安排增加</w:t>
      </w:r>
      <w:r>
        <w:rPr>
          <w:rFonts w:hint="eastAsia"/>
          <w:lang w:val="en-US" w:eastAsia="zh-CN"/>
        </w:rPr>
        <w:t>1682.94</w:t>
      </w:r>
      <w:r>
        <w:rPr>
          <w:rFonts w:hint="eastAsia"/>
        </w:rPr>
        <w:t>万元。</w:t>
      </w:r>
    </w:p>
    <w:p w14:paraId="7D604BFE">
      <w:pPr>
        <w:pStyle w:val="18"/>
        <w:bidi w:val="0"/>
        <w:rPr>
          <w:rFonts w:hint="eastAsia"/>
        </w:rPr>
      </w:pPr>
      <w:r>
        <w:rPr>
          <w:rFonts w:hint="eastAsia"/>
        </w:rPr>
        <w:t>按支出功能科目划分：一般公共服务支出</w:t>
      </w:r>
      <w:r>
        <w:rPr>
          <w:rFonts w:hint="eastAsia"/>
          <w:lang w:val="en-US" w:eastAsia="zh-CN"/>
        </w:rPr>
        <w:t>1766.62</w:t>
      </w:r>
      <w:r>
        <w:rPr>
          <w:rFonts w:hint="eastAsia"/>
        </w:rPr>
        <w:t>万元，较上年预算安排减少</w:t>
      </w:r>
      <w:r>
        <w:rPr>
          <w:rFonts w:hint="eastAsia"/>
          <w:lang w:val="en-US" w:eastAsia="zh-CN"/>
        </w:rPr>
        <w:t>1087.91</w:t>
      </w:r>
      <w:r>
        <w:rPr>
          <w:rFonts w:hint="eastAsia"/>
        </w:rPr>
        <w:t>万元；文化旅游体育与传媒支出</w:t>
      </w:r>
      <w:r>
        <w:rPr>
          <w:rFonts w:hint="eastAsia"/>
          <w:lang w:val="en-US" w:eastAsia="zh-CN"/>
        </w:rPr>
        <w:t>3.5万元，</w:t>
      </w:r>
      <w:r>
        <w:rPr>
          <w:rFonts w:hint="eastAsia"/>
        </w:rPr>
        <w:t>较上年预算安排增加</w:t>
      </w:r>
      <w:r>
        <w:rPr>
          <w:rFonts w:hint="eastAsia"/>
          <w:lang w:val="en-US" w:eastAsia="zh-CN"/>
        </w:rPr>
        <w:t>3.5</w:t>
      </w:r>
      <w:r>
        <w:rPr>
          <w:rFonts w:hint="eastAsia"/>
        </w:rPr>
        <w:t>万元</w:t>
      </w:r>
      <w:r>
        <w:rPr>
          <w:rFonts w:hint="eastAsia"/>
          <w:lang w:eastAsia="zh-CN"/>
        </w:rPr>
        <w:t>；</w:t>
      </w:r>
      <w:r>
        <w:rPr>
          <w:rFonts w:hint="eastAsia"/>
        </w:rPr>
        <w:t>社会保障和就业支出</w:t>
      </w:r>
      <w:r>
        <w:rPr>
          <w:rFonts w:hint="eastAsia"/>
          <w:lang w:val="en-US" w:eastAsia="zh-CN"/>
        </w:rPr>
        <w:t>87.48</w:t>
      </w:r>
      <w:r>
        <w:rPr>
          <w:rFonts w:hint="eastAsia"/>
        </w:rPr>
        <w:t>万元，较上年预算安排增加</w:t>
      </w:r>
      <w:r>
        <w:rPr>
          <w:rFonts w:hint="eastAsia"/>
          <w:lang w:val="en-US" w:eastAsia="zh-CN"/>
        </w:rPr>
        <w:t>13.35</w:t>
      </w:r>
      <w:r>
        <w:rPr>
          <w:rFonts w:hint="eastAsia"/>
        </w:rPr>
        <w:t>万元；卫生健康支出</w:t>
      </w:r>
      <w:r>
        <w:rPr>
          <w:rFonts w:hint="eastAsia"/>
          <w:lang w:val="en-US" w:eastAsia="zh-CN"/>
        </w:rPr>
        <w:t>32.61</w:t>
      </w:r>
      <w:r>
        <w:rPr>
          <w:rFonts w:hint="eastAsia"/>
        </w:rPr>
        <w:t>万元，较上年预算安排增加</w:t>
      </w:r>
      <w:r>
        <w:rPr>
          <w:rFonts w:hint="eastAsia"/>
          <w:lang w:val="en-US" w:eastAsia="zh-CN"/>
        </w:rPr>
        <w:t>0.2</w:t>
      </w:r>
      <w:r>
        <w:rPr>
          <w:rFonts w:hint="eastAsia"/>
        </w:rPr>
        <w:t>万元；农林水支出</w:t>
      </w:r>
      <w:r>
        <w:rPr>
          <w:rFonts w:hint="eastAsia"/>
          <w:lang w:val="en-US" w:eastAsia="zh-CN"/>
        </w:rPr>
        <w:t>1258.03万元，</w:t>
      </w:r>
      <w:r>
        <w:rPr>
          <w:rFonts w:hint="eastAsia"/>
        </w:rPr>
        <w:t>较上年预算安排增加</w:t>
      </w:r>
      <w:r>
        <w:rPr>
          <w:rFonts w:hint="eastAsia"/>
          <w:lang w:val="en-US" w:eastAsia="zh-CN"/>
        </w:rPr>
        <w:t>350.03</w:t>
      </w:r>
      <w:r>
        <w:rPr>
          <w:rFonts w:hint="eastAsia"/>
        </w:rPr>
        <w:t>万元</w:t>
      </w:r>
      <w:r>
        <w:rPr>
          <w:rFonts w:hint="eastAsia"/>
          <w:lang w:eastAsia="zh-CN"/>
        </w:rPr>
        <w:t>；</w:t>
      </w:r>
      <w:r>
        <w:rPr>
          <w:rFonts w:hint="eastAsia"/>
        </w:rPr>
        <w:t>住房保障支出</w:t>
      </w:r>
      <w:r>
        <w:rPr>
          <w:rFonts w:hint="eastAsia"/>
          <w:lang w:val="en-US" w:eastAsia="zh-CN"/>
        </w:rPr>
        <w:t>53.61</w:t>
      </w:r>
      <w:r>
        <w:rPr>
          <w:rFonts w:hint="eastAsia"/>
        </w:rPr>
        <w:t>万元，较上年预算安排增加</w:t>
      </w:r>
      <w:r>
        <w:rPr>
          <w:rFonts w:hint="eastAsia"/>
          <w:lang w:val="en-US" w:eastAsia="zh-CN"/>
        </w:rPr>
        <w:t>3.76</w:t>
      </w:r>
      <w:r>
        <w:rPr>
          <w:rFonts w:hint="eastAsia"/>
        </w:rPr>
        <w:t>万元。</w:t>
      </w:r>
    </w:p>
    <w:p w14:paraId="2F334034">
      <w:pPr>
        <w:pStyle w:val="18"/>
        <w:bidi w:val="0"/>
        <w:rPr>
          <w:rFonts w:hint="eastAsia"/>
        </w:rPr>
      </w:pPr>
      <w:r>
        <w:rPr>
          <w:rFonts w:hint="eastAsia"/>
        </w:rPr>
        <w:t>按支出项目类别划分：基本支出</w:t>
      </w:r>
      <w:r>
        <w:rPr>
          <w:rFonts w:hint="eastAsia"/>
          <w:lang w:val="en-US" w:eastAsia="zh-CN"/>
        </w:rPr>
        <w:t>1365.33</w:t>
      </w:r>
      <w:r>
        <w:rPr>
          <w:rFonts w:hint="eastAsia"/>
        </w:rPr>
        <w:t>万元,项目支出</w:t>
      </w:r>
      <w:r>
        <w:rPr>
          <w:rFonts w:hint="eastAsia"/>
          <w:lang w:val="en-US" w:eastAsia="zh-CN"/>
        </w:rPr>
        <w:t>1817.03</w:t>
      </w:r>
      <w:r>
        <w:rPr>
          <w:rFonts w:hint="eastAsia"/>
        </w:rPr>
        <w:t>万元。</w:t>
      </w:r>
    </w:p>
    <w:p w14:paraId="36814BA8">
      <w:pPr>
        <w:pStyle w:val="18"/>
        <w:bidi w:val="0"/>
        <w:rPr>
          <w:rFonts w:hint="eastAsia" w:eastAsia="仿宋_GB2312"/>
          <w:lang w:val="en-US" w:eastAsia="zh-CN"/>
        </w:rPr>
      </w:pPr>
      <w:r>
        <w:rPr>
          <w:rFonts w:hint="eastAsia"/>
          <w:color w:val="auto"/>
        </w:rPr>
        <w:t>按支出经济分类划分：工资福利支出</w:t>
      </w:r>
      <w:r>
        <w:rPr>
          <w:rFonts w:hint="eastAsia"/>
          <w:color w:val="auto"/>
          <w:lang w:val="en-US" w:eastAsia="zh-CN"/>
        </w:rPr>
        <w:t>1269.17</w:t>
      </w:r>
      <w:r>
        <w:rPr>
          <w:rFonts w:hint="eastAsia"/>
          <w:color w:val="auto"/>
        </w:rPr>
        <w:t>万元，较上年预算安排增加</w:t>
      </w:r>
      <w:r>
        <w:rPr>
          <w:rFonts w:hint="eastAsia"/>
          <w:color w:val="auto"/>
          <w:lang w:val="en-US" w:eastAsia="zh-CN"/>
        </w:rPr>
        <w:t>18.82</w:t>
      </w:r>
      <w:r>
        <w:rPr>
          <w:rFonts w:hint="eastAsia"/>
          <w:color w:val="auto"/>
        </w:rPr>
        <w:t>万元；</w:t>
      </w:r>
      <w:r>
        <w:rPr>
          <w:rFonts w:hint="eastAsia"/>
        </w:rPr>
        <w:t>商品和服务支出</w:t>
      </w:r>
      <w:r>
        <w:rPr>
          <w:rFonts w:hint="eastAsia"/>
          <w:lang w:val="en-US" w:eastAsia="zh-CN"/>
        </w:rPr>
        <w:t>53</w:t>
      </w:r>
      <w:r>
        <w:rPr>
          <w:rFonts w:hint="eastAsia"/>
        </w:rPr>
        <w:t>万元，较上年预算安排增加减少</w:t>
      </w:r>
      <w:r>
        <w:rPr>
          <w:rFonts w:hint="eastAsia"/>
          <w:lang w:val="en-US" w:eastAsia="zh-CN"/>
        </w:rPr>
        <w:t>5.3</w:t>
      </w:r>
      <w:r>
        <w:rPr>
          <w:rFonts w:hint="eastAsia"/>
        </w:rPr>
        <w:t>万元；对个人和家庭的补助</w:t>
      </w:r>
      <w:r>
        <w:rPr>
          <w:rFonts w:hint="eastAsia"/>
          <w:lang w:val="en-US" w:eastAsia="zh-CN"/>
        </w:rPr>
        <w:t>40.26</w:t>
      </w:r>
      <w:r>
        <w:rPr>
          <w:rFonts w:hint="eastAsia"/>
        </w:rPr>
        <w:t>万元，较上年预算安排增加</w:t>
      </w:r>
      <w:r>
        <w:rPr>
          <w:rFonts w:hint="eastAsia"/>
          <w:lang w:val="en-US" w:eastAsia="zh-CN"/>
        </w:rPr>
        <w:t>34</w:t>
      </w:r>
      <w:r>
        <w:rPr>
          <w:rFonts w:hint="eastAsia"/>
        </w:rPr>
        <w:t>万元</w:t>
      </w:r>
      <w:r>
        <w:rPr>
          <w:rFonts w:hint="eastAsia"/>
          <w:lang w:eastAsia="zh-CN"/>
        </w:rPr>
        <w:t>；</w:t>
      </w:r>
      <w:r>
        <w:rPr>
          <w:rFonts w:hint="eastAsia"/>
        </w:rPr>
        <w:t>资本性支出</w:t>
      </w:r>
      <w:r>
        <w:rPr>
          <w:rFonts w:hint="eastAsia"/>
          <w:lang w:val="en-US" w:eastAsia="zh-CN"/>
        </w:rPr>
        <w:t>2.9万元，</w:t>
      </w:r>
      <w:r>
        <w:rPr>
          <w:rFonts w:hint="eastAsia"/>
        </w:rPr>
        <w:t>较上年预算安排增加</w:t>
      </w:r>
      <w:r>
        <w:rPr>
          <w:rFonts w:hint="eastAsia"/>
          <w:lang w:val="en-US" w:eastAsia="zh-CN"/>
        </w:rPr>
        <w:t>2.9</w:t>
      </w:r>
      <w:r>
        <w:rPr>
          <w:rFonts w:hint="eastAsia"/>
        </w:rPr>
        <w:t>万元。</w:t>
      </w:r>
    </w:p>
    <w:p w14:paraId="1B829C48">
      <w:pPr>
        <w:pStyle w:val="19"/>
        <w:numPr>
          <w:ilvl w:val="0"/>
          <w:numId w:val="0"/>
        </w:numPr>
        <w:bidi w:val="0"/>
        <w:ind w:firstLine="643" w:firstLineChars="200"/>
        <w:rPr>
          <w:rFonts w:hint="eastAsia"/>
          <w:lang w:val="en-US" w:eastAsia="zh-CN"/>
        </w:rPr>
      </w:pPr>
      <w:r>
        <w:rPr>
          <w:rFonts w:hint="eastAsia"/>
        </w:rPr>
        <w:t>(</w:t>
      </w:r>
      <w:r>
        <w:rPr>
          <w:rFonts w:hint="eastAsia"/>
          <w:lang w:val="en-US" w:eastAsia="zh-CN"/>
        </w:rPr>
        <w:t>四)政府性基金情况</w:t>
      </w:r>
    </w:p>
    <w:p w14:paraId="70A1C015">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2026年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无政府性基金</w:t>
      </w:r>
      <w:r>
        <w:rPr>
          <w:rStyle w:val="12"/>
          <w:rFonts w:hint="eastAsia" w:ascii="仿宋_GB2312" w:hAnsi="仿宋_GB2312" w:eastAsia="仿宋_GB2312" w:cs="仿宋_GB2312"/>
          <w:b w:val="0"/>
          <w:bCs/>
          <w:sz w:val="32"/>
          <w:szCs w:val="32"/>
        </w:rPr>
        <w:t>预算拨款安排的支出</w:t>
      </w:r>
      <w:r>
        <w:rPr>
          <w:rFonts w:hint="eastAsia" w:ascii="仿宋_GB2312" w:hAnsi="仿宋_GB2312" w:eastAsia="仿宋_GB2312" w:cs="仿宋_GB2312"/>
          <w:b w:val="0"/>
          <w:bCs/>
          <w:kern w:val="2"/>
          <w:sz w:val="32"/>
          <w:szCs w:val="30"/>
          <w:lang w:val="en-US" w:eastAsia="zh-CN" w:bidi="ar-SA"/>
        </w:rPr>
        <w:fldChar w:fldCharType="begin"/>
      </w:r>
      <w:r>
        <w:rPr>
          <w:rFonts w:hint="eastAsia" w:ascii="仿宋_GB2312" w:hAnsi="仿宋_GB2312" w:eastAsia="仿宋_GB2312" w:cs="仿宋_GB2312"/>
          <w:b w:val="0"/>
          <w:bCs/>
          <w:kern w:val="2"/>
          <w:sz w:val="32"/>
          <w:szCs w:val="30"/>
          <w:lang w:val="en-US" w:eastAsia="zh-CN" w:bidi="ar-SA"/>
        </w:rPr>
        <w:instrText xml:space="preserve">MERGEFIELD ${page400644146.ds215660413_REP_BGT_T_HC1100002019_DXQ02_JBZCQKJJ}</w:instrText>
      </w:r>
      <w:r>
        <w:rPr>
          <w:rFonts w:hint="eastAsia" w:ascii="仿宋_GB2312" w:hAnsi="仿宋_GB2312" w:eastAsia="仿宋_GB2312" w:cs="仿宋_GB2312"/>
          <w:b w:val="0"/>
          <w:bCs/>
          <w:kern w:val="2"/>
          <w:sz w:val="32"/>
          <w:szCs w:val="30"/>
          <w:lang w:val="en-US" w:eastAsia="zh-CN" w:bidi="ar-SA"/>
        </w:rPr>
        <w:fldChar w:fldCharType="end"/>
      </w:r>
      <w:r>
        <w:rPr>
          <w:rFonts w:hint="eastAsia" w:ascii="仿宋_GB2312" w:hAnsi="仿宋_GB2312" w:eastAsia="仿宋_GB2312" w:cs="仿宋_GB2312"/>
          <w:b w:val="0"/>
          <w:bCs/>
          <w:kern w:val="2"/>
          <w:sz w:val="32"/>
          <w:szCs w:val="30"/>
          <w:lang w:val="en-US" w:eastAsia="zh-CN" w:bidi="ar-SA"/>
        </w:rPr>
        <w:fldChar w:fldCharType="begin"/>
      </w:r>
      <w:r>
        <w:rPr>
          <w:rFonts w:hint="eastAsia" w:ascii="仿宋_GB2312" w:hAnsi="仿宋_GB2312" w:eastAsia="仿宋_GB2312" w:cs="仿宋_GB2312"/>
          <w:b w:val="0"/>
          <w:bCs/>
          <w:kern w:val="2"/>
          <w:sz w:val="32"/>
          <w:szCs w:val="30"/>
          <w:lang w:val="en-US" w:eastAsia="zh-CN" w:bidi="ar-SA"/>
        </w:rPr>
        <w:instrText xml:space="preserve">MERGEFIELD ${page400644146.ds215660413_REP_BGT_T_HC1100002019_DXQ02_XMZCQKJJ}</w:instrText>
      </w:r>
      <w:r>
        <w:rPr>
          <w:rFonts w:hint="eastAsia" w:ascii="仿宋_GB2312" w:hAnsi="仿宋_GB2312" w:eastAsia="仿宋_GB2312" w:cs="仿宋_GB2312"/>
          <w:b w:val="0"/>
          <w:bCs/>
          <w:kern w:val="2"/>
          <w:sz w:val="32"/>
          <w:szCs w:val="30"/>
          <w:lang w:val="en-US" w:eastAsia="zh-CN" w:bidi="ar-SA"/>
        </w:rPr>
        <w:fldChar w:fldCharType="end"/>
      </w:r>
    </w:p>
    <w:p w14:paraId="36761FAA">
      <w:pPr>
        <w:pStyle w:val="19"/>
        <w:numPr>
          <w:ilvl w:val="0"/>
          <w:numId w:val="0"/>
        </w:numPr>
        <w:bidi w:val="0"/>
        <w:ind w:firstLine="643" w:firstLineChars="200"/>
        <w:rPr>
          <w:rFonts w:hint="eastAsia"/>
          <w:lang w:val="en-US" w:eastAsia="zh-CN"/>
        </w:rPr>
      </w:pPr>
      <w:r>
        <w:rPr>
          <w:rFonts w:hint="eastAsia"/>
          <w:lang w:val="en-US" w:eastAsia="zh-CN"/>
        </w:rPr>
        <w:t>(五)国有资本经营情况</w:t>
      </w:r>
    </w:p>
    <w:p w14:paraId="128586CA">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Style w:val="12"/>
          <w:rFonts w:hint="eastAsia" w:ascii="仿宋" w:hAnsi="仿宋" w:eastAsia="仿宋_GB2312"/>
          <w:b w:val="0"/>
          <w:bCs/>
          <w:sz w:val="32"/>
          <w:szCs w:val="32"/>
          <w:lang w:eastAsia="zh-CN"/>
        </w:rPr>
      </w:pPr>
      <w:r>
        <w:rPr>
          <w:rFonts w:hint="eastAsia" w:ascii="仿宋_GB2312" w:hAnsi="仿宋_GB2312" w:eastAsia="仿宋_GB2312" w:cs="仿宋_GB2312"/>
          <w:kern w:val="2"/>
          <w:sz w:val="32"/>
          <w:szCs w:val="30"/>
          <w:lang w:val="en-US" w:eastAsia="zh-CN" w:bidi="ar-SA"/>
        </w:rPr>
        <w:t>2026年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Style w:val="12"/>
          <w:rFonts w:hint="eastAsia" w:ascii="仿宋_GB2312" w:hAnsi="仿宋_GB2312" w:eastAsia="仿宋_GB2312" w:cs="仿宋_GB2312"/>
          <w:b w:val="0"/>
          <w:bCs/>
          <w:sz w:val="32"/>
          <w:szCs w:val="32"/>
        </w:rPr>
        <w:t>没有使用国有资本经营预算拨款安排的支出</w:t>
      </w:r>
      <w:r>
        <w:rPr>
          <w:rStyle w:val="12"/>
          <w:rFonts w:hint="eastAsia" w:ascii="仿宋_GB2312" w:hAnsi="仿宋_GB2312" w:eastAsia="仿宋_GB2312" w:cs="仿宋_GB2312"/>
          <w:b w:val="0"/>
          <w:bCs/>
          <w:sz w:val="32"/>
          <w:szCs w:val="32"/>
          <w:lang w:eastAsia="zh-CN"/>
        </w:rPr>
        <w:t>。</w:t>
      </w:r>
    </w:p>
    <w:p w14:paraId="13B74F78">
      <w:pPr>
        <w:pStyle w:val="19"/>
        <w:numPr>
          <w:ilvl w:val="0"/>
          <w:numId w:val="0"/>
        </w:numPr>
        <w:bidi w:val="0"/>
        <w:ind w:firstLine="643" w:firstLineChars="200"/>
        <w:rPr>
          <w:rFonts w:hint="eastAsia"/>
          <w:lang w:val="en-US" w:eastAsia="zh-CN"/>
        </w:rPr>
      </w:pPr>
      <w:r>
        <w:rPr>
          <w:rFonts w:hint="eastAsia"/>
          <w:lang w:val="en-US" w:eastAsia="zh-CN"/>
        </w:rPr>
        <w:t>(六)机关运行经费等重要事项的说明</w:t>
      </w:r>
    </w:p>
    <w:p w14:paraId="5AB70099">
      <w:pPr>
        <w:pStyle w:val="18"/>
        <w:bidi w:val="0"/>
        <w:rPr>
          <w:rFonts w:ascii="Adobe 仿宋 Std R" w:hAnsi="Adobe 仿宋 Std R" w:eastAsia="Adobe 仿宋 Std R"/>
          <w:sz w:val="32"/>
          <w:szCs w:val="32"/>
        </w:rPr>
      </w:pPr>
      <w:r>
        <w:rPr>
          <w:rFonts w:hint="eastAsia"/>
          <w:lang w:eastAsia="zh-CN"/>
        </w:rPr>
        <w:t>2026</w:t>
      </w:r>
      <w:r>
        <w:rPr>
          <w:rFonts w:hint="eastAsia"/>
        </w:rPr>
        <w:t>年部门机关运行费预算</w:t>
      </w:r>
      <w:r>
        <w:rPr>
          <w:rFonts w:hint="eastAsia"/>
          <w:lang w:val="en-US" w:eastAsia="zh-CN"/>
        </w:rPr>
        <w:t>3182.36</w:t>
      </w:r>
      <w:r>
        <w:rPr>
          <w:rFonts w:hint="eastAsia"/>
        </w:rPr>
        <w:t>万元，比2025年预算减少</w:t>
      </w:r>
      <w:r>
        <w:rPr>
          <w:rFonts w:hint="eastAsia"/>
          <w:lang w:val="en-US" w:eastAsia="zh-CN"/>
        </w:rPr>
        <w:t>725.15</w:t>
      </w:r>
      <w:r>
        <w:rPr>
          <w:rFonts w:hint="eastAsia"/>
        </w:rPr>
        <w:t>万元，下降</w:t>
      </w:r>
      <w:r>
        <w:rPr>
          <w:rFonts w:hint="eastAsia"/>
          <w:lang w:val="en-US" w:eastAsia="zh-CN"/>
        </w:rPr>
        <w:t>18.5</w:t>
      </w:r>
      <w:r>
        <w:rPr>
          <w:rFonts w:hint="eastAsia"/>
        </w:rPr>
        <w:t>%。</w:t>
      </w:r>
    </w:p>
    <w:p w14:paraId="65F8B7DA">
      <w:pPr>
        <w:pStyle w:val="19"/>
        <w:numPr>
          <w:ilvl w:val="0"/>
          <w:numId w:val="0"/>
        </w:numPr>
        <w:bidi w:val="0"/>
        <w:ind w:firstLine="643" w:firstLineChars="200"/>
        <w:rPr>
          <w:rFonts w:hint="eastAsia"/>
          <w:lang w:val="en-US" w:eastAsia="zh-CN"/>
        </w:rPr>
      </w:pPr>
      <w:r>
        <w:rPr>
          <w:rFonts w:hint="eastAsia"/>
          <w:lang w:val="en-US" w:eastAsia="zh-CN"/>
        </w:rPr>
        <w:t>(七)政府采购情况</w:t>
      </w:r>
    </w:p>
    <w:p w14:paraId="54B9DFA4">
      <w:pPr>
        <w:pStyle w:val="18"/>
        <w:bidi w:val="0"/>
        <w:rPr>
          <w:rFonts w:hint="eastAsia"/>
          <w:lang w:eastAsia="zh-CN"/>
        </w:rPr>
      </w:pPr>
      <w:r>
        <w:rPr>
          <w:rFonts w:hint="eastAsia"/>
          <w:lang w:eastAsia="zh-CN"/>
        </w:rPr>
        <w:t>2026年部门所属各单位政府采购总额</w:t>
      </w:r>
      <w:r>
        <w:rPr>
          <w:rFonts w:hint="eastAsia"/>
          <w:lang w:val="en-US" w:eastAsia="zh-CN"/>
        </w:rPr>
        <w:t>3.2</w:t>
      </w:r>
      <w:r>
        <w:rPr>
          <w:rFonts w:hint="eastAsia"/>
          <w:lang w:eastAsia="zh-CN"/>
        </w:rPr>
        <w:t>万元,其中: 政府采购货物预算</w:t>
      </w:r>
      <w:r>
        <w:rPr>
          <w:rFonts w:hint="eastAsia"/>
          <w:lang w:val="en-US" w:eastAsia="zh-CN"/>
        </w:rPr>
        <w:t>2.7</w:t>
      </w:r>
      <w:r>
        <w:rPr>
          <w:rFonts w:hint="eastAsia"/>
          <w:lang w:eastAsia="zh-CN"/>
        </w:rPr>
        <w:t>万元, 政府采购工程预算</w:t>
      </w:r>
      <w:r>
        <w:rPr>
          <w:rFonts w:hint="eastAsia"/>
          <w:lang w:val="en-US" w:eastAsia="zh-CN"/>
        </w:rPr>
        <w:t>0</w:t>
      </w:r>
      <w:r>
        <w:rPr>
          <w:rFonts w:hint="eastAsia"/>
          <w:lang w:eastAsia="zh-CN"/>
        </w:rPr>
        <w:t>万元, 政府采购服务预算</w:t>
      </w:r>
      <w:r>
        <w:rPr>
          <w:rFonts w:hint="eastAsia"/>
          <w:lang w:val="en-US" w:eastAsia="zh-CN"/>
        </w:rPr>
        <w:t>0.5</w:t>
      </w:r>
      <w:r>
        <w:rPr>
          <w:rFonts w:hint="eastAsia"/>
          <w:lang w:eastAsia="zh-CN"/>
        </w:rPr>
        <w:t>万元。</w:t>
      </w:r>
    </w:p>
    <w:p w14:paraId="45804A33">
      <w:pPr>
        <w:pStyle w:val="19"/>
        <w:numPr>
          <w:ilvl w:val="0"/>
          <w:numId w:val="0"/>
        </w:numPr>
        <w:bidi w:val="0"/>
        <w:ind w:firstLine="643" w:firstLineChars="200"/>
        <w:rPr>
          <w:rFonts w:hint="eastAsia"/>
          <w:lang w:val="en-US" w:eastAsia="zh-CN"/>
        </w:rPr>
      </w:pPr>
      <w:r>
        <w:rPr>
          <w:rFonts w:hint="eastAsia"/>
          <w:lang w:val="en-US" w:eastAsia="zh-CN"/>
        </w:rPr>
        <w:t>(八)国有资产占有使用情况</w:t>
      </w:r>
    </w:p>
    <w:p w14:paraId="3BDB97EF">
      <w:pPr>
        <w:pStyle w:val="18"/>
        <w:bidi w:val="0"/>
        <w:rPr>
          <w:rFonts w:hint="eastAsia"/>
          <w:lang w:eastAsia="zh-CN"/>
        </w:rPr>
      </w:pPr>
      <w:r>
        <w:rPr>
          <w:rFonts w:hint="eastAsia"/>
          <w:lang w:eastAsia="zh-CN"/>
        </w:rPr>
        <w:t xml:space="preserve">截至2025年7月31日, 部门共有车辆 </w:t>
      </w:r>
      <w:r>
        <w:rPr>
          <w:rFonts w:hint="eastAsia"/>
          <w:lang w:val="en-US" w:eastAsia="zh-CN"/>
        </w:rPr>
        <w:t>5</w:t>
      </w:r>
      <w:r>
        <w:rPr>
          <w:rFonts w:hint="eastAsia"/>
          <w:lang w:eastAsia="zh-CN"/>
        </w:rPr>
        <w:t xml:space="preserve"> 辆,其中：一般公务用车实有数 </w:t>
      </w:r>
      <w:r>
        <w:rPr>
          <w:rFonts w:hint="eastAsia"/>
          <w:lang w:val="en-US" w:eastAsia="zh-CN"/>
        </w:rPr>
        <w:t>2</w:t>
      </w:r>
      <w:r>
        <w:rPr>
          <w:rFonts w:hint="eastAsia"/>
          <w:lang w:eastAsia="zh-CN"/>
        </w:rPr>
        <w:t xml:space="preserve"> 辆。</w:t>
      </w:r>
    </w:p>
    <w:p w14:paraId="3AECEE26">
      <w:pPr>
        <w:pStyle w:val="18"/>
        <w:bidi w:val="0"/>
        <w:rPr>
          <w:rFonts w:hint="eastAsia"/>
          <w:lang w:eastAsia="zh-CN"/>
        </w:rPr>
      </w:pPr>
      <w:r>
        <w:rPr>
          <w:rFonts w:hint="eastAsia"/>
          <w:lang w:eastAsia="zh-CN"/>
        </w:rPr>
        <w:t>2026年部门预算安排购置车辆</w:t>
      </w:r>
      <w:r>
        <w:rPr>
          <w:rFonts w:hint="eastAsia"/>
          <w:lang w:val="en-US" w:eastAsia="zh-CN"/>
        </w:rPr>
        <w:t>0</w:t>
      </w:r>
      <w:r>
        <w:rPr>
          <w:rFonts w:hint="eastAsia"/>
          <w:lang w:eastAsia="zh-CN"/>
        </w:rPr>
        <w:t>辆，安排购置单位价值200万元以上大型设备具体为：</w:t>
      </w:r>
      <w:r>
        <w:rPr>
          <w:rFonts w:hint="eastAsia"/>
        </w:rPr>
        <w:t>__________________</w:t>
      </w:r>
      <w:r>
        <w:rPr>
          <w:rFonts w:hint="eastAsia"/>
          <w:lang w:eastAsia="zh-CN"/>
        </w:rPr>
        <w:t>。</w:t>
      </w:r>
    </w:p>
    <w:p w14:paraId="5C57B63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lang w:val="en-US" w:eastAsia="zh-CN"/>
        </w:rPr>
      </w:pPr>
      <w:r>
        <w:rPr>
          <w:rStyle w:val="12"/>
          <w:rFonts w:hint="eastAsia" w:ascii="楷体_GB2312" w:hAnsi="楷体_GB2312" w:eastAsia="楷体_GB2312" w:cs="楷体_GB2312"/>
          <w:b/>
          <w:bCs w:val="0"/>
          <w:color w:val="auto"/>
          <w:sz w:val="32"/>
          <w:szCs w:val="32"/>
        </w:rPr>
        <w:t>（九）</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MERGEFIELD ${page400644146.ds509943833_REP_JXJC_AGENCY_WZR_NAME}</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lang w:eastAsia="zh-CN"/>
        </w:rPr>
        <w:t>昌江区</w:t>
      </w:r>
      <w:r>
        <w:rPr>
          <w:rFonts w:hint="eastAsia" w:ascii="仿宋_GB2312" w:hAnsi="仿宋_GB2312" w:eastAsia="仿宋_GB2312" w:cs="仿宋_GB2312"/>
          <w:b/>
          <w:bCs/>
          <w:color w:val="auto"/>
          <w:kern w:val="0"/>
          <w:sz w:val="32"/>
          <w:szCs w:val="32"/>
          <w:lang w:val="en-US" w:eastAsia="zh-CN"/>
        </w:rPr>
        <w:t>鲇鱼山镇人民政府</w:t>
      </w:r>
      <w:r>
        <w:rPr>
          <w:rFonts w:hint="eastAsia" w:ascii="仿宋_GB2312" w:hAnsi="仿宋_GB2312" w:eastAsia="仿宋_GB2312" w:cs="仿宋_GB2312"/>
          <w:color w:val="auto"/>
          <w:sz w:val="32"/>
          <w:szCs w:val="32"/>
        </w:rPr>
        <w:fldChar w:fldCharType="end"/>
      </w:r>
      <w:r>
        <w:rPr>
          <w:rStyle w:val="12"/>
          <w:rFonts w:hint="eastAsia" w:ascii="楷体_GB2312" w:hAnsi="楷体_GB2312" w:eastAsia="楷体_GB2312" w:cs="楷体_GB2312"/>
          <w:b/>
          <w:bCs w:val="0"/>
          <w:color w:val="auto"/>
          <w:sz w:val="32"/>
          <w:szCs w:val="32"/>
        </w:rPr>
        <w:t>项目情况说明</w:t>
      </w:r>
    </w:p>
    <w:p w14:paraId="1D5D07B1">
      <w:pPr>
        <w:pStyle w:val="18"/>
        <w:bidi w:val="0"/>
        <w:rPr>
          <w:rFonts w:hint="eastAsia"/>
          <w:lang w:eastAsia="zh-CN"/>
        </w:rPr>
      </w:pPr>
      <w:r>
        <w:rPr>
          <w:rFonts w:hint="eastAsia" w:ascii="Adobe 仿宋 Std R" w:hAnsi="Adobe 仿宋 Std R" w:eastAsia="Adobe 仿宋 Std R"/>
          <w:sz w:val="32"/>
          <w:szCs w:val="32"/>
        </w:rPr>
        <w:t xml:space="preserve">  </w:t>
      </w:r>
      <w:r>
        <w:rPr>
          <w:rFonts w:hint="eastAsia"/>
          <w:lang w:eastAsia="zh-CN"/>
        </w:rPr>
        <w:t xml:space="preserve"> 1）项目概述</w:t>
      </w:r>
    </w:p>
    <w:p w14:paraId="7609B5BC">
      <w:pPr>
        <w:pStyle w:val="18"/>
        <w:numPr>
          <w:ilvl w:val="0"/>
          <w:numId w:val="0"/>
        </w:numPr>
        <w:bidi w:val="0"/>
        <w:ind w:left="1120" w:leftChars="0" w:firstLine="320" w:firstLineChars="100"/>
        <w:rPr>
          <w:rFonts w:hint="eastAsia"/>
          <w:lang w:val="en-US" w:eastAsia="zh-CN"/>
        </w:rPr>
      </w:pPr>
      <w:r>
        <w:rPr>
          <w:rFonts w:hint="eastAsia" w:ascii="仿宋_GB2312" w:hAnsi="仿宋_GB2312" w:eastAsia="仿宋_GB2312" w:cs="仿宋_GB2312"/>
          <w:kern w:val="2"/>
          <w:sz w:val="32"/>
          <w:szCs w:val="30"/>
          <w:lang w:val="en-US" w:eastAsia="zh-CN" w:bidi="ar-SA"/>
        </w:rPr>
        <w:t>及时购买应急、武装物资，做好应急处置工作，保障我镇人民群众生命财产安全，有效做好自然灾害救助工作</w:t>
      </w:r>
    </w:p>
    <w:p w14:paraId="5834C5EA">
      <w:pPr>
        <w:pStyle w:val="18"/>
        <w:numPr>
          <w:ilvl w:val="0"/>
          <w:numId w:val="3"/>
        </w:numPr>
        <w:bidi w:val="0"/>
        <w:ind w:left="1120" w:leftChars="0" w:firstLine="0" w:firstLineChars="0"/>
        <w:rPr>
          <w:rFonts w:hint="eastAsia"/>
          <w:lang w:val="en-US" w:eastAsia="zh-CN"/>
        </w:rPr>
      </w:pPr>
      <w:r>
        <w:rPr>
          <w:rFonts w:hint="eastAsia"/>
          <w:lang w:eastAsia="zh-CN"/>
        </w:rPr>
        <w:t>立项依据</w:t>
      </w:r>
      <w:r>
        <w:rPr>
          <w:rFonts w:hint="eastAsia"/>
          <w:lang w:val="en-US" w:eastAsia="zh-CN"/>
        </w:rPr>
        <w:t xml:space="preserve"> </w:t>
      </w:r>
    </w:p>
    <w:p w14:paraId="026E73D8">
      <w:pPr>
        <w:pStyle w:val="18"/>
        <w:numPr>
          <w:ilvl w:val="0"/>
          <w:numId w:val="0"/>
        </w:numPr>
        <w:bidi w:val="0"/>
        <w:ind w:left="1120" w:leftChars="0" w:firstLine="310" w:firstLineChars="100"/>
        <w:rPr>
          <w:rFonts w:hint="eastAsia"/>
          <w:lang w:eastAsia="zh-CN"/>
        </w:rPr>
      </w:pPr>
      <w:r>
        <w:rPr>
          <w:rFonts w:hint="eastAsia" w:ascii="仿宋_GB2312" w:hAnsi="宋体" w:eastAsia="仿宋_GB2312" w:cs="仿宋_GB2312"/>
          <w:color w:val="000000"/>
          <w:kern w:val="0"/>
          <w:sz w:val="31"/>
          <w:szCs w:val="31"/>
          <w:lang w:val="en-US" w:eastAsia="zh-CN" w:bidi="ar"/>
        </w:rPr>
        <w:t>昌党发【2018】13号</w:t>
      </w:r>
    </w:p>
    <w:p w14:paraId="3BB98BC7">
      <w:pPr>
        <w:pStyle w:val="18"/>
        <w:numPr>
          <w:ilvl w:val="0"/>
          <w:numId w:val="3"/>
        </w:numPr>
        <w:bidi w:val="0"/>
        <w:ind w:left="1120" w:leftChars="0" w:firstLine="0" w:firstLineChars="0"/>
        <w:rPr>
          <w:rFonts w:hint="eastAsia"/>
          <w:lang w:eastAsia="zh-CN"/>
        </w:rPr>
      </w:pPr>
      <w:r>
        <w:rPr>
          <w:rFonts w:hint="eastAsia"/>
          <w:lang w:eastAsia="zh-CN"/>
        </w:rPr>
        <w:t>实施主体</w:t>
      </w:r>
    </w:p>
    <w:p w14:paraId="0FB695EF">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1280" w:firstLineChars="4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鲇鱼山镇人民政府</w:t>
      </w:r>
    </w:p>
    <w:p w14:paraId="74FBF8A4">
      <w:pPr>
        <w:pStyle w:val="18"/>
        <w:bidi w:val="0"/>
        <w:rPr>
          <w:rFonts w:hint="eastAsia" w:ascii="仿宋_GB2312" w:hAnsi="仿宋_GB2312" w:eastAsia="仿宋_GB2312" w:cs="仿宋_GB2312"/>
          <w:kern w:val="2"/>
          <w:sz w:val="32"/>
          <w:szCs w:val="30"/>
          <w:lang w:val="en-US" w:eastAsia="zh-CN" w:bidi="ar-SA"/>
        </w:rPr>
      </w:pPr>
      <w:r>
        <w:rPr>
          <w:rFonts w:hint="eastAsia"/>
          <w:lang w:eastAsia="zh-CN"/>
        </w:rPr>
        <w:t xml:space="preserve">   </w:t>
      </w:r>
      <w:r>
        <w:rPr>
          <w:rFonts w:hint="eastAsia"/>
          <w:lang w:val="en-US" w:eastAsia="zh-CN"/>
        </w:rPr>
        <w:t>4</w:t>
      </w:r>
      <w:r>
        <w:rPr>
          <w:rFonts w:hint="eastAsia"/>
          <w:lang w:eastAsia="zh-CN"/>
        </w:rPr>
        <w:t>）实施周期</w:t>
      </w:r>
    </w:p>
    <w:p w14:paraId="45B9D221">
      <w:pPr>
        <w:pStyle w:val="18"/>
        <w:numPr>
          <w:ilvl w:val="0"/>
          <w:numId w:val="0"/>
        </w:numPr>
        <w:bidi w:val="0"/>
        <w:ind w:firstLine="1600" w:firstLineChars="500"/>
        <w:rPr>
          <w:rFonts w:hint="eastAsia"/>
          <w:lang w:eastAsia="zh-CN"/>
        </w:rPr>
      </w:pPr>
      <w:r>
        <w:rPr>
          <w:rFonts w:hint="eastAsia" w:ascii="仿宋_GB2312" w:hAnsi="仿宋_GB2312" w:eastAsia="仿宋_GB2312" w:cs="仿宋_GB2312"/>
          <w:kern w:val="2"/>
          <w:sz w:val="32"/>
          <w:szCs w:val="30"/>
          <w:lang w:val="en-US" w:eastAsia="zh-CN" w:bidi="ar-SA"/>
        </w:rPr>
        <w:t>202</w:t>
      </w:r>
      <w:r>
        <w:rPr>
          <w:rFonts w:hint="eastAsia" w:cs="仿宋_GB2312"/>
          <w:kern w:val="2"/>
          <w:sz w:val="32"/>
          <w:szCs w:val="30"/>
          <w:lang w:val="en-US" w:eastAsia="zh-CN" w:bidi="ar-SA"/>
        </w:rPr>
        <w:t>6</w:t>
      </w:r>
      <w:r>
        <w:rPr>
          <w:rFonts w:hint="eastAsia" w:ascii="仿宋_GB2312" w:hAnsi="仿宋_GB2312" w:eastAsia="仿宋_GB2312" w:cs="仿宋_GB2312"/>
          <w:kern w:val="2"/>
          <w:sz w:val="32"/>
          <w:szCs w:val="30"/>
          <w:lang w:val="en-US" w:eastAsia="zh-CN" w:bidi="ar-SA"/>
        </w:rPr>
        <w:t>年1月1日至202</w:t>
      </w:r>
      <w:r>
        <w:rPr>
          <w:rFonts w:hint="eastAsia" w:cs="仿宋_GB2312"/>
          <w:kern w:val="2"/>
          <w:sz w:val="32"/>
          <w:szCs w:val="30"/>
          <w:lang w:val="en-US" w:eastAsia="zh-CN" w:bidi="ar-SA"/>
        </w:rPr>
        <w:t>6</w:t>
      </w:r>
      <w:r>
        <w:rPr>
          <w:rFonts w:hint="eastAsia" w:ascii="仿宋_GB2312" w:hAnsi="仿宋_GB2312" w:eastAsia="仿宋_GB2312" w:cs="仿宋_GB2312"/>
          <w:kern w:val="2"/>
          <w:sz w:val="32"/>
          <w:szCs w:val="30"/>
          <w:lang w:val="en-US" w:eastAsia="zh-CN" w:bidi="ar-SA"/>
        </w:rPr>
        <w:t>年12月31日</w:t>
      </w:r>
    </w:p>
    <w:p w14:paraId="7F8EA292">
      <w:pPr>
        <w:pStyle w:val="18"/>
        <w:numPr>
          <w:ilvl w:val="0"/>
          <w:numId w:val="0"/>
        </w:numPr>
        <w:bidi w:val="0"/>
        <w:ind w:left="1120" w:leftChars="0"/>
        <w:rPr>
          <w:rFonts w:hint="eastAsia"/>
          <w:lang w:eastAsia="zh-CN"/>
        </w:rPr>
      </w:pPr>
      <w:r>
        <w:rPr>
          <w:rFonts w:hint="eastAsia"/>
          <w:lang w:val="en-US" w:eastAsia="zh-CN"/>
        </w:rPr>
        <w:t>5）</w:t>
      </w:r>
      <w:r>
        <w:rPr>
          <w:rFonts w:hint="eastAsia"/>
          <w:lang w:eastAsia="zh-CN"/>
        </w:rPr>
        <w:t>年度预算安排</w:t>
      </w:r>
    </w:p>
    <w:p w14:paraId="6A466641">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1600" w:firstLineChars="500"/>
        <w:jc w:val="both"/>
        <w:textAlignment w:val="auto"/>
        <w:rPr>
          <w:rFonts w:ascii="Adobe 仿宋 Std R" w:hAnsi="Adobe 仿宋 Std R" w:eastAsia="Adobe 仿宋 Std R"/>
          <w:sz w:val="32"/>
          <w:szCs w:val="32"/>
        </w:rPr>
      </w:pPr>
      <w:r>
        <w:rPr>
          <w:rFonts w:hint="eastAsia" w:ascii="仿宋_GB2312" w:hAnsi="仿宋_GB2312" w:eastAsia="仿宋_GB2312" w:cs="仿宋_GB2312"/>
          <w:kern w:val="2"/>
          <w:sz w:val="32"/>
          <w:szCs w:val="30"/>
          <w:lang w:val="en-US" w:eastAsia="zh-CN" w:bidi="ar-SA"/>
        </w:rPr>
        <w:t>25万元</w:t>
      </w:r>
    </w:p>
    <w:p w14:paraId="4568F41F">
      <w:pPr>
        <w:pStyle w:val="18"/>
        <w:bidi w:val="0"/>
        <w:ind w:left="0" w:leftChars="0" w:firstLine="0" w:firstLineChars="0"/>
        <w:rPr>
          <w:rFonts w:hint="eastAsia"/>
          <w:lang w:eastAsia="zh-CN"/>
        </w:rPr>
      </w:pPr>
    </w:p>
    <w:p w14:paraId="0E436C0F">
      <w:pPr>
        <w:pStyle w:val="17"/>
        <w:numPr>
          <w:ilvl w:val="0"/>
          <w:numId w:val="0"/>
        </w:numPr>
        <w:bidi w:val="0"/>
        <w:ind w:left="420" w:leftChars="200" w:firstLine="321" w:firstLineChars="100"/>
        <w:rPr>
          <w:rFonts w:hint="eastAsia" w:ascii="楷体_GB2312" w:eastAsia="楷体_GB2312"/>
          <w:b/>
          <w:sz w:val="32"/>
          <w:szCs w:val="30"/>
        </w:rPr>
      </w:pPr>
      <w:r>
        <w:rPr>
          <w:rFonts w:hint="eastAsia" w:ascii="楷体_GB2312" w:eastAsia="楷体_GB2312"/>
          <w:b/>
          <w:sz w:val="32"/>
          <w:szCs w:val="30"/>
        </w:rPr>
        <w:t>二、</w:t>
      </w:r>
      <w:r>
        <w:rPr>
          <w:rFonts w:hint="eastAsia" w:ascii="楷体_GB2312" w:eastAsia="楷体_GB2312"/>
          <w:b/>
          <w:sz w:val="32"/>
          <w:szCs w:val="30"/>
          <w:lang w:eastAsia="zh-CN"/>
        </w:rPr>
        <w:t>2026</w:t>
      </w:r>
      <w:r>
        <w:rPr>
          <w:rFonts w:hint="eastAsia" w:ascii="楷体_GB2312" w:eastAsia="楷体_GB2312"/>
          <w:b/>
          <w:sz w:val="32"/>
          <w:szCs w:val="30"/>
        </w:rPr>
        <w:t>年财政拨款“三公”经费预算情况说明</w:t>
      </w:r>
    </w:p>
    <w:p w14:paraId="6A8CB83B">
      <w:pPr>
        <w:pStyle w:val="18"/>
        <w:bidi w:val="0"/>
        <w:rPr>
          <w:rFonts w:hint="eastAsia"/>
          <w:lang w:eastAsia="zh-CN"/>
        </w:rPr>
      </w:pPr>
      <w:r>
        <w:rPr>
          <w:rFonts w:hint="eastAsia"/>
          <w:lang w:eastAsia="zh-CN"/>
        </w:rPr>
        <w:t>2026年</w:t>
      </w:r>
      <w:r>
        <w:rPr>
          <w:rFonts w:hint="eastAsia" w:ascii="仿宋_GB2312" w:hAnsi="仿宋_GB2312" w:eastAsia="仿宋_GB2312" w:cs="仿宋_GB2312"/>
          <w:kern w:val="2"/>
          <w:sz w:val="32"/>
          <w:szCs w:val="30"/>
          <w:lang w:val="en-US" w:eastAsia="zh-CN" w:bidi="ar-SA"/>
        </w:rPr>
        <w:t>昌江区鲇鱼山镇人民政府</w:t>
      </w:r>
      <w:r>
        <w:rPr>
          <w:rFonts w:hint="eastAsia"/>
          <w:lang w:eastAsia="zh-CN"/>
        </w:rPr>
        <w:t>财政拨款"三公"经费安排</w:t>
      </w:r>
      <w:r>
        <w:rPr>
          <w:rFonts w:hint="eastAsia"/>
          <w:lang w:val="en-US" w:eastAsia="zh-CN"/>
        </w:rPr>
        <w:t>12.5</w:t>
      </w:r>
      <w:r>
        <w:rPr>
          <w:rFonts w:hint="eastAsia"/>
          <w:lang w:eastAsia="zh-CN"/>
        </w:rPr>
        <w:t>万元，其中：</w:t>
      </w:r>
    </w:p>
    <w:p w14:paraId="6B38A569">
      <w:pPr>
        <w:pStyle w:val="18"/>
        <w:bidi w:val="0"/>
        <w:rPr>
          <w:rFonts w:hint="eastAsia"/>
          <w:lang w:eastAsia="zh-CN"/>
        </w:rPr>
      </w:pPr>
      <w:r>
        <w:rPr>
          <w:rFonts w:hint="eastAsia"/>
          <w:lang w:eastAsia="zh-CN"/>
        </w:rPr>
        <w:t>因公出国0.00万元,比上年增（减）</w:t>
      </w:r>
      <w:r>
        <w:rPr>
          <w:rFonts w:hint="eastAsia"/>
          <w:lang w:val="en-US" w:eastAsia="zh-CN"/>
        </w:rPr>
        <w:t>0</w:t>
      </w:r>
      <w:r>
        <w:rPr>
          <w:rFonts w:hint="eastAsia"/>
          <w:lang w:eastAsia="zh-CN"/>
        </w:rPr>
        <w:t>万元，主要原因是：</w:t>
      </w:r>
      <w:r>
        <w:rPr>
          <w:rStyle w:val="12"/>
          <w:rFonts w:hint="eastAsia" w:ascii="仿宋_GB2312" w:hAnsi="仿宋_GB2312" w:eastAsia="仿宋_GB2312" w:cs="仿宋_GB2312"/>
          <w:b w:val="0"/>
          <w:bCs/>
          <w:sz w:val="32"/>
          <w:szCs w:val="32"/>
        </w:rPr>
        <w:t>与上年安排保持一致</w:t>
      </w:r>
      <w:r>
        <w:rPr>
          <w:rFonts w:hint="eastAsia"/>
          <w:lang w:eastAsia="zh-CN"/>
        </w:rPr>
        <w:t>。</w:t>
      </w:r>
    </w:p>
    <w:p w14:paraId="64548634">
      <w:pPr>
        <w:pStyle w:val="18"/>
        <w:bidi w:val="0"/>
        <w:rPr>
          <w:rFonts w:hint="eastAsia"/>
          <w:lang w:eastAsia="zh-CN"/>
        </w:rPr>
      </w:pPr>
      <w:r>
        <w:rPr>
          <w:rFonts w:hint="eastAsia"/>
          <w:lang w:eastAsia="zh-CN"/>
        </w:rPr>
        <w:t>公务接待</w:t>
      </w:r>
      <w:r>
        <w:rPr>
          <w:rFonts w:hint="eastAsia"/>
          <w:lang w:val="en-US" w:eastAsia="zh-CN"/>
        </w:rPr>
        <w:t>3</w:t>
      </w:r>
      <w:r>
        <w:rPr>
          <w:rFonts w:hint="eastAsia"/>
          <w:lang w:eastAsia="zh-CN"/>
        </w:rPr>
        <w:t>万元,比上年减少</w:t>
      </w:r>
      <w:r>
        <w:rPr>
          <w:rFonts w:hint="eastAsia"/>
          <w:lang w:val="en-US" w:eastAsia="zh-CN"/>
        </w:rPr>
        <w:t>2</w:t>
      </w:r>
      <w:r>
        <w:rPr>
          <w:rFonts w:hint="eastAsia"/>
          <w:lang w:eastAsia="zh-CN"/>
        </w:rPr>
        <w:t>万元，主要原因是：厉行节约。</w:t>
      </w:r>
    </w:p>
    <w:p w14:paraId="79AB2784">
      <w:pPr>
        <w:pStyle w:val="18"/>
        <w:bidi w:val="0"/>
        <w:rPr>
          <w:rFonts w:hint="eastAsia"/>
          <w:lang w:eastAsia="zh-CN"/>
        </w:rPr>
      </w:pPr>
      <w:r>
        <w:rPr>
          <w:rFonts w:hint="eastAsia"/>
          <w:lang w:eastAsia="zh-CN"/>
        </w:rPr>
        <w:t>公务用车运行</w:t>
      </w:r>
      <w:r>
        <w:rPr>
          <w:rFonts w:hint="eastAsia"/>
          <w:lang w:val="en-US" w:eastAsia="zh-CN"/>
        </w:rPr>
        <w:t>9.5</w:t>
      </w:r>
      <w:r>
        <w:rPr>
          <w:rFonts w:hint="eastAsia"/>
          <w:lang w:eastAsia="zh-CN"/>
        </w:rPr>
        <w:t>万元,比上年减少</w:t>
      </w:r>
      <w:r>
        <w:rPr>
          <w:rFonts w:hint="eastAsia"/>
          <w:lang w:val="en-US" w:eastAsia="zh-CN"/>
        </w:rPr>
        <w:t>0.8</w:t>
      </w:r>
      <w:r>
        <w:rPr>
          <w:rFonts w:hint="eastAsia"/>
          <w:lang w:eastAsia="zh-CN"/>
        </w:rPr>
        <w:t>万元，主要原因是：厉行节约。</w:t>
      </w:r>
    </w:p>
    <w:p w14:paraId="184D5959">
      <w:pPr>
        <w:pStyle w:val="18"/>
        <w:bidi w:val="0"/>
        <w:rPr>
          <w:rFonts w:hint="eastAsia"/>
          <w:lang w:eastAsia="zh-CN"/>
        </w:rPr>
      </w:pPr>
      <w:r>
        <w:rPr>
          <w:rFonts w:hint="eastAsia"/>
          <w:lang w:eastAsia="zh-CN"/>
        </w:rPr>
        <w:t>公务用车购置0.00万元,比上年增（减）</w:t>
      </w:r>
      <w:r>
        <w:rPr>
          <w:rFonts w:hint="eastAsia"/>
          <w:lang w:val="en-US" w:eastAsia="zh-CN"/>
        </w:rPr>
        <w:t>0</w:t>
      </w:r>
      <w:r>
        <w:rPr>
          <w:rFonts w:hint="eastAsia"/>
          <w:lang w:eastAsia="zh-CN"/>
        </w:rPr>
        <w:t>万元，主要原因是：与上年安排保持一致。</w:t>
      </w:r>
    </w:p>
    <w:p w14:paraId="7441C74F">
      <w:pPr>
        <w:rPr>
          <w:rStyle w:val="12"/>
          <w:rFonts w:hint="eastAsia" w:ascii="仿宋" w:hAnsi="仿宋" w:eastAsia="仿宋"/>
          <w:sz w:val="32"/>
          <w:szCs w:val="32"/>
        </w:rPr>
      </w:pPr>
      <w:r>
        <w:rPr>
          <w:rStyle w:val="12"/>
          <w:rFonts w:hint="eastAsia" w:ascii="仿宋" w:hAnsi="仿宋" w:eastAsia="仿宋"/>
          <w:sz w:val="32"/>
          <w:szCs w:val="32"/>
        </w:rPr>
        <w:br w:type="page"/>
      </w:r>
    </w:p>
    <w:p w14:paraId="6BBEB187">
      <w:pPr>
        <w:pStyle w:val="17"/>
        <w:numPr>
          <w:ilvl w:val="0"/>
          <w:numId w:val="0"/>
        </w:numPr>
        <w:bidi w:val="0"/>
        <w:ind w:left="420" w:leftChars="200"/>
        <w:jc w:val="center"/>
        <w:rPr>
          <w:rFonts w:hint="eastAsia"/>
          <w:lang w:val="en-US" w:eastAsia="zh-CN"/>
        </w:rPr>
      </w:pPr>
      <w:r>
        <w:rPr>
          <w:rFonts w:hint="eastAsia"/>
          <w:lang w:val="en-US" w:eastAsia="zh-CN"/>
        </w:rPr>
        <w:t>第四部分   名词解释</w:t>
      </w:r>
    </w:p>
    <w:p w14:paraId="1186DDB2">
      <w:pPr>
        <w:pStyle w:val="17"/>
        <w:numPr>
          <w:ilvl w:val="0"/>
          <w:numId w:val="0"/>
        </w:numPr>
        <w:bidi w:val="0"/>
        <w:ind w:left="420" w:leftChars="200" w:firstLine="321" w:firstLineChars="100"/>
        <w:rPr>
          <w:rFonts w:hint="eastAsia" w:ascii="楷体_GB2312" w:eastAsia="楷体_GB2312"/>
          <w:b/>
          <w:sz w:val="32"/>
          <w:szCs w:val="30"/>
        </w:rPr>
      </w:pPr>
      <w:r>
        <w:rPr>
          <w:rFonts w:hint="eastAsia" w:ascii="楷体_GB2312" w:eastAsia="楷体_GB2312"/>
          <w:b/>
          <w:sz w:val="32"/>
          <w:szCs w:val="30"/>
        </w:rPr>
        <w:t>一、收入科目</w:t>
      </w:r>
    </w:p>
    <w:p w14:paraId="2904E5C1">
      <w:pPr>
        <w:pStyle w:val="18"/>
        <w:bidi w:val="0"/>
        <w:rPr>
          <w:rFonts w:hint="eastAsia"/>
          <w:lang w:eastAsia="zh-CN"/>
        </w:rPr>
      </w:pPr>
      <w:r>
        <w:rPr>
          <w:rFonts w:hint="eastAsia"/>
          <w:lang w:eastAsia="zh-CN"/>
        </w:rPr>
        <w:t>各部门结合实际进行解释。</w:t>
      </w:r>
    </w:p>
    <w:p w14:paraId="2204A167">
      <w:pPr>
        <w:pStyle w:val="18"/>
        <w:bidi w:val="0"/>
        <w:rPr>
          <w:rFonts w:hint="eastAsia"/>
          <w:lang w:eastAsia="zh-CN"/>
        </w:rPr>
      </w:pPr>
      <w:r>
        <w:rPr>
          <w:rFonts w:hint="eastAsia"/>
          <w:lang w:eastAsia="zh-CN"/>
        </w:rPr>
        <w:t>（</w:t>
      </w:r>
      <w:r>
        <w:rPr>
          <w:rFonts w:hint="eastAsia"/>
          <w:lang w:val="en-US" w:eastAsia="zh-CN"/>
        </w:rPr>
        <w:t>一</w:t>
      </w:r>
      <w:r>
        <w:rPr>
          <w:rFonts w:hint="eastAsia"/>
          <w:lang w:eastAsia="zh-CN"/>
        </w:rPr>
        <w:t>）财政拨款：指省级财政当年拨付的资金。</w:t>
      </w:r>
    </w:p>
    <w:p w14:paraId="5F7BE938">
      <w:pPr>
        <w:pStyle w:val="18"/>
        <w:bidi w:val="0"/>
        <w:rPr>
          <w:rFonts w:hint="eastAsia"/>
          <w:lang w:eastAsia="zh-CN"/>
        </w:rPr>
      </w:pPr>
      <w:r>
        <w:rPr>
          <w:rFonts w:hint="eastAsia"/>
          <w:lang w:eastAsia="zh-CN"/>
        </w:rPr>
        <w:t>（</w:t>
      </w:r>
      <w:r>
        <w:rPr>
          <w:rFonts w:hint="eastAsia"/>
          <w:lang w:val="en-US" w:eastAsia="zh-CN"/>
        </w:rPr>
        <w:t>二</w:t>
      </w:r>
      <w:r>
        <w:rPr>
          <w:rFonts w:hint="eastAsia"/>
          <w:lang w:eastAsia="zh-CN"/>
        </w:rPr>
        <w:t>）教育收费资金收入：指实行专项管理的高中以上学费、住宿费，高校委托培养费，函大、电大、夜大及短训班培训费等教育收费取得的收入。</w:t>
      </w:r>
    </w:p>
    <w:p w14:paraId="1FAD7CF9">
      <w:pPr>
        <w:pStyle w:val="18"/>
        <w:bidi w:val="0"/>
        <w:rPr>
          <w:rFonts w:hint="eastAsia"/>
          <w:lang w:eastAsia="zh-CN"/>
        </w:rPr>
      </w:pPr>
      <w:r>
        <w:rPr>
          <w:rFonts w:hint="eastAsia"/>
          <w:lang w:eastAsia="zh-CN"/>
        </w:rPr>
        <w:t>（三）事业收入：指事业单位开展专业业务活动及辅助活动取得的收入。</w:t>
      </w:r>
    </w:p>
    <w:p w14:paraId="6A05306B">
      <w:pPr>
        <w:pStyle w:val="18"/>
        <w:bidi w:val="0"/>
        <w:rPr>
          <w:rFonts w:hint="eastAsia"/>
          <w:lang w:eastAsia="zh-CN"/>
        </w:rPr>
      </w:pPr>
      <w:r>
        <w:rPr>
          <w:rFonts w:hint="eastAsia"/>
          <w:lang w:eastAsia="zh-CN"/>
        </w:rPr>
        <w:t>（四）事业单位经营收入：指事业单位在专业业务活动及辅助活动之外开展非独立核算经营活动取得的收入。</w:t>
      </w:r>
    </w:p>
    <w:p w14:paraId="1343C118">
      <w:pPr>
        <w:pStyle w:val="18"/>
        <w:bidi w:val="0"/>
        <w:rPr>
          <w:rFonts w:hint="eastAsia"/>
          <w:lang w:eastAsia="zh-CN"/>
        </w:rPr>
      </w:pPr>
      <w:r>
        <w:rPr>
          <w:rFonts w:hint="eastAsia"/>
          <w:lang w:eastAsia="zh-CN"/>
        </w:rPr>
        <w:t>（五）附属单位上缴收入：指事业单位附属的独立核算单位按规定标准或比例缴纳的各项收入。包括附属的事业单位上缴的收入和附属的企业上缴的利润等。</w:t>
      </w:r>
    </w:p>
    <w:p w14:paraId="4825FF24">
      <w:pPr>
        <w:pStyle w:val="18"/>
        <w:bidi w:val="0"/>
        <w:rPr>
          <w:rFonts w:hint="eastAsia"/>
          <w:lang w:eastAsia="zh-CN"/>
        </w:rPr>
      </w:pPr>
      <w:r>
        <w:rPr>
          <w:rFonts w:hint="eastAsia"/>
          <w:lang w:eastAsia="zh-CN"/>
        </w:rPr>
        <w:t>（六）上级补助收入：指事业单位从主管部门和上级单位取得的非财政补助收入。</w:t>
      </w:r>
    </w:p>
    <w:p w14:paraId="59FF7B88">
      <w:pPr>
        <w:pStyle w:val="18"/>
        <w:bidi w:val="0"/>
        <w:rPr>
          <w:rFonts w:hint="eastAsia"/>
          <w:lang w:eastAsia="zh-CN"/>
        </w:rPr>
      </w:pPr>
      <w:r>
        <w:rPr>
          <w:rFonts w:hint="eastAsia"/>
          <w:lang w:eastAsia="zh-CN"/>
        </w:rPr>
        <w:t>（七）其他收入：指除财政拨款、事业收入、事业单位经营收入等以外的各项收入。</w:t>
      </w:r>
    </w:p>
    <w:p w14:paraId="200373D9">
      <w:pPr>
        <w:pStyle w:val="18"/>
        <w:bidi w:val="0"/>
        <w:rPr>
          <w:rFonts w:hint="eastAsia"/>
          <w:lang w:eastAsia="zh-CN"/>
        </w:rPr>
      </w:pPr>
      <w:r>
        <w:rPr>
          <w:rFonts w:hint="eastAsia"/>
          <w:lang w:eastAsia="zh-CN"/>
        </w:rPr>
        <w:t>（八）使用非财政拨款结余：指历年滚存非限定用途的非财政拨款结余弥补本年度收支差额的数额。</w:t>
      </w:r>
    </w:p>
    <w:p w14:paraId="6634FE19">
      <w:pPr>
        <w:pStyle w:val="18"/>
        <w:bidi w:val="0"/>
        <w:rPr>
          <w:rFonts w:hint="eastAsia"/>
          <w:lang w:eastAsia="zh-CN"/>
        </w:rPr>
      </w:pPr>
      <w:r>
        <w:rPr>
          <w:rFonts w:hint="eastAsia"/>
          <w:lang w:eastAsia="zh-CN"/>
        </w:rPr>
        <w:t>（九）上年结转和结余：指以前年度全部结转和结余的资金数，包括当年结转结余资金和历年滚存结转结余资金。</w:t>
      </w:r>
    </w:p>
    <w:p w14:paraId="1D61B178">
      <w:pPr>
        <w:ind w:firstLine="640" w:firstLineChars="200"/>
        <w:rPr>
          <w:rFonts w:ascii="Adobe 仿宋 Std R" w:hAnsi="Adobe 仿宋 Std R" w:eastAsia="Adobe 仿宋 Std R"/>
          <w:sz w:val="32"/>
          <w:szCs w:val="32"/>
        </w:rPr>
      </w:pPr>
    </w:p>
    <w:p w14:paraId="280EF4CD">
      <w:pPr>
        <w:pStyle w:val="17"/>
        <w:numPr>
          <w:ilvl w:val="0"/>
          <w:numId w:val="0"/>
        </w:numPr>
        <w:bidi w:val="0"/>
        <w:ind w:left="420" w:leftChars="200" w:firstLine="321" w:firstLineChars="100"/>
        <w:rPr>
          <w:rFonts w:hint="eastAsia" w:ascii="楷体_GB2312" w:eastAsia="楷体_GB2312"/>
          <w:b/>
          <w:sz w:val="32"/>
          <w:szCs w:val="30"/>
        </w:rPr>
      </w:pPr>
      <w:r>
        <w:rPr>
          <w:rFonts w:hint="eastAsia" w:ascii="楷体_GB2312" w:eastAsia="楷体_GB2312"/>
          <w:b/>
          <w:sz w:val="32"/>
          <w:szCs w:val="30"/>
        </w:rPr>
        <w:t>二、支出科目</w:t>
      </w:r>
    </w:p>
    <w:p w14:paraId="7904C262">
      <w:pPr>
        <w:pStyle w:val="18"/>
        <w:bidi w:val="0"/>
        <w:rPr>
          <w:rFonts w:hint="eastAsia"/>
          <w:lang w:eastAsia="zh-CN"/>
        </w:rPr>
      </w:pPr>
      <w:r>
        <w:rPr>
          <w:rFonts w:hint="eastAsia"/>
          <w:lang w:eastAsia="zh-CN"/>
        </w:rPr>
        <w:t>对部门预算中涉及的支出功能分类科目（明细到项级），结合部门实际，参照《2026年政府收支分类科目》的规范说明进行解释。</w:t>
      </w:r>
    </w:p>
    <w:p w14:paraId="0E6528DB">
      <w:pPr>
        <w:widowControl/>
        <w:spacing w:line="600" w:lineRule="exact"/>
        <w:ind w:firstLine="640" w:firstLineChars="200"/>
        <w:jc w:val="left"/>
        <w:rPr>
          <w:rFonts w:ascii="仿宋_GB2312" w:eastAsia="仿宋_GB2312"/>
          <w:color w:val="000000"/>
          <w:sz w:val="32"/>
          <w:szCs w:val="30"/>
        </w:rPr>
      </w:pPr>
    </w:p>
    <w:p w14:paraId="7F3887F5">
      <w:pPr>
        <w:pStyle w:val="17"/>
        <w:numPr>
          <w:ilvl w:val="0"/>
          <w:numId w:val="0"/>
        </w:numPr>
        <w:bidi w:val="0"/>
        <w:ind w:left="420" w:leftChars="200" w:firstLine="321" w:firstLineChars="100"/>
        <w:rPr>
          <w:rFonts w:hint="eastAsia" w:ascii="楷体_GB2312" w:eastAsia="楷体_GB2312"/>
          <w:b/>
          <w:sz w:val="32"/>
          <w:szCs w:val="30"/>
        </w:rPr>
      </w:pPr>
      <w:r>
        <w:rPr>
          <w:rFonts w:hint="eastAsia" w:ascii="楷体_GB2312" w:eastAsia="楷体_GB2312"/>
          <w:b/>
          <w:sz w:val="32"/>
          <w:szCs w:val="30"/>
        </w:rPr>
        <w:t>三、相关专业名词</w:t>
      </w:r>
    </w:p>
    <w:p w14:paraId="101BB230">
      <w:pPr>
        <w:pStyle w:val="18"/>
        <w:bidi w:val="0"/>
        <w:ind w:left="0" w:leftChars="0" w:firstLine="640" w:firstLineChars="200"/>
        <w:rPr>
          <w:rFonts w:hint="eastAsia"/>
          <w:lang w:eastAsia="zh-CN"/>
        </w:rPr>
      </w:pPr>
      <w:r>
        <w:rPr>
          <w:rFonts w:hint="eastAsia"/>
          <w:lang w:eastAsia="zh-CN"/>
        </w:rPr>
        <w:t>（一）机关运行费：指用一般公共预算财政拨款安排的为保障行政单位（包括实行公务员管理的事业单位）运行用于购买货物和服务的各项资金，包括办公费、印刷费、邮电费、差旅费、会议费、日常维修费、专用材料及一般设备购置费、办公用房水电费、办公用房取暖费、办公用房物业管理费、公务用车运行维护费以及其他费用。</w:t>
      </w:r>
    </w:p>
    <w:p w14:paraId="1DF05FB7">
      <w:pPr>
        <w:pStyle w:val="18"/>
        <w:bidi w:val="0"/>
        <w:rPr>
          <w:rFonts w:hint="eastAsia"/>
          <w:lang w:eastAsia="zh-CN"/>
        </w:rPr>
      </w:pPr>
      <w:r>
        <w:rPr>
          <w:rFonts w:hint="eastAsia"/>
          <w:lang w:eastAsia="zh-CN"/>
        </w:rPr>
        <w:t>（二）“三公”经费：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新能源汽车充电费、维修费、过桥过路费、保险费、安全奖励费 用等支出；公务接待费反映单位按规定开支的各类公务接待（含外宾接待）支出。</w:t>
      </w:r>
    </w:p>
    <w:sectPr>
      <w:pgSz w:w="11906" w:h="16838"/>
      <w:pgMar w:top="2098" w:right="1587"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大标宋简体">
    <w:altName w:val="微软雅黑"/>
    <w:panose1 w:val="03000509000000000000"/>
    <w:charset w:val="86"/>
    <w:family w:val="auto"/>
    <w:pitch w:val="default"/>
    <w:sig w:usb0="00000000" w:usb1="00000000" w:usb2="00000000" w:usb3="00000000" w:csb0="00040000" w:csb1="00000000"/>
  </w:font>
  <w:font w:name="Adobe 仿宋 Std R">
    <w:altName w:val="仿宋"/>
    <w:panose1 w:val="00000000000000000000"/>
    <w:charset w:val="86"/>
    <w:family w:val="auto"/>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01DED">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8DE54F"/>
    <w:multiLevelType w:val="singleLevel"/>
    <w:tmpl w:val="E98DE54F"/>
    <w:lvl w:ilvl="0" w:tentative="0">
      <w:start w:val="2"/>
      <w:numFmt w:val="decimal"/>
      <w:suff w:val="nothing"/>
      <w:lvlText w:val="%1）"/>
      <w:lvlJc w:val="left"/>
      <w:pPr>
        <w:ind w:left="1120" w:leftChars="0" w:firstLine="0" w:firstLineChars="0"/>
      </w:pPr>
    </w:lvl>
  </w:abstractNum>
  <w:abstractNum w:abstractNumId="1">
    <w:nsid w:val="0C7D1273"/>
    <w:multiLevelType w:val="singleLevel"/>
    <w:tmpl w:val="0C7D1273"/>
    <w:lvl w:ilvl="0" w:tentative="0">
      <w:start w:val="1"/>
      <w:numFmt w:val="chineseCounting"/>
      <w:pStyle w:val="17"/>
      <w:suff w:val="nothing"/>
      <w:lvlText w:val="%1、"/>
      <w:lvlJc w:val="left"/>
      <w:pPr>
        <w:ind w:left="0" w:firstLine="420"/>
      </w:pPr>
      <w:rPr>
        <w:rFonts w:hint="eastAsia"/>
      </w:rPr>
    </w:lvl>
  </w:abstractNum>
  <w:abstractNum w:abstractNumId="2">
    <w:nsid w:val="79F6942D"/>
    <w:multiLevelType w:val="singleLevel"/>
    <w:tmpl w:val="79F6942D"/>
    <w:lvl w:ilvl="0" w:tentative="0">
      <w:start w:val="1"/>
      <w:numFmt w:val="chineseCounting"/>
      <w:pStyle w:val="19"/>
      <w:suff w:val="nothing"/>
      <w:lvlText w:val="（%1）"/>
      <w:lvlJc w:val="left"/>
      <w:pPr>
        <w:ind w:left="0" w:firstLine="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RjYzY5ZmMwZWEzMzQxOWIwM2QyODc3MDk3NDFhOWMifQ=="/>
  </w:docVars>
  <w:rsids>
    <w:rsidRoot w:val="00172A27"/>
    <w:rsid w:val="000001B2"/>
    <w:rsid w:val="00014049"/>
    <w:rsid w:val="0001648A"/>
    <w:rsid w:val="00022CB3"/>
    <w:rsid w:val="00031749"/>
    <w:rsid w:val="00041EAA"/>
    <w:rsid w:val="000501C3"/>
    <w:rsid w:val="00055F20"/>
    <w:rsid w:val="000630BE"/>
    <w:rsid w:val="0006515E"/>
    <w:rsid w:val="00083979"/>
    <w:rsid w:val="00085227"/>
    <w:rsid w:val="000927A9"/>
    <w:rsid w:val="000963CD"/>
    <w:rsid w:val="000A2066"/>
    <w:rsid w:val="000B313A"/>
    <w:rsid w:val="000B4F9E"/>
    <w:rsid w:val="000C6AF7"/>
    <w:rsid w:val="000E1BC2"/>
    <w:rsid w:val="000E6313"/>
    <w:rsid w:val="000F227D"/>
    <w:rsid w:val="000F2E5F"/>
    <w:rsid w:val="00104F58"/>
    <w:rsid w:val="00117D8C"/>
    <w:rsid w:val="00131F78"/>
    <w:rsid w:val="001570FF"/>
    <w:rsid w:val="001823EA"/>
    <w:rsid w:val="00186709"/>
    <w:rsid w:val="00192620"/>
    <w:rsid w:val="00193C37"/>
    <w:rsid w:val="001C4ED5"/>
    <w:rsid w:val="001C6F31"/>
    <w:rsid w:val="001D2644"/>
    <w:rsid w:val="001E0EE7"/>
    <w:rsid w:val="001E2A0C"/>
    <w:rsid w:val="001E6FA2"/>
    <w:rsid w:val="001F1DED"/>
    <w:rsid w:val="0021331D"/>
    <w:rsid w:val="00213D4E"/>
    <w:rsid w:val="0022612A"/>
    <w:rsid w:val="00232A32"/>
    <w:rsid w:val="002436CD"/>
    <w:rsid w:val="00251AD0"/>
    <w:rsid w:val="00281E28"/>
    <w:rsid w:val="00283C63"/>
    <w:rsid w:val="00284437"/>
    <w:rsid w:val="002A02B4"/>
    <w:rsid w:val="002A1ED6"/>
    <w:rsid w:val="002A45BD"/>
    <w:rsid w:val="002B0263"/>
    <w:rsid w:val="002B128B"/>
    <w:rsid w:val="002B2D42"/>
    <w:rsid w:val="002C0EDF"/>
    <w:rsid w:val="002C2478"/>
    <w:rsid w:val="002D2681"/>
    <w:rsid w:val="002D418E"/>
    <w:rsid w:val="002D497C"/>
    <w:rsid w:val="002D7200"/>
    <w:rsid w:val="002E2578"/>
    <w:rsid w:val="0030186C"/>
    <w:rsid w:val="003057A1"/>
    <w:rsid w:val="00316B29"/>
    <w:rsid w:val="0032092A"/>
    <w:rsid w:val="00323750"/>
    <w:rsid w:val="00334A98"/>
    <w:rsid w:val="00344E49"/>
    <w:rsid w:val="00380DD1"/>
    <w:rsid w:val="00394DC6"/>
    <w:rsid w:val="003959F5"/>
    <w:rsid w:val="003A2923"/>
    <w:rsid w:val="003B68F4"/>
    <w:rsid w:val="003B76FD"/>
    <w:rsid w:val="003C0BFF"/>
    <w:rsid w:val="003C0D66"/>
    <w:rsid w:val="003C19AF"/>
    <w:rsid w:val="003C7840"/>
    <w:rsid w:val="003D0809"/>
    <w:rsid w:val="00406851"/>
    <w:rsid w:val="004345D9"/>
    <w:rsid w:val="00436836"/>
    <w:rsid w:val="0044016E"/>
    <w:rsid w:val="00446148"/>
    <w:rsid w:val="004535A0"/>
    <w:rsid w:val="00456869"/>
    <w:rsid w:val="004664AF"/>
    <w:rsid w:val="00472987"/>
    <w:rsid w:val="00480768"/>
    <w:rsid w:val="00495985"/>
    <w:rsid w:val="00496629"/>
    <w:rsid w:val="004A0058"/>
    <w:rsid w:val="004B06B4"/>
    <w:rsid w:val="004D6A23"/>
    <w:rsid w:val="004E0577"/>
    <w:rsid w:val="004E5555"/>
    <w:rsid w:val="004F5378"/>
    <w:rsid w:val="004F7260"/>
    <w:rsid w:val="005006DE"/>
    <w:rsid w:val="00502AB1"/>
    <w:rsid w:val="00516279"/>
    <w:rsid w:val="0052565B"/>
    <w:rsid w:val="00526265"/>
    <w:rsid w:val="00526CE0"/>
    <w:rsid w:val="00532264"/>
    <w:rsid w:val="005378E3"/>
    <w:rsid w:val="00544895"/>
    <w:rsid w:val="00553AA6"/>
    <w:rsid w:val="00555080"/>
    <w:rsid w:val="0055670D"/>
    <w:rsid w:val="00571A5D"/>
    <w:rsid w:val="00580BF8"/>
    <w:rsid w:val="005828C8"/>
    <w:rsid w:val="005902D1"/>
    <w:rsid w:val="0059038A"/>
    <w:rsid w:val="0059672A"/>
    <w:rsid w:val="00596957"/>
    <w:rsid w:val="005A3FD6"/>
    <w:rsid w:val="005A65E4"/>
    <w:rsid w:val="005C3676"/>
    <w:rsid w:val="005C3DDD"/>
    <w:rsid w:val="005D7ACB"/>
    <w:rsid w:val="005F090C"/>
    <w:rsid w:val="005F35BD"/>
    <w:rsid w:val="005F69D4"/>
    <w:rsid w:val="00611FE7"/>
    <w:rsid w:val="00623A52"/>
    <w:rsid w:val="006247CA"/>
    <w:rsid w:val="006279D2"/>
    <w:rsid w:val="00631E83"/>
    <w:rsid w:val="00631FA4"/>
    <w:rsid w:val="00650900"/>
    <w:rsid w:val="00655E8B"/>
    <w:rsid w:val="00660CC3"/>
    <w:rsid w:val="006740FD"/>
    <w:rsid w:val="006833F4"/>
    <w:rsid w:val="006835C9"/>
    <w:rsid w:val="00687B67"/>
    <w:rsid w:val="006918B8"/>
    <w:rsid w:val="006924DA"/>
    <w:rsid w:val="00696646"/>
    <w:rsid w:val="006A1709"/>
    <w:rsid w:val="006C08EA"/>
    <w:rsid w:val="006C185B"/>
    <w:rsid w:val="006C3868"/>
    <w:rsid w:val="006F20BD"/>
    <w:rsid w:val="006F69AF"/>
    <w:rsid w:val="00704CAB"/>
    <w:rsid w:val="007314A1"/>
    <w:rsid w:val="0075709B"/>
    <w:rsid w:val="007574FE"/>
    <w:rsid w:val="00777795"/>
    <w:rsid w:val="00777962"/>
    <w:rsid w:val="007913DC"/>
    <w:rsid w:val="00792A6C"/>
    <w:rsid w:val="0079393D"/>
    <w:rsid w:val="00796F4F"/>
    <w:rsid w:val="007A4D44"/>
    <w:rsid w:val="007B4314"/>
    <w:rsid w:val="007C27E0"/>
    <w:rsid w:val="007D4ACC"/>
    <w:rsid w:val="007F1616"/>
    <w:rsid w:val="007F4968"/>
    <w:rsid w:val="007F5C86"/>
    <w:rsid w:val="007F79A6"/>
    <w:rsid w:val="008032D2"/>
    <w:rsid w:val="00804C42"/>
    <w:rsid w:val="00823697"/>
    <w:rsid w:val="00846526"/>
    <w:rsid w:val="008506D9"/>
    <w:rsid w:val="00863898"/>
    <w:rsid w:val="00865CCE"/>
    <w:rsid w:val="00872CE4"/>
    <w:rsid w:val="00875B04"/>
    <w:rsid w:val="00876D17"/>
    <w:rsid w:val="008827CA"/>
    <w:rsid w:val="00882C91"/>
    <w:rsid w:val="00884FAE"/>
    <w:rsid w:val="008979F6"/>
    <w:rsid w:val="00897CAC"/>
    <w:rsid w:val="008A2491"/>
    <w:rsid w:val="008B52E8"/>
    <w:rsid w:val="008C011F"/>
    <w:rsid w:val="008C01B1"/>
    <w:rsid w:val="008C6EEE"/>
    <w:rsid w:val="008D4367"/>
    <w:rsid w:val="008E1EFA"/>
    <w:rsid w:val="008F16EE"/>
    <w:rsid w:val="00902917"/>
    <w:rsid w:val="009160F0"/>
    <w:rsid w:val="0091783F"/>
    <w:rsid w:val="0094115F"/>
    <w:rsid w:val="009421D2"/>
    <w:rsid w:val="0094514C"/>
    <w:rsid w:val="00946A59"/>
    <w:rsid w:val="009471C3"/>
    <w:rsid w:val="0095097A"/>
    <w:rsid w:val="009527A7"/>
    <w:rsid w:val="009557AC"/>
    <w:rsid w:val="00956999"/>
    <w:rsid w:val="009619B4"/>
    <w:rsid w:val="00964DCD"/>
    <w:rsid w:val="00973905"/>
    <w:rsid w:val="0097415C"/>
    <w:rsid w:val="00984ACE"/>
    <w:rsid w:val="009A4624"/>
    <w:rsid w:val="009A7AB9"/>
    <w:rsid w:val="009B2C7D"/>
    <w:rsid w:val="009B4813"/>
    <w:rsid w:val="009C2EBF"/>
    <w:rsid w:val="009C3827"/>
    <w:rsid w:val="009D3197"/>
    <w:rsid w:val="009E1C45"/>
    <w:rsid w:val="009E1F3F"/>
    <w:rsid w:val="009F72E5"/>
    <w:rsid w:val="009F7630"/>
    <w:rsid w:val="00A0455D"/>
    <w:rsid w:val="00A10F16"/>
    <w:rsid w:val="00A2168A"/>
    <w:rsid w:val="00A345A4"/>
    <w:rsid w:val="00A54282"/>
    <w:rsid w:val="00A55773"/>
    <w:rsid w:val="00A60B4D"/>
    <w:rsid w:val="00A81BA2"/>
    <w:rsid w:val="00AA62DE"/>
    <w:rsid w:val="00AB656D"/>
    <w:rsid w:val="00AB7307"/>
    <w:rsid w:val="00AC370A"/>
    <w:rsid w:val="00AF095D"/>
    <w:rsid w:val="00AF57C9"/>
    <w:rsid w:val="00AF62CD"/>
    <w:rsid w:val="00B0337F"/>
    <w:rsid w:val="00B128C8"/>
    <w:rsid w:val="00B169A7"/>
    <w:rsid w:val="00B348A8"/>
    <w:rsid w:val="00B51022"/>
    <w:rsid w:val="00B619F8"/>
    <w:rsid w:val="00B6242B"/>
    <w:rsid w:val="00B71EBE"/>
    <w:rsid w:val="00B82840"/>
    <w:rsid w:val="00B96CEB"/>
    <w:rsid w:val="00BA572C"/>
    <w:rsid w:val="00BA5D92"/>
    <w:rsid w:val="00BA7CA7"/>
    <w:rsid w:val="00BF0316"/>
    <w:rsid w:val="00C03AFB"/>
    <w:rsid w:val="00C35830"/>
    <w:rsid w:val="00C4059E"/>
    <w:rsid w:val="00C474E4"/>
    <w:rsid w:val="00C61B8F"/>
    <w:rsid w:val="00C644A7"/>
    <w:rsid w:val="00C771B3"/>
    <w:rsid w:val="00C803DA"/>
    <w:rsid w:val="00C82CA3"/>
    <w:rsid w:val="00CB10B2"/>
    <w:rsid w:val="00CB3DBA"/>
    <w:rsid w:val="00CC4504"/>
    <w:rsid w:val="00CC4FF5"/>
    <w:rsid w:val="00CC517F"/>
    <w:rsid w:val="00CD0083"/>
    <w:rsid w:val="00CE1A2B"/>
    <w:rsid w:val="00CE6F1B"/>
    <w:rsid w:val="00CE7185"/>
    <w:rsid w:val="00CF0A52"/>
    <w:rsid w:val="00CF5160"/>
    <w:rsid w:val="00D00272"/>
    <w:rsid w:val="00D01624"/>
    <w:rsid w:val="00D11449"/>
    <w:rsid w:val="00D14B5F"/>
    <w:rsid w:val="00D17D0A"/>
    <w:rsid w:val="00D20C6C"/>
    <w:rsid w:val="00D23489"/>
    <w:rsid w:val="00D3381E"/>
    <w:rsid w:val="00D36173"/>
    <w:rsid w:val="00D41219"/>
    <w:rsid w:val="00D524EE"/>
    <w:rsid w:val="00D666BC"/>
    <w:rsid w:val="00D678E3"/>
    <w:rsid w:val="00D826D7"/>
    <w:rsid w:val="00D86F52"/>
    <w:rsid w:val="00DB0580"/>
    <w:rsid w:val="00DD15FE"/>
    <w:rsid w:val="00DE13A1"/>
    <w:rsid w:val="00DE2065"/>
    <w:rsid w:val="00DE20E0"/>
    <w:rsid w:val="00DE5904"/>
    <w:rsid w:val="00DE6773"/>
    <w:rsid w:val="00DF2E83"/>
    <w:rsid w:val="00DF43D8"/>
    <w:rsid w:val="00E04E74"/>
    <w:rsid w:val="00E11187"/>
    <w:rsid w:val="00E17B11"/>
    <w:rsid w:val="00E34083"/>
    <w:rsid w:val="00E365F2"/>
    <w:rsid w:val="00E503CC"/>
    <w:rsid w:val="00E5794A"/>
    <w:rsid w:val="00E60E90"/>
    <w:rsid w:val="00E83029"/>
    <w:rsid w:val="00E9293D"/>
    <w:rsid w:val="00E92A8B"/>
    <w:rsid w:val="00E97D8C"/>
    <w:rsid w:val="00EA3654"/>
    <w:rsid w:val="00EA36FC"/>
    <w:rsid w:val="00EB5768"/>
    <w:rsid w:val="00EB656D"/>
    <w:rsid w:val="00EB6777"/>
    <w:rsid w:val="00EC3DDF"/>
    <w:rsid w:val="00ED0D2B"/>
    <w:rsid w:val="00ED12A9"/>
    <w:rsid w:val="00EE5DE1"/>
    <w:rsid w:val="00EE6568"/>
    <w:rsid w:val="00F01B58"/>
    <w:rsid w:val="00F11FE4"/>
    <w:rsid w:val="00F132AE"/>
    <w:rsid w:val="00F2583E"/>
    <w:rsid w:val="00F32E83"/>
    <w:rsid w:val="00F823EA"/>
    <w:rsid w:val="00F95E5A"/>
    <w:rsid w:val="00F975EB"/>
    <w:rsid w:val="00F97EF1"/>
    <w:rsid w:val="00FA278B"/>
    <w:rsid w:val="00FA354D"/>
    <w:rsid w:val="00FA3B89"/>
    <w:rsid w:val="00FD29E0"/>
    <w:rsid w:val="00FE0E90"/>
    <w:rsid w:val="00FE32CC"/>
    <w:rsid w:val="00FE7CCF"/>
    <w:rsid w:val="00FF60EC"/>
    <w:rsid w:val="00FF6368"/>
    <w:rsid w:val="01671BDD"/>
    <w:rsid w:val="01861103"/>
    <w:rsid w:val="019127B6"/>
    <w:rsid w:val="01AC3A93"/>
    <w:rsid w:val="01EF572E"/>
    <w:rsid w:val="020411DA"/>
    <w:rsid w:val="02130B48"/>
    <w:rsid w:val="02176B4D"/>
    <w:rsid w:val="0288005D"/>
    <w:rsid w:val="02C06A14"/>
    <w:rsid w:val="02C440B3"/>
    <w:rsid w:val="02F05C02"/>
    <w:rsid w:val="0313418A"/>
    <w:rsid w:val="03183089"/>
    <w:rsid w:val="033409AD"/>
    <w:rsid w:val="036543A8"/>
    <w:rsid w:val="03713379"/>
    <w:rsid w:val="03A26EFC"/>
    <w:rsid w:val="03C54F15"/>
    <w:rsid w:val="044C3E08"/>
    <w:rsid w:val="048760F2"/>
    <w:rsid w:val="04AB0032"/>
    <w:rsid w:val="04D1736D"/>
    <w:rsid w:val="0548762F"/>
    <w:rsid w:val="056335EC"/>
    <w:rsid w:val="058E403A"/>
    <w:rsid w:val="05A96FBC"/>
    <w:rsid w:val="067A6028"/>
    <w:rsid w:val="069027A8"/>
    <w:rsid w:val="069D0811"/>
    <w:rsid w:val="06B24040"/>
    <w:rsid w:val="06BE4E5C"/>
    <w:rsid w:val="06C2392E"/>
    <w:rsid w:val="06D10F0F"/>
    <w:rsid w:val="06EB090E"/>
    <w:rsid w:val="070F6488"/>
    <w:rsid w:val="072E0AA7"/>
    <w:rsid w:val="07493DE4"/>
    <w:rsid w:val="076646E5"/>
    <w:rsid w:val="07944DAE"/>
    <w:rsid w:val="07AF4617"/>
    <w:rsid w:val="07DA39BA"/>
    <w:rsid w:val="07FD6DF7"/>
    <w:rsid w:val="085627C2"/>
    <w:rsid w:val="089B644D"/>
    <w:rsid w:val="08AA6372"/>
    <w:rsid w:val="08E95BD9"/>
    <w:rsid w:val="0957140D"/>
    <w:rsid w:val="097430E9"/>
    <w:rsid w:val="09813405"/>
    <w:rsid w:val="098466E2"/>
    <w:rsid w:val="099A2423"/>
    <w:rsid w:val="09C63CB7"/>
    <w:rsid w:val="0A1A2AD5"/>
    <w:rsid w:val="0A3B59B5"/>
    <w:rsid w:val="0A522CFE"/>
    <w:rsid w:val="0A603A28"/>
    <w:rsid w:val="0A7E3AF3"/>
    <w:rsid w:val="0ABC4644"/>
    <w:rsid w:val="0B2E6C33"/>
    <w:rsid w:val="0B471443"/>
    <w:rsid w:val="0B582596"/>
    <w:rsid w:val="0B776EC0"/>
    <w:rsid w:val="0BD22464"/>
    <w:rsid w:val="0BFC329D"/>
    <w:rsid w:val="0C0F6191"/>
    <w:rsid w:val="0C210BDA"/>
    <w:rsid w:val="0C22507E"/>
    <w:rsid w:val="0C234952"/>
    <w:rsid w:val="0C2D3ECE"/>
    <w:rsid w:val="0C97247A"/>
    <w:rsid w:val="0CC04034"/>
    <w:rsid w:val="0CCF7504"/>
    <w:rsid w:val="0CE40340"/>
    <w:rsid w:val="0D1D3A97"/>
    <w:rsid w:val="0D7F0935"/>
    <w:rsid w:val="0D906017"/>
    <w:rsid w:val="0DB3098E"/>
    <w:rsid w:val="0DC46BAD"/>
    <w:rsid w:val="0E4868F2"/>
    <w:rsid w:val="0EC56195"/>
    <w:rsid w:val="0ED334BB"/>
    <w:rsid w:val="0EED77D1"/>
    <w:rsid w:val="0EFE5F92"/>
    <w:rsid w:val="0F2509E1"/>
    <w:rsid w:val="0F77472F"/>
    <w:rsid w:val="0FA364D6"/>
    <w:rsid w:val="0FFC5BE6"/>
    <w:rsid w:val="10374E70"/>
    <w:rsid w:val="1042584C"/>
    <w:rsid w:val="109038AE"/>
    <w:rsid w:val="10C76C75"/>
    <w:rsid w:val="10EC7A09"/>
    <w:rsid w:val="118C7F17"/>
    <w:rsid w:val="11A83289"/>
    <w:rsid w:val="11BA18B5"/>
    <w:rsid w:val="11C056A5"/>
    <w:rsid w:val="127579A7"/>
    <w:rsid w:val="12AB25F0"/>
    <w:rsid w:val="12C66037"/>
    <w:rsid w:val="12D71EE1"/>
    <w:rsid w:val="13024677"/>
    <w:rsid w:val="132316DC"/>
    <w:rsid w:val="13257202"/>
    <w:rsid w:val="137A24B0"/>
    <w:rsid w:val="13C56999"/>
    <w:rsid w:val="1461464C"/>
    <w:rsid w:val="146A26EA"/>
    <w:rsid w:val="14972381"/>
    <w:rsid w:val="14DB226E"/>
    <w:rsid w:val="14E16173"/>
    <w:rsid w:val="1504034A"/>
    <w:rsid w:val="15183F88"/>
    <w:rsid w:val="15624A73"/>
    <w:rsid w:val="15F1786F"/>
    <w:rsid w:val="161C45A6"/>
    <w:rsid w:val="163E20B5"/>
    <w:rsid w:val="167909DF"/>
    <w:rsid w:val="16790A4B"/>
    <w:rsid w:val="16A62BCA"/>
    <w:rsid w:val="16B57185"/>
    <w:rsid w:val="16D72F09"/>
    <w:rsid w:val="16D73651"/>
    <w:rsid w:val="17201A96"/>
    <w:rsid w:val="17275549"/>
    <w:rsid w:val="175943AB"/>
    <w:rsid w:val="177B5642"/>
    <w:rsid w:val="183121A5"/>
    <w:rsid w:val="183D4FEE"/>
    <w:rsid w:val="187973A6"/>
    <w:rsid w:val="189E6FE8"/>
    <w:rsid w:val="18D62220"/>
    <w:rsid w:val="18F24CDE"/>
    <w:rsid w:val="190A1374"/>
    <w:rsid w:val="1911314F"/>
    <w:rsid w:val="192341E3"/>
    <w:rsid w:val="19264D41"/>
    <w:rsid w:val="195E521C"/>
    <w:rsid w:val="196004AA"/>
    <w:rsid w:val="198B71A1"/>
    <w:rsid w:val="198C07B0"/>
    <w:rsid w:val="19A5011A"/>
    <w:rsid w:val="19B228EF"/>
    <w:rsid w:val="19B72B7E"/>
    <w:rsid w:val="19BE5CBA"/>
    <w:rsid w:val="19DD5162"/>
    <w:rsid w:val="19F65454"/>
    <w:rsid w:val="1A9E7E47"/>
    <w:rsid w:val="1AAC4E51"/>
    <w:rsid w:val="1B106CD9"/>
    <w:rsid w:val="1B1E744F"/>
    <w:rsid w:val="1B477CB6"/>
    <w:rsid w:val="1B513369"/>
    <w:rsid w:val="1B5543FC"/>
    <w:rsid w:val="1B9273FE"/>
    <w:rsid w:val="1B9C74EA"/>
    <w:rsid w:val="1D022362"/>
    <w:rsid w:val="1D041EB6"/>
    <w:rsid w:val="1D156539"/>
    <w:rsid w:val="1D284D6E"/>
    <w:rsid w:val="1D2E3157"/>
    <w:rsid w:val="1D683EAA"/>
    <w:rsid w:val="1D743E4F"/>
    <w:rsid w:val="1DC43CB7"/>
    <w:rsid w:val="1DE62972"/>
    <w:rsid w:val="1DED3012"/>
    <w:rsid w:val="1E002D45"/>
    <w:rsid w:val="1E332A67"/>
    <w:rsid w:val="1E58312C"/>
    <w:rsid w:val="1E5B2F38"/>
    <w:rsid w:val="1E74728F"/>
    <w:rsid w:val="1E9D38F0"/>
    <w:rsid w:val="1EAB2010"/>
    <w:rsid w:val="1EC370BA"/>
    <w:rsid w:val="1ED32208"/>
    <w:rsid w:val="1EDD4E34"/>
    <w:rsid w:val="1EDF4DDA"/>
    <w:rsid w:val="1F240CB5"/>
    <w:rsid w:val="1F647304"/>
    <w:rsid w:val="1FE92D8C"/>
    <w:rsid w:val="1FF163B0"/>
    <w:rsid w:val="206D0602"/>
    <w:rsid w:val="20757BCC"/>
    <w:rsid w:val="208D0D40"/>
    <w:rsid w:val="212A1E87"/>
    <w:rsid w:val="21474324"/>
    <w:rsid w:val="2158323A"/>
    <w:rsid w:val="218C669E"/>
    <w:rsid w:val="21C916A0"/>
    <w:rsid w:val="21D532F6"/>
    <w:rsid w:val="21DA6DEF"/>
    <w:rsid w:val="220B24B1"/>
    <w:rsid w:val="221F7512"/>
    <w:rsid w:val="22421D13"/>
    <w:rsid w:val="22430342"/>
    <w:rsid w:val="22601146"/>
    <w:rsid w:val="226F2247"/>
    <w:rsid w:val="22A5210D"/>
    <w:rsid w:val="22BD518D"/>
    <w:rsid w:val="230518A8"/>
    <w:rsid w:val="239A3D4A"/>
    <w:rsid w:val="23E41BCA"/>
    <w:rsid w:val="23F95523"/>
    <w:rsid w:val="2418246B"/>
    <w:rsid w:val="24407927"/>
    <w:rsid w:val="248511A6"/>
    <w:rsid w:val="2584425C"/>
    <w:rsid w:val="25B931E9"/>
    <w:rsid w:val="25CE54D7"/>
    <w:rsid w:val="25E72173"/>
    <w:rsid w:val="25F4209D"/>
    <w:rsid w:val="265579A6"/>
    <w:rsid w:val="267A7ED7"/>
    <w:rsid w:val="267B565F"/>
    <w:rsid w:val="26BE72FA"/>
    <w:rsid w:val="26CB02AF"/>
    <w:rsid w:val="26DB6504"/>
    <w:rsid w:val="26FE5E6C"/>
    <w:rsid w:val="277A50E1"/>
    <w:rsid w:val="27DA63B5"/>
    <w:rsid w:val="27E234BC"/>
    <w:rsid w:val="27EE6A79"/>
    <w:rsid w:val="28020B08"/>
    <w:rsid w:val="2828673B"/>
    <w:rsid w:val="28F31C90"/>
    <w:rsid w:val="291678C1"/>
    <w:rsid w:val="29415831"/>
    <w:rsid w:val="295B01BA"/>
    <w:rsid w:val="29804E7F"/>
    <w:rsid w:val="299A22A0"/>
    <w:rsid w:val="299B130F"/>
    <w:rsid w:val="29A22F02"/>
    <w:rsid w:val="29D357B2"/>
    <w:rsid w:val="29F545C8"/>
    <w:rsid w:val="2A3B60E3"/>
    <w:rsid w:val="2A6B66A5"/>
    <w:rsid w:val="2A8962DA"/>
    <w:rsid w:val="2A9E289C"/>
    <w:rsid w:val="2AD4533E"/>
    <w:rsid w:val="2B5E72FD"/>
    <w:rsid w:val="2B6A1B7F"/>
    <w:rsid w:val="2B7D1E25"/>
    <w:rsid w:val="2B82123D"/>
    <w:rsid w:val="2BE124D6"/>
    <w:rsid w:val="2C245EB1"/>
    <w:rsid w:val="2C2C04BF"/>
    <w:rsid w:val="2C2D2A07"/>
    <w:rsid w:val="2C532DA0"/>
    <w:rsid w:val="2C57797E"/>
    <w:rsid w:val="2CA86A82"/>
    <w:rsid w:val="2CB371D5"/>
    <w:rsid w:val="2CB85964"/>
    <w:rsid w:val="2CBC42DB"/>
    <w:rsid w:val="2D0D5D1F"/>
    <w:rsid w:val="2D12214D"/>
    <w:rsid w:val="2D5E2035"/>
    <w:rsid w:val="2D864873"/>
    <w:rsid w:val="2DA96B06"/>
    <w:rsid w:val="2E051E23"/>
    <w:rsid w:val="2EAB351A"/>
    <w:rsid w:val="2ED008F1"/>
    <w:rsid w:val="2EE1627B"/>
    <w:rsid w:val="2F221578"/>
    <w:rsid w:val="2F3276C7"/>
    <w:rsid w:val="2F656EAC"/>
    <w:rsid w:val="2F875DDB"/>
    <w:rsid w:val="2FB87DF2"/>
    <w:rsid w:val="30007685"/>
    <w:rsid w:val="300F4902"/>
    <w:rsid w:val="303A64D0"/>
    <w:rsid w:val="303B4255"/>
    <w:rsid w:val="30427C69"/>
    <w:rsid w:val="30A0509E"/>
    <w:rsid w:val="30D065A7"/>
    <w:rsid w:val="311B06F3"/>
    <w:rsid w:val="31480833"/>
    <w:rsid w:val="317909ED"/>
    <w:rsid w:val="31D10739"/>
    <w:rsid w:val="31D42564"/>
    <w:rsid w:val="31E5110E"/>
    <w:rsid w:val="31FA476A"/>
    <w:rsid w:val="32101599"/>
    <w:rsid w:val="3240775C"/>
    <w:rsid w:val="32827D75"/>
    <w:rsid w:val="32C510AF"/>
    <w:rsid w:val="32D911D9"/>
    <w:rsid w:val="32DF7819"/>
    <w:rsid w:val="33207934"/>
    <w:rsid w:val="3328400E"/>
    <w:rsid w:val="339B7340"/>
    <w:rsid w:val="33B273BE"/>
    <w:rsid w:val="33D60378"/>
    <w:rsid w:val="33EB1F16"/>
    <w:rsid w:val="34024CC3"/>
    <w:rsid w:val="346F257B"/>
    <w:rsid w:val="34967B08"/>
    <w:rsid w:val="349A316D"/>
    <w:rsid w:val="34B57D75"/>
    <w:rsid w:val="34B63D06"/>
    <w:rsid w:val="34F95019"/>
    <w:rsid w:val="35123632"/>
    <w:rsid w:val="35132F06"/>
    <w:rsid w:val="35192EC2"/>
    <w:rsid w:val="35306BDB"/>
    <w:rsid w:val="354E3F3E"/>
    <w:rsid w:val="357C7AC2"/>
    <w:rsid w:val="359B22B4"/>
    <w:rsid w:val="35C66E2C"/>
    <w:rsid w:val="35E11256"/>
    <w:rsid w:val="35E83F05"/>
    <w:rsid w:val="35FF348B"/>
    <w:rsid w:val="36015455"/>
    <w:rsid w:val="361F7548"/>
    <w:rsid w:val="363E00C4"/>
    <w:rsid w:val="369B31B3"/>
    <w:rsid w:val="36C95F72"/>
    <w:rsid w:val="371F5B92"/>
    <w:rsid w:val="375717D0"/>
    <w:rsid w:val="37692CB0"/>
    <w:rsid w:val="37773C20"/>
    <w:rsid w:val="377E2B92"/>
    <w:rsid w:val="37F44BF3"/>
    <w:rsid w:val="38421C16"/>
    <w:rsid w:val="389605BE"/>
    <w:rsid w:val="38FD49CD"/>
    <w:rsid w:val="39363AEB"/>
    <w:rsid w:val="397330FD"/>
    <w:rsid w:val="39827A59"/>
    <w:rsid w:val="39932267"/>
    <w:rsid w:val="399D4784"/>
    <w:rsid w:val="399F2FBB"/>
    <w:rsid w:val="39B20F40"/>
    <w:rsid w:val="39ED7FCB"/>
    <w:rsid w:val="39F647B9"/>
    <w:rsid w:val="3A811F62"/>
    <w:rsid w:val="3A841EE9"/>
    <w:rsid w:val="3A8D375B"/>
    <w:rsid w:val="3A9F1A72"/>
    <w:rsid w:val="3AC82A1D"/>
    <w:rsid w:val="3ACE216B"/>
    <w:rsid w:val="3AE72E6B"/>
    <w:rsid w:val="3B33742C"/>
    <w:rsid w:val="3B64626A"/>
    <w:rsid w:val="3B7346FF"/>
    <w:rsid w:val="3B7D1841"/>
    <w:rsid w:val="3BA50630"/>
    <w:rsid w:val="3BD333EF"/>
    <w:rsid w:val="3BE60A52"/>
    <w:rsid w:val="3BF740BD"/>
    <w:rsid w:val="3BF75330"/>
    <w:rsid w:val="3C1001A0"/>
    <w:rsid w:val="3C587148"/>
    <w:rsid w:val="3C62791F"/>
    <w:rsid w:val="3C7E3E84"/>
    <w:rsid w:val="3C965237"/>
    <w:rsid w:val="3C9D2485"/>
    <w:rsid w:val="3CFB44C3"/>
    <w:rsid w:val="3D01676D"/>
    <w:rsid w:val="3D121CF5"/>
    <w:rsid w:val="3D2A5291"/>
    <w:rsid w:val="3D434FB2"/>
    <w:rsid w:val="3D6A7D83"/>
    <w:rsid w:val="3D8449A1"/>
    <w:rsid w:val="3D8A2CB0"/>
    <w:rsid w:val="3D8F7591"/>
    <w:rsid w:val="3E272EE8"/>
    <w:rsid w:val="3E344619"/>
    <w:rsid w:val="3E534E03"/>
    <w:rsid w:val="3E864749"/>
    <w:rsid w:val="3E917C19"/>
    <w:rsid w:val="3EBE2135"/>
    <w:rsid w:val="3ED04038"/>
    <w:rsid w:val="3ED656D0"/>
    <w:rsid w:val="3F12422F"/>
    <w:rsid w:val="3F1F4BA2"/>
    <w:rsid w:val="3F383632"/>
    <w:rsid w:val="3F44662B"/>
    <w:rsid w:val="3F453306"/>
    <w:rsid w:val="3F4F0BB8"/>
    <w:rsid w:val="3F566337"/>
    <w:rsid w:val="3F740A45"/>
    <w:rsid w:val="3FAF58B0"/>
    <w:rsid w:val="3FFF47B3"/>
    <w:rsid w:val="40026192"/>
    <w:rsid w:val="400E7546"/>
    <w:rsid w:val="40183119"/>
    <w:rsid w:val="4052477A"/>
    <w:rsid w:val="4052753A"/>
    <w:rsid w:val="40B30B18"/>
    <w:rsid w:val="41315F83"/>
    <w:rsid w:val="413E130B"/>
    <w:rsid w:val="41B7665D"/>
    <w:rsid w:val="422514B1"/>
    <w:rsid w:val="426E79CE"/>
    <w:rsid w:val="42DE4B54"/>
    <w:rsid w:val="43422F5A"/>
    <w:rsid w:val="439416B6"/>
    <w:rsid w:val="4394233B"/>
    <w:rsid w:val="43B35A16"/>
    <w:rsid w:val="43B54059"/>
    <w:rsid w:val="441308E0"/>
    <w:rsid w:val="45074A93"/>
    <w:rsid w:val="45B7128B"/>
    <w:rsid w:val="45C970A0"/>
    <w:rsid w:val="45EA198E"/>
    <w:rsid w:val="461E51EB"/>
    <w:rsid w:val="461F5A77"/>
    <w:rsid w:val="467D28D5"/>
    <w:rsid w:val="46902609"/>
    <w:rsid w:val="46B35164"/>
    <w:rsid w:val="46C430DC"/>
    <w:rsid w:val="46C655DB"/>
    <w:rsid w:val="46CE7860"/>
    <w:rsid w:val="46D1677D"/>
    <w:rsid w:val="47581D7A"/>
    <w:rsid w:val="475F022D"/>
    <w:rsid w:val="47704B50"/>
    <w:rsid w:val="48967C7F"/>
    <w:rsid w:val="48BC3499"/>
    <w:rsid w:val="493F20C4"/>
    <w:rsid w:val="49A3337A"/>
    <w:rsid w:val="49BE0F52"/>
    <w:rsid w:val="4A0A0193"/>
    <w:rsid w:val="4A3D4856"/>
    <w:rsid w:val="4A875AD1"/>
    <w:rsid w:val="4A9D48C2"/>
    <w:rsid w:val="4ABB15CA"/>
    <w:rsid w:val="4ABF5E98"/>
    <w:rsid w:val="4B0E1D4E"/>
    <w:rsid w:val="4BCC5D64"/>
    <w:rsid w:val="4BD50ABE"/>
    <w:rsid w:val="4BE40D01"/>
    <w:rsid w:val="4C363892"/>
    <w:rsid w:val="4C4023DB"/>
    <w:rsid w:val="4C632900"/>
    <w:rsid w:val="4C787DC7"/>
    <w:rsid w:val="4C994B09"/>
    <w:rsid w:val="4CA30BBC"/>
    <w:rsid w:val="4CB041A4"/>
    <w:rsid w:val="4CB9262F"/>
    <w:rsid w:val="4D106251"/>
    <w:rsid w:val="4D1D271C"/>
    <w:rsid w:val="4D3073ED"/>
    <w:rsid w:val="4D824567"/>
    <w:rsid w:val="4DA22C22"/>
    <w:rsid w:val="4DC25072"/>
    <w:rsid w:val="4DDA284D"/>
    <w:rsid w:val="4E600F7F"/>
    <w:rsid w:val="4E81248E"/>
    <w:rsid w:val="4E946A0E"/>
    <w:rsid w:val="4ECB579F"/>
    <w:rsid w:val="4ED32A15"/>
    <w:rsid w:val="4EFE20DA"/>
    <w:rsid w:val="4F136BAF"/>
    <w:rsid w:val="4F5C39D0"/>
    <w:rsid w:val="4F786330"/>
    <w:rsid w:val="4FA9337C"/>
    <w:rsid w:val="501F67AB"/>
    <w:rsid w:val="50852AB2"/>
    <w:rsid w:val="50B9275C"/>
    <w:rsid w:val="50D47596"/>
    <w:rsid w:val="50D7576C"/>
    <w:rsid w:val="50F15594"/>
    <w:rsid w:val="51000915"/>
    <w:rsid w:val="51025EB1"/>
    <w:rsid w:val="51A451BA"/>
    <w:rsid w:val="51A93D45"/>
    <w:rsid w:val="51D860AE"/>
    <w:rsid w:val="52313BAC"/>
    <w:rsid w:val="5245699D"/>
    <w:rsid w:val="527A416D"/>
    <w:rsid w:val="52B15DE1"/>
    <w:rsid w:val="52C00AB5"/>
    <w:rsid w:val="52CD6993"/>
    <w:rsid w:val="52D32C59"/>
    <w:rsid w:val="52D33227"/>
    <w:rsid w:val="52D7336D"/>
    <w:rsid w:val="52ED493F"/>
    <w:rsid w:val="53516268"/>
    <w:rsid w:val="53BA6F17"/>
    <w:rsid w:val="53C94501"/>
    <w:rsid w:val="54942314"/>
    <w:rsid w:val="54A315F0"/>
    <w:rsid w:val="5511264E"/>
    <w:rsid w:val="551F080C"/>
    <w:rsid w:val="557D01FC"/>
    <w:rsid w:val="558649E9"/>
    <w:rsid w:val="559938DE"/>
    <w:rsid w:val="559B757A"/>
    <w:rsid w:val="55B21658"/>
    <w:rsid w:val="55D94264"/>
    <w:rsid w:val="560222CE"/>
    <w:rsid w:val="560A3E85"/>
    <w:rsid w:val="561E35DE"/>
    <w:rsid w:val="56423283"/>
    <w:rsid w:val="56C47F55"/>
    <w:rsid w:val="57127095"/>
    <w:rsid w:val="571B5E1C"/>
    <w:rsid w:val="57211FE5"/>
    <w:rsid w:val="572253C2"/>
    <w:rsid w:val="5761200D"/>
    <w:rsid w:val="57DB56AE"/>
    <w:rsid w:val="57E75E01"/>
    <w:rsid w:val="582B597E"/>
    <w:rsid w:val="58617A76"/>
    <w:rsid w:val="586B76C2"/>
    <w:rsid w:val="587F428B"/>
    <w:rsid w:val="58811A8E"/>
    <w:rsid w:val="588A18E5"/>
    <w:rsid w:val="589A10C5"/>
    <w:rsid w:val="58A255C2"/>
    <w:rsid w:val="59154BEF"/>
    <w:rsid w:val="591D1B7F"/>
    <w:rsid w:val="592C090B"/>
    <w:rsid w:val="594B1686"/>
    <w:rsid w:val="594F2C78"/>
    <w:rsid w:val="59B57AB7"/>
    <w:rsid w:val="5A113609"/>
    <w:rsid w:val="5A124512"/>
    <w:rsid w:val="5A3D61AC"/>
    <w:rsid w:val="5A6869FE"/>
    <w:rsid w:val="5A6E0904"/>
    <w:rsid w:val="5ACC3D2E"/>
    <w:rsid w:val="5ACF1CCE"/>
    <w:rsid w:val="5AD61C4C"/>
    <w:rsid w:val="5AE55F8A"/>
    <w:rsid w:val="5AF56478"/>
    <w:rsid w:val="5B063489"/>
    <w:rsid w:val="5B196FF7"/>
    <w:rsid w:val="5B2630E4"/>
    <w:rsid w:val="5B7A6F8C"/>
    <w:rsid w:val="5B852845"/>
    <w:rsid w:val="5B8D3163"/>
    <w:rsid w:val="5BCB45A3"/>
    <w:rsid w:val="5BF226BA"/>
    <w:rsid w:val="5C084598"/>
    <w:rsid w:val="5C2A6C04"/>
    <w:rsid w:val="5C2D0A9F"/>
    <w:rsid w:val="5C78171D"/>
    <w:rsid w:val="5C986C68"/>
    <w:rsid w:val="5CCB4C52"/>
    <w:rsid w:val="5CD235A2"/>
    <w:rsid w:val="5D1256CE"/>
    <w:rsid w:val="5EB629D1"/>
    <w:rsid w:val="5ED43404"/>
    <w:rsid w:val="5F28567D"/>
    <w:rsid w:val="5F5A15AE"/>
    <w:rsid w:val="5F7563E8"/>
    <w:rsid w:val="5FF056FD"/>
    <w:rsid w:val="6025390F"/>
    <w:rsid w:val="602A730A"/>
    <w:rsid w:val="604A0FC0"/>
    <w:rsid w:val="6062071A"/>
    <w:rsid w:val="60833A36"/>
    <w:rsid w:val="609E54CA"/>
    <w:rsid w:val="60B60A66"/>
    <w:rsid w:val="60FF065F"/>
    <w:rsid w:val="614348BF"/>
    <w:rsid w:val="61E909C7"/>
    <w:rsid w:val="627712AF"/>
    <w:rsid w:val="628F77C1"/>
    <w:rsid w:val="629372B1"/>
    <w:rsid w:val="631906FD"/>
    <w:rsid w:val="632E4810"/>
    <w:rsid w:val="638D7E1B"/>
    <w:rsid w:val="63E33020"/>
    <w:rsid w:val="63F313D6"/>
    <w:rsid w:val="641F4B74"/>
    <w:rsid w:val="64300B2F"/>
    <w:rsid w:val="64493877"/>
    <w:rsid w:val="644A7E43"/>
    <w:rsid w:val="644B29EB"/>
    <w:rsid w:val="64C21A65"/>
    <w:rsid w:val="64D2036D"/>
    <w:rsid w:val="6503311C"/>
    <w:rsid w:val="651641C9"/>
    <w:rsid w:val="651D7CFA"/>
    <w:rsid w:val="656D7047"/>
    <w:rsid w:val="65943DCC"/>
    <w:rsid w:val="663B51E8"/>
    <w:rsid w:val="6645502F"/>
    <w:rsid w:val="66592A75"/>
    <w:rsid w:val="66B33C62"/>
    <w:rsid w:val="66CB34B0"/>
    <w:rsid w:val="66CE552F"/>
    <w:rsid w:val="66F978FF"/>
    <w:rsid w:val="67005A4F"/>
    <w:rsid w:val="67010C05"/>
    <w:rsid w:val="674C0908"/>
    <w:rsid w:val="674F1B70"/>
    <w:rsid w:val="67607CDE"/>
    <w:rsid w:val="67795450"/>
    <w:rsid w:val="67987117"/>
    <w:rsid w:val="67BA0013"/>
    <w:rsid w:val="67C33BC0"/>
    <w:rsid w:val="67EC3E4F"/>
    <w:rsid w:val="67FA392E"/>
    <w:rsid w:val="68033EFF"/>
    <w:rsid w:val="6874548F"/>
    <w:rsid w:val="687F5F93"/>
    <w:rsid w:val="68A91643"/>
    <w:rsid w:val="68B95597"/>
    <w:rsid w:val="68EB43EC"/>
    <w:rsid w:val="68F41F57"/>
    <w:rsid w:val="69054339"/>
    <w:rsid w:val="6914022D"/>
    <w:rsid w:val="696C260A"/>
    <w:rsid w:val="699851AD"/>
    <w:rsid w:val="699B2EEF"/>
    <w:rsid w:val="699D6C67"/>
    <w:rsid w:val="69B84EDC"/>
    <w:rsid w:val="6A0339D1"/>
    <w:rsid w:val="6A2151A2"/>
    <w:rsid w:val="6A5A284A"/>
    <w:rsid w:val="6ACC771E"/>
    <w:rsid w:val="6AE727FB"/>
    <w:rsid w:val="6B476A1E"/>
    <w:rsid w:val="6B4C44A1"/>
    <w:rsid w:val="6B755743"/>
    <w:rsid w:val="6BAA7419"/>
    <w:rsid w:val="6BE248E5"/>
    <w:rsid w:val="6C021003"/>
    <w:rsid w:val="6C1F1BB5"/>
    <w:rsid w:val="6C540873"/>
    <w:rsid w:val="6C6F1216"/>
    <w:rsid w:val="6C9A56E0"/>
    <w:rsid w:val="6CA82785"/>
    <w:rsid w:val="6CB20E55"/>
    <w:rsid w:val="6CE85848"/>
    <w:rsid w:val="6D15191A"/>
    <w:rsid w:val="6D3A6CB4"/>
    <w:rsid w:val="6D6B4986"/>
    <w:rsid w:val="6DEA61F3"/>
    <w:rsid w:val="6DFC5FDF"/>
    <w:rsid w:val="6E0D2F46"/>
    <w:rsid w:val="6E3D6323"/>
    <w:rsid w:val="6E9E40AE"/>
    <w:rsid w:val="6EA97E5C"/>
    <w:rsid w:val="6ECC5FE7"/>
    <w:rsid w:val="6EDB6140"/>
    <w:rsid w:val="6F9E1043"/>
    <w:rsid w:val="6FAD20C5"/>
    <w:rsid w:val="6FB14B95"/>
    <w:rsid w:val="6FBB39A3"/>
    <w:rsid w:val="6FD42CB7"/>
    <w:rsid w:val="70077DE7"/>
    <w:rsid w:val="7029485D"/>
    <w:rsid w:val="70B56644"/>
    <w:rsid w:val="70E84FE8"/>
    <w:rsid w:val="70FC6C75"/>
    <w:rsid w:val="710366B1"/>
    <w:rsid w:val="71CF1988"/>
    <w:rsid w:val="71D13952"/>
    <w:rsid w:val="722021E3"/>
    <w:rsid w:val="723C4321"/>
    <w:rsid w:val="72800ED4"/>
    <w:rsid w:val="72F316A6"/>
    <w:rsid w:val="73284201"/>
    <w:rsid w:val="73612223"/>
    <w:rsid w:val="738467A2"/>
    <w:rsid w:val="73890A15"/>
    <w:rsid w:val="73941822"/>
    <w:rsid w:val="739B7DBF"/>
    <w:rsid w:val="73A85115"/>
    <w:rsid w:val="73BA21C4"/>
    <w:rsid w:val="73C3551C"/>
    <w:rsid w:val="74303CED"/>
    <w:rsid w:val="745829FA"/>
    <w:rsid w:val="745E6FF3"/>
    <w:rsid w:val="74650381"/>
    <w:rsid w:val="74687C74"/>
    <w:rsid w:val="7478586B"/>
    <w:rsid w:val="7495469E"/>
    <w:rsid w:val="74C72F0F"/>
    <w:rsid w:val="74F62301"/>
    <w:rsid w:val="7518696C"/>
    <w:rsid w:val="75457C9F"/>
    <w:rsid w:val="755747C3"/>
    <w:rsid w:val="758A0127"/>
    <w:rsid w:val="758B0767"/>
    <w:rsid w:val="75B275F6"/>
    <w:rsid w:val="761422CC"/>
    <w:rsid w:val="76224CCF"/>
    <w:rsid w:val="762F6E99"/>
    <w:rsid w:val="76530DD9"/>
    <w:rsid w:val="770B16B4"/>
    <w:rsid w:val="770E4B54"/>
    <w:rsid w:val="772E7150"/>
    <w:rsid w:val="77A15B74"/>
    <w:rsid w:val="77A86F03"/>
    <w:rsid w:val="77F0668A"/>
    <w:rsid w:val="785045C8"/>
    <w:rsid w:val="789456D9"/>
    <w:rsid w:val="79020895"/>
    <w:rsid w:val="79110AD8"/>
    <w:rsid w:val="791A1FD1"/>
    <w:rsid w:val="791A5BDE"/>
    <w:rsid w:val="79294073"/>
    <w:rsid w:val="79AE6381"/>
    <w:rsid w:val="79F210B8"/>
    <w:rsid w:val="7AA535EF"/>
    <w:rsid w:val="7B2B0079"/>
    <w:rsid w:val="7B4C4049"/>
    <w:rsid w:val="7B4C6C5F"/>
    <w:rsid w:val="7B590514"/>
    <w:rsid w:val="7B5F2B22"/>
    <w:rsid w:val="7B833D31"/>
    <w:rsid w:val="7BAC2D3A"/>
    <w:rsid w:val="7BC71BE8"/>
    <w:rsid w:val="7BCE7F00"/>
    <w:rsid w:val="7BEE3352"/>
    <w:rsid w:val="7C0E12FE"/>
    <w:rsid w:val="7C213CD7"/>
    <w:rsid w:val="7C2F624D"/>
    <w:rsid w:val="7C6A15B3"/>
    <w:rsid w:val="7CFA01CB"/>
    <w:rsid w:val="7D2E5D91"/>
    <w:rsid w:val="7D7F5C5C"/>
    <w:rsid w:val="7DA55C93"/>
    <w:rsid w:val="7DCD5C31"/>
    <w:rsid w:val="7E4D2CFE"/>
    <w:rsid w:val="7E741677"/>
    <w:rsid w:val="7E8D404B"/>
    <w:rsid w:val="7E930C1E"/>
    <w:rsid w:val="7F46479C"/>
    <w:rsid w:val="7F6364A4"/>
    <w:rsid w:val="7FA75CF2"/>
    <w:rsid w:val="7FB7473A"/>
    <w:rsid w:val="7FF54C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9">
    <w:name w:val="页眉 字符"/>
    <w:basedOn w:val="7"/>
    <w:link w:val="5"/>
    <w:qFormat/>
    <w:uiPriority w:val="99"/>
    <w:rPr>
      <w:sz w:val="18"/>
      <w:szCs w:val="18"/>
    </w:rPr>
  </w:style>
  <w:style w:type="character" w:customStyle="1" w:styleId="10">
    <w:name w:val="页脚 字符"/>
    <w:basedOn w:val="7"/>
    <w:link w:val="4"/>
    <w:qFormat/>
    <w:uiPriority w:val="99"/>
    <w:rPr>
      <w:sz w:val="18"/>
      <w:szCs w:val="18"/>
    </w:rPr>
  </w:style>
  <w:style w:type="character" w:customStyle="1" w:styleId="11">
    <w:name w:val="row_tree_level_3"/>
    <w:basedOn w:val="7"/>
    <w:qFormat/>
    <w:uiPriority w:val="0"/>
  </w:style>
  <w:style w:type="character" w:customStyle="1" w:styleId="12">
    <w:name w:val="row_tree_level_4"/>
    <w:basedOn w:val="7"/>
    <w:qFormat/>
    <w:uiPriority w:val="0"/>
  </w:style>
  <w:style w:type="paragraph" w:customStyle="1" w:styleId="13">
    <w:name w:val="p0"/>
    <w:basedOn w:val="1"/>
    <w:qFormat/>
    <w:uiPriority w:val="0"/>
    <w:pPr>
      <w:widowControl/>
    </w:pPr>
    <w:rPr>
      <w:rFonts w:ascii="Times New Roman" w:hAnsi="Times New Roman" w:eastAsia="宋体" w:cs="Times New Roman"/>
      <w:kern w:val="0"/>
      <w:szCs w:val="21"/>
    </w:rPr>
  </w:style>
  <w:style w:type="character" w:customStyle="1" w:styleId="14">
    <w:name w:val="15"/>
    <w:basedOn w:val="7"/>
    <w:qFormat/>
    <w:uiPriority w:val="0"/>
    <w:rPr>
      <w:rFonts w:hint="default" w:ascii="Times New Roman" w:hAnsi="Times New Roman" w:cs="Times New Roman"/>
      <w:sz w:val="20"/>
      <w:szCs w:val="20"/>
    </w:rPr>
  </w:style>
  <w:style w:type="character" w:customStyle="1" w:styleId="15">
    <w:name w:val="font01"/>
    <w:basedOn w:val="7"/>
    <w:qFormat/>
    <w:uiPriority w:val="0"/>
    <w:rPr>
      <w:rFonts w:hint="eastAsia" w:ascii="等线" w:hAnsi="等线" w:eastAsia="等线" w:cs="等线"/>
      <w:color w:val="000000"/>
      <w:sz w:val="22"/>
      <w:szCs w:val="22"/>
      <w:u w:val="none"/>
    </w:rPr>
  </w:style>
  <w:style w:type="paragraph" w:customStyle="1" w:styleId="16">
    <w:name w:val="标题 方正小标宋 二号 不加粗"/>
    <w:basedOn w:val="1"/>
    <w:qFormat/>
    <w:uiPriority w:val="0"/>
    <w:pPr>
      <w:spacing w:line="660" w:lineRule="exact"/>
      <w:ind w:firstLine="0" w:firstLineChars="0"/>
      <w:jc w:val="center"/>
    </w:pPr>
    <w:rPr>
      <w:rFonts w:hint="eastAsia" w:ascii="方正小标宋简体" w:hAnsi="方正小标宋简体" w:eastAsia="方正小标宋简体" w:cs="方正小标宋简体"/>
      <w:sz w:val="44"/>
      <w:szCs w:val="44"/>
    </w:rPr>
  </w:style>
  <w:style w:type="paragraph" w:customStyle="1" w:styleId="17">
    <w:name w:val="一级标题 黑体三号不加粗"/>
    <w:basedOn w:val="1"/>
    <w:next w:val="1"/>
    <w:qFormat/>
    <w:uiPriority w:val="0"/>
    <w:pPr>
      <w:keepNext/>
      <w:keepLines/>
      <w:numPr>
        <w:ilvl w:val="0"/>
        <w:numId w:val="1"/>
      </w:numPr>
      <w:spacing w:line="600" w:lineRule="exact"/>
      <w:ind w:firstLine="723" w:firstLineChars="200"/>
      <w:outlineLvl w:val="0"/>
    </w:pPr>
    <w:rPr>
      <w:rFonts w:ascii="黑体" w:hAnsi="黑体" w:eastAsia="黑体"/>
      <w:kern w:val="44"/>
      <w:sz w:val="32"/>
      <w:szCs w:val="32"/>
    </w:rPr>
  </w:style>
  <w:style w:type="paragraph" w:customStyle="1" w:styleId="18">
    <w:name w:val="正文 仿宋国标三号 不加粗"/>
    <w:basedOn w:val="1"/>
    <w:qFormat/>
    <w:uiPriority w:val="0"/>
    <w:pPr>
      <w:spacing w:line="600" w:lineRule="exact"/>
      <w:ind w:firstLine="880" w:firstLineChars="200"/>
    </w:pPr>
    <w:rPr>
      <w:rFonts w:ascii="仿宋_GB2312" w:hAnsi="仿宋_GB2312" w:eastAsia="仿宋_GB2312"/>
      <w:sz w:val="32"/>
      <w:szCs w:val="32"/>
    </w:rPr>
  </w:style>
  <w:style w:type="paragraph" w:customStyle="1" w:styleId="19">
    <w:name w:val="二级标题 楷体国标 三号不加粗"/>
    <w:basedOn w:val="1"/>
    <w:next w:val="1"/>
    <w:qFormat/>
    <w:uiPriority w:val="0"/>
    <w:pPr>
      <w:keepNext/>
      <w:keepLines/>
      <w:numPr>
        <w:ilvl w:val="0"/>
        <w:numId w:val="2"/>
      </w:numPr>
      <w:spacing w:beforeLines="0" w:afterLines="0" w:line="600" w:lineRule="exact"/>
      <w:ind w:firstLine="420" w:firstLineChars="200"/>
      <w:outlineLvl w:val="1"/>
    </w:pPr>
    <w:rPr>
      <w:rFonts w:ascii="楷体_GB2312" w:hAnsi="楷体_GB2312" w:eastAsia="楷体_GB2312"/>
      <w:b/>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3459</Words>
  <Characters>3844</Characters>
  <Lines>47</Lines>
  <Paragraphs>13</Paragraphs>
  <TotalTime>0</TotalTime>
  <ScaleCrop>false</ScaleCrop>
  <LinksUpToDate>false</LinksUpToDate>
  <CharactersWithSpaces>3884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2025-12-18T11:22:00Z</dcterms:created>
  <dc:creator>NTKO</dc:creator>
  <cp:lastModifiedBy>是例外吧</cp:lastModifiedBy>
  <dcterms:modified xsi:type="dcterms:W3CDTF">2026-03-13T09:35:36Z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AADC4CD4D6D24D54B222D73A06BB8BBA_13</vt:lpwstr>
  </property>
  <property fmtid="{D5CDD505-2E9C-101B-9397-08002B2CF9AE}" pid="3" name="KSOProductBuildVer">
    <vt:lpwstr>2052-12.1.0.25225</vt:lpwstr>
  </property>
  <property fmtid="{D5CDD505-2E9C-101B-9397-08002B2CF9AE}" pid="4" name="KSOTemplateDocerSaveRecord">
    <vt:lpwstr>eyJoZGlkIjoiMGVkNDgyYjA0NGM1MDQyMDhlNjczNzUwY2Y3ZDU4NzYiLCJ1c2VySWQiOiIxMzU2MDkyMDUzIn0=</vt:lpwstr>
  </property>
</Properties>
</file>