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color w:val="000000"/>
          <w:kern w:val="0"/>
          <w:sz w:val="44"/>
          <w:szCs w:val="44"/>
          <w:lang w:val="en-US" w:eastAsia="zh-CN"/>
        </w:rPr>
        <w:t>昌江区鲇鱼山镇人民政府</w:t>
      </w:r>
      <w:r>
        <w:rPr>
          <w:rFonts w:hint="eastAsia" w:ascii="方正小标宋简体" w:hAnsi="方正小标宋简体" w:eastAsia="方正小标宋简体" w:cs="方正小标宋简体"/>
          <w:b w:val="0"/>
          <w:bCs w:val="0"/>
          <w:color w:val="000000"/>
          <w:kern w:val="0"/>
          <w:sz w:val="44"/>
          <w:szCs w:val="44"/>
          <w:lang w:eastAsia="zh-CN"/>
        </w:rPr>
        <w:t>202</w:t>
      </w:r>
      <w:r>
        <w:rPr>
          <w:rFonts w:hint="eastAsia" w:ascii="方正小标宋简体" w:hAnsi="方正小标宋简体" w:eastAsia="方正小标宋简体" w:cs="方正小标宋简体"/>
          <w:b w:val="0"/>
          <w:bCs w:val="0"/>
          <w:color w:val="000000"/>
          <w:kern w:val="0"/>
          <w:sz w:val="44"/>
          <w:szCs w:val="44"/>
          <w:lang w:val="en-US" w:eastAsia="zh-CN"/>
        </w:rPr>
        <w:t>5</w:t>
      </w:r>
      <w:r>
        <w:rPr>
          <w:rFonts w:hint="eastAsia" w:ascii="方正小标宋简体" w:hAnsi="方正小标宋简体" w:eastAsia="方正小标宋简体" w:cs="方正小标宋简体"/>
          <w:b w:val="0"/>
          <w:bCs w:val="0"/>
          <w:color w:val="000000"/>
          <w:kern w:val="0"/>
          <w:sz w:val="44"/>
          <w:szCs w:val="44"/>
        </w:rPr>
        <w:t>年部门预算</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rPr>
      </w:pPr>
    </w:p>
    <w:p>
      <w:pPr>
        <w:pStyle w:val="12"/>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黑体" w:hAnsi="黑体" w:eastAsia="黑体"/>
          <w:color w:val="000000"/>
          <w:sz w:val="32"/>
          <w:szCs w:val="32"/>
        </w:rPr>
      </w:pPr>
      <w:r>
        <w:rPr>
          <w:rFonts w:hint="eastAsia" w:ascii="黑体" w:hAnsi="黑体" w:eastAsia="黑体"/>
          <w:color w:val="000000"/>
          <w:sz w:val="32"/>
          <w:szCs w:val="32"/>
        </w:rPr>
        <w:t>目    录</w:t>
      </w:r>
    </w:p>
    <w:p>
      <w:pPr>
        <w:pStyle w:val="12"/>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olor w:val="000000"/>
          <w:sz w:val="32"/>
          <w:szCs w:val="32"/>
        </w:rPr>
      </w:pP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ascii="仿宋_GB2312" w:eastAsia="仿宋_GB2312"/>
          <w:b/>
          <w:bCs/>
          <w:color w:val="000000"/>
          <w:sz w:val="32"/>
          <w:szCs w:val="32"/>
        </w:rPr>
      </w:pPr>
      <w:r>
        <w:rPr>
          <w:rFonts w:hint="eastAsia" w:ascii="黑体" w:hAnsi="黑体" w:eastAsia="黑体" w:cs="黑体"/>
          <w:b/>
          <w:bCs/>
          <w:color w:val="000000"/>
          <w:sz w:val="32"/>
          <w:szCs w:val="32"/>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rPr>
        <w:t>概况</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一、部门主要职责</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二、机构设置及人员情况</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w:t>
      </w:r>
      <w:r>
        <w:rPr>
          <w:rFonts w:hint="eastAsia" w:ascii="黑体" w:hAnsi="黑体" w:eastAsia="黑体" w:cs="黑体"/>
          <w:b/>
          <w:bCs/>
          <w:color w:val="000000"/>
          <w:sz w:val="32"/>
          <w:szCs w:val="32"/>
          <w:lang w:val="en-US" w:eastAsia="zh-CN"/>
        </w:rPr>
        <w:t>二</w:t>
      </w:r>
      <w:r>
        <w:rPr>
          <w:rFonts w:hint="eastAsia" w:ascii="黑体" w:hAnsi="黑体" w:eastAsia="黑体" w:cs="黑体"/>
          <w:b/>
          <w:bCs/>
          <w:color w:val="000000"/>
          <w:sz w:val="32"/>
          <w:szCs w:val="32"/>
        </w:rPr>
        <w:t>部分</w:t>
      </w:r>
      <w:r>
        <w:rPr>
          <w:rFonts w:hint="eastAsia" w:ascii="黑体" w:hAnsi="黑体" w:eastAsia="黑体" w:cs="黑体"/>
          <w:b/>
          <w:bCs/>
          <w:color w:val="000000"/>
          <w:sz w:val="32"/>
          <w:szCs w:val="32"/>
          <w:lang w:val="en-US" w:eastAsia="zh-CN"/>
        </w:rPr>
        <w:t xml:space="preserve"> </w:t>
      </w:r>
      <w:r>
        <w:rPr>
          <w:rFonts w:hint="eastAsia" w:ascii="黑体" w:hAnsi="黑体" w:eastAsia="黑体" w:cs="黑体"/>
          <w:b/>
          <w:bCs/>
          <w:color w:val="000000"/>
          <w:sz w:val="32"/>
          <w:szCs w:val="32"/>
        </w:rPr>
        <w:t xml:space="preserve">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5</w:t>
      </w:r>
      <w:r>
        <w:rPr>
          <w:rFonts w:hint="eastAsia" w:ascii="黑体" w:hAnsi="黑体" w:eastAsia="黑体" w:cs="黑体"/>
          <w:b/>
          <w:bCs/>
          <w:color w:val="000000"/>
          <w:sz w:val="32"/>
          <w:szCs w:val="32"/>
        </w:rPr>
        <w:t>年部门预算表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一、《收支预算总表》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二、《部门收入总表》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三、《部门支出总表》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四、《财政拨款收支总表》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五、《一般公共预算支出表》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六、《一般公共预算基本支出表》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七、《财政拨款“三公”经费支出表》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八、《政府性基金预算支出表》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九、《国有资本经营预算支出表》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十、《部门整体支出绩效目标表》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十一、《项目绩效目标表》</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w:t>
      </w:r>
      <w:r>
        <w:rPr>
          <w:rFonts w:hint="eastAsia" w:ascii="黑体" w:hAnsi="黑体" w:eastAsia="黑体" w:cs="黑体"/>
          <w:b/>
          <w:bCs/>
          <w:color w:val="000000"/>
          <w:sz w:val="32"/>
          <w:szCs w:val="32"/>
          <w:lang w:val="en-US" w:eastAsia="zh-CN"/>
        </w:rPr>
        <w:t>三</w:t>
      </w:r>
      <w:r>
        <w:rPr>
          <w:rFonts w:hint="eastAsia" w:ascii="黑体" w:hAnsi="黑体" w:eastAsia="黑体" w:cs="黑体"/>
          <w:b/>
          <w:bCs/>
          <w:color w:val="000000"/>
          <w:sz w:val="32"/>
          <w:szCs w:val="32"/>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5</w:t>
      </w:r>
      <w:r>
        <w:rPr>
          <w:rFonts w:hint="eastAsia" w:ascii="黑体" w:hAnsi="黑体" w:eastAsia="黑体" w:cs="黑体"/>
          <w:b/>
          <w:bCs/>
          <w:color w:val="000000"/>
          <w:sz w:val="32"/>
          <w:szCs w:val="32"/>
        </w:rPr>
        <w:t>年部门预算情况说明</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w:t>
      </w:r>
      <w:r>
        <w:rPr>
          <w:rFonts w:hint="eastAsia" w:ascii="仿宋_GB2312" w:hAnsi="仿宋_GB2312" w:eastAsia="仿宋_GB2312" w:cs="仿宋_GB2312"/>
          <w:kern w:val="2"/>
          <w:sz w:val="32"/>
          <w:szCs w:val="30"/>
          <w:lang w:eastAsia="zh-CN"/>
        </w:rPr>
        <w:t>202</w:t>
      </w:r>
      <w:r>
        <w:rPr>
          <w:rFonts w:hint="eastAsia" w:ascii="仿宋_GB2312" w:hAnsi="仿宋_GB2312" w:eastAsia="仿宋_GB2312" w:cs="仿宋_GB2312"/>
          <w:kern w:val="2"/>
          <w:sz w:val="32"/>
          <w:szCs w:val="30"/>
          <w:lang w:val="en-US" w:eastAsia="zh-CN"/>
        </w:rPr>
        <w:t>5</w:t>
      </w:r>
      <w:r>
        <w:rPr>
          <w:rFonts w:hint="eastAsia" w:ascii="仿宋_GB2312" w:hAnsi="仿宋_GB2312" w:eastAsia="仿宋_GB2312" w:cs="仿宋_GB2312"/>
          <w:kern w:val="2"/>
          <w:sz w:val="32"/>
          <w:szCs w:val="30"/>
        </w:rPr>
        <w:t>年部门预算收支情况说明</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w:t>
      </w:r>
      <w:r>
        <w:rPr>
          <w:rFonts w:hint="eastAsia" w:ascii="仿宋_GB2312" w:hAnsi="仿宋_GB2312" w:eastAsia="仿宋_GB2312" w:cs="仿宋_GB2312"/>
          <w:kern w:val="2"/>
          <w:sz w:val="32"/>
          <w:szCs w:val="30"/>
          <w:lang w:eastAsia="zh-CN"/>
        </w:rPr>
        <w:t>202</w:t>
      </w:r>
      <w:r>
        <w:rPr>
          <w:rFonts w:hint="eastAsia" w:ascii="仿宋_GB2312" w:hAnsi="仿宋_GB2312" w:eastAsia="仿宋_GB2312" w:cs="仿宋_GB2312"/>
          <w:kern w:val="2"/>
          <w:sz w:val="32"/>
          <w:szCs w:val="30"/>
          <w:lang w:val="en-US" w:eastAsia="zh-CN"/>
        </w:rPr>
        <w:t>5</w:t>
      </w:r>
      <w:r>
        <w:rPr>
          <w:rFonts w:hint="eastAsia" w:ascii="仿宋_GB2312" w:hAnsi="仿宋_GB2312" w:eastAsia="仿宋_GB2312" w:cs="仿宋_GB2312"/>
          <w:kern w:val="2"/>
          <w:sz w:val="32"/>
          <w:szCs w:val="30"/>
        </w:rPr>
        <w:t>年“三公”经费预算情况说明</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第四部分  名词解释</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rPr>
        <w:t>概况</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Theme="minorEastAsia" w:hAnsiTheme="minorEastAsia"/>
          <w:b/>
          <w:sz w:val="36"/>
          <w:szCs w:val="36"/>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Theme="minorEastAsia" w:hAnsiTheme="minorEastAsia"/>
          <w:b/>
          <w:sz w:val="36"/>
          <w:szCs w:val="36"/>
        </w:rPr>
      </w:pPr>
      <w:r>
        <w:rPr>
          <w:rFonts w:hint="eastAsia" w:ascii="黑体" w:hAnsi="黑体" w:eastAsia="黑体" w:cs="黑体"/>
          <w:b/>
          <w:sz w:val="32"/>
          <w:szCs w:val="32"/>
        </w:rPr>
        <w:t>一、部门主要职责</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主要职责是：</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1.加强党的建设。落实基层党建工作责任制，严格抓好基层党组织建设各项制度，统筹抓好基层党建工作。推进全面从严治党，强化“两个责任”，全面落实农村基层党支部“五化”建设，全面加强农村基层宣传思想文化工作，强化党建引领基层治理，进一步增强党在基层的政治领导力、思想引领力、群众组织力、社会号召力。</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2.加强公共管理。推进区域发展，全面实施乡</w:t>
      </w:r>
      <w:bookmarkStart w:id="0" w:name="_GoBack"/>
      <w:bookmarkEnd w:id="0"/>
      <w:r>
        <w:rPr>
          <w:rFonts w:hint="eastAsia" w:ascii="仿宋_GB2312" w:hAnsi="仿宋" w:eastAsia="仿宋_GB2312" w:cs="Times New Roman"/>
          <w:sz w:val="32"/>
          <w:szCs w:val="32"/>
          <w:highlight w:val="none"/>
          <w:lang w:val="en-US" w:eastAsia="zh-CN"/>
        </w:rPr>
        <w:t>村振兴战略，统筹落实辖区发展的重大决策和建设规划。实施综合管理，组织、领导、推进、协调辖区内镇村管理、人口管理、社会管理、经济发展、综合执法、市场监管、公共服务、生态环境保护等工作。领导基层自治工作，健全完善自治为基、法治为本、德治为先的基层治理体系。</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3.加强公共安全。负责辖区公共安全及安全生产监管，构建公共安全防控体系，建立应对突发紧急事件的处理预案，做好安全生产、防汛、防火、防疫、气象灾害防御、食品药品安全等应急管理工作。承担辖区社会治安综合治理工作，健全多元纠纷解决机制，综合发挥人民调解、行政调解和司法调解的作用，及时化解辖区社会矛盾，确保社会稳定。</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4.加强公共服务。组织实施与群众生活密切相关的各项公共服务，落实人力资源和社会保障、民政、退役军人、教育、文化、体育、卫生健康等方面相关政策。拓宽服务渠道，改进服务方式，建立健全群众办事一次办结机制。推进镇村两级便民服务平台标准化建设，落实审批服务“三集中三到位”改革，深化“一窗受理、集成服务”改革，提升群众获得感和幸福感。</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5.贯彻执行相关法律法规，落实党和国家的方针、政策，承担上级交办的其他事项。</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b/>
          <w:sz w:val="36"/>
          <w:szCs w:val="36"/>
        </w:rPr>
      </w:pPr>
      <w:r>
        <w:rPr>
          <w:rFonts w:hint="eastAsia" w:ascii="黑体" w:hAnsi="黑体" w:eastAsia="黑体" w:cs="黑体"/>
          <w:b/>
          <w:sz w:val="32"/>
          <w:szCs w:val="32"/>
        </w:rPr>
        <w:t>二、机构设置及人员情况</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default" w:ascii="仿宋_GB2312" w:hAnsi="仿宋" w:eastAsia="仿宋_GB2312" w:cs="Times New Roman"/>
          <w:sz w:val="32"/>
          <w:szCs w:val="32"/>
          <w:highlight w:val="none"/>
          <w:lang w:val="en-US" w:eastAsia="zh-CN"/>
        </w:rPr>
      </w:pPr>
      <w:r>
        <w:rPr>
          <w:rFonts w:hint="eastAsia" w:ascii="仿宋_GB2312" w:hAnsi="仿宋_GB2312" w:eastAsia="仿宋_GB2312" w:cs="仿宋_GB2312"/>
          <w:kern w:val="2"/>
          <w:sz w:val="32"/>
          <w:szCs w:val="30"/>
          <w:lang w:val="en-US" w:eastAsia="zh-CN" w:bidi="ar-SA"/>
        </w:rPr>
        <w:t>2025年</w:t>
      </w:r>
      <w:r>
        <w:rPr>
          <w:rFonts w:hint="eastAsia" w:ascii="仿宋_GB2312" w:hAnsi="仿宋" w:eastAsia="仿宋_GB2312" w:cs="Times New Roman"/>
          <w:sz w:val="32"/>
          <w:szCs w:val="32"/>
          <w:highlight w:val="none"/>
          <w:lang w:val="en-US" w:eastAsia="zh-CN"/>
        </w:rPr>
        <w:t>昌江区鲇鱼山镇人民政府</w:t>
      </w:r>
      <w:r>
        <w:rPr>
          <w:rFonts w:hint="eastAsia" w:ascii="仿宋_GB2312" w:hAnsi="仿宋_GB2312" w:eastAsia="仿宋_GB2312" w:cs="仿宋_GB2312"/>
          <w:kern w:val="2"/>
          <w:sz w:val="32"/>
          <w:szCs w:val="30"/>
          <w:lang w:val="en-US" w:eastAsia="zh-CN" w:bidi="ar-SA"/>
        </w:rPr>
        <w:t>共有预算单位5个，</w:t>
      </w:r>
      <w:r>
        <w:rPr>
          <w:rFonts w:hint="eastAsia" w:ascii="仿宋_GB2312" w:hAnsi="仿宋" w:eastAsia="仿宋_GB2312" w:cs="Times New Roman"/>
          <w:sz w:val="32"/>
          <w:szCs w:val="32"/>
          <w:highlight w:val="none"/>
          <w:lang w:val="en-US" w:eastAsia="zh-CN"/>
        </w:rPr>
        <w:t>分别是经济发展和财政办公室、党政办公室、社会治理办公室、社会事务办公室、农业农村工作办公室。设立2个事业单位，分别是综合行政执法队和便民服务中心。</w:t>
      </w:r>
    </w:p>
    <w:p>
      <w:pPr>
        <w:rPr>
          <w:rFonts w:hint="eastAsia" w:ascii="仿宋_GB2312" w:hAnsi="仿宋_GB2312" w:eastAsia="仿宋_GB2312" w:cs="仿宋_GB2312"/>
          <w:kern w:val="2"/>
          <w:sz w:val="32"/>
          <w:szCs w:val="30"/>
          <w:lang w:val="en-US" w:eastAsia="zh-CN" w:bidi="ar-SA"/>
        </w:rPr>
      </w:pPr>
      <w:r>
        <w:rPr>
          <w:rFonts w:hint="eastAsia" w:ascii="仿宋_GB2312" w:hAnsi="仿宋" w:eastAsia="仿宋_GB2312" w:cs="Times New Roman"/>
          <w:sz w:val="32"/>
          <w:szCs w:val="32"/>
          <w:highlight w:val="none"/>
          <w:lang w:val="en-US" w:eastAsia="zh-CN"/>
        </w:rPr>
        <w:t>2．人员情况：2023年度本单位在职人员51人，其中：行政</w:t>
      </w:r>
      <w:r>
        <w:rPr>
          <w:rFonts w:hint="eastAsia" w:ascii="仿宋_GB2312" w:hAnsi="仿宋_GB2312" w:eastAsia="仿宋_GB2312" w:cs="仿宋_GB2312"/>
          <w:kern w:val="2"/>
          <w:sz w:val="32"/>
          <w:szCs w:val="30"/>
          <w:lang w:val="en-US" w:eastAsia="zh-CN" w:bidi="ar-SA"/>
        </w:rPr>
        <w:t>在职人数</w:t>
      </w:r>
      <w:r>
        <w:rPr>
          <w:rFonts w:hint="eastAsia" w:ascii="仿宋_GB2312" w:hAnsi="仿宋" w:eastAsia="仿宋_GB2312" w:cs="Times New Roman"/>
          <w:sz w:val="32"/>
          <w:szCs w:val="32"/>
          <w:highlight w:val="none"/>
          <w:lang w:val="en-US" w:eastAsia="zh-CN"/>
        </w:rPr>
        <w:t>20人，</w:t>
      </w:r>
      <w:r>
        <w:rPr>
          <w:rFonts w:hint="eastAsia" w:ascii="仿宋_GB2312" w:hAnsi="仿宋_GB2312" w:eastAsia="仿宋_GB2312" w:cs="仿宋_GB2312"/>
          <w:kern w:val="2"/>
          <w:sz w:val="32"/>
          <w:szCs w:val="30"/>
          <w:lang w:val="en-US" w:eastAsia="zh-CN" w:bidi="ar-SA"/>
        </w:rPr>
        <w:t>全部补助事业在职人数</w:t>
      </w:r>
      <w:r>
        <w:rPr>
          <w:rFonts w:hint="eastAsia" w:ascii="仿宋_GB2312" w:hAnsi="仿宋" w:eastAsia="仿宋_GB2312" w:cs="Times New Roman"/>
          <w:sz w:val="32"/>
          <w:szCs w:val="32"/>
          <w:highlight w:val="none"/>
          <w:lang w:val="en-US" w:eastAsia="zh-CN"/>
        </w:rPr>
        <w:t>31人。</w:t>
      </w:r>
      <w:r>
        <w:rPr>
          <w:rFonts w:hint="eastAsia" w:ascii="仿宋_GB2312" w:hAnsi="仿宋_GB2312" w:eastAsia="仿宋_GB2312" w:cs="仿宋_GB2312"/>
          <w:kern w:val="2"/>
          <w:sz w:val="32"/>
          <w:szCs w:val="30"/>
          <w:lang w:val="en-US" w:eastAsia="zh-CN" w:bidi="ar-SA"/>
        </w:rPr>
        <w:t>退休人数小计22人，遗属人数11人。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第</w:t>
      </w:r>
      <w:r>
        <w:rPr>
          <w:rFonts w:hint="eastAsia" w:ascii="方正小标宋简体" w:hAnsi="方正小标宋简体" w:eastAsia="方正小标宋简体" w:cs="方正小标宋简体"/>
          <w:b/>
          <w:sz w:val="32"/>
          <w:szCs w:val="30"/>
          <w:lang w:val="en-US" w:eastAsia="zh-CN"/>
        </w:rPr>
        <w:t>二</w:t>
      </w:r>
      <w:r>
        <w:rPr>
          <w:rFonts w:hint="eastAsia" w:ascii="方正小标宋简体" w:hAnsi="方正小标宋简体" w:eastAsia="方正小标宋简体" w:cs="方正小标宋简体"/>
          <w:b/>
          <w:sz w:val="32"/>
          <w:szCs w:val="30"/>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5</w:t>
      </w:r>
      <w:r>
        <w:rPr>
          <w:rFonts w:hint="eastAsia" w:ascii="方正小标宋简体" w:hAnsi="方正小标宋简体" w:eastAsia="方正小标宋简体" w:cs="方正小标宋简体"/>
          <w:b/>
          <w:sz w:val="32"/>
          <w:szCs w:val="30"/>
        </w:rPr>
        <w:t>年部门预算表</w:t>
      </w:r>
    </w:p>
    <w:p>
      <w:pPr>
        <w:jc w:val="both"/>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（详见附表）</w:t>
      </w:r>
    </w:p>
    <w:p>
      <w:pPr>
        <w:jc w:val="both"/>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5274310" cy="3667125"/>
            <wp:effectExtent l="0" t="0" r="2540" b="952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74310" cy="366712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18865"/>
            <wp:effectExtent l="0" t="0" r="3810" b="63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53990" cy="361886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95700"/>
            <wp:effectExtent l="0" t="0" r="381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53990" cy="369570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25215"/>
            <wp:effectExtent l="0" t="0" r="3810" b="133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253990" cy="362521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54095"/>
            <wp:effectExtent l="0" t="0" r="3810" b="825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53990" cy="355409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22345"/>
            <wp:effectExtent l="0" t="0" r="3810" b="19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a:off x="0" y="0"/>
                      <a:ext cx="5253990" cy="352234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72405" cy="3983355"/>
            <wp:effectExtent l="0" t="0" r="4445" b="1714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5272405" cy="398335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22345"/>
            <wp:effectExtent l="0" t="0" r="3810" b="190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2"/>
                    <a:stretch>
                      <a:fillRect/>
                    </a:stretch>
                  </pic:blipFill>
                  <pic:spPr>
                    <a:xfrm>
                      <a:off x="0" y="0"/>
                      <a:ext cx="5253990" cy="352234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57600"/>
            <wp:effectExtent l="0" t="0" r="3810" b="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3"/>
                    <a:stretch>
                      <a:fillRect/>
                    </a:stretch>
                  </pic:blipFill>
                  <pic:spPr>
                    <a:xfrm>
                      <a:off x="0" y="0"/>
                      <a:ext cx="5253990" cy="365760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60340" cy="6878320"/>
            <wp:effectExtent l="0" t="0" r="16510" b="1778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4"/>
                    <a:stretch>
                      <a:fillRect/>
                    </a:stretch>
                  </pic:blipFill>
                  <pic:spPr>
                    <a:xfrm>
                      <a:off x="0" y="0"/>
                      <a:ext cx="5260340" cy="687832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66690" cy="7031990"/>
            <wp:effectExtent l="0" t="0" r="10160" b="1651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5"/>
                    <a:stretch>
                      <a:fillRect/>
                    </a:stretch>
                  </pic:blipFill>
                  <pic:spPr>
                    <a:xfrm>
                      <a:off x="0" y="0"/>
                      <a:ext cx="5266690" cy="70319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br w:type="page"/>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第</w:t>
      </w:r>
      <w:r>
        <w:rPr>
          <w:rFonts w:hint="eastAsia" w:ascii="方正小标宋简体" w:hAnsi="方正小标宋简体" w:eastAsia="方正小标宋简体" w:cs="方正小标宋简体"/>
          <w:b/>
          <w:sz w:val="32"/>
          <w:szCs w:val="30"/>
          <w:lang w:val="en-US" w:eastAsia="zh-CN"/>
        </w:rPr>
        <w:t>三</w:t>
      </w:r>
      <w:r>
        <w:rPr>
          <w:rFonts w:hint="eastAsia" w:ascii="方正小标宋简体" w:hAnsi="方正小标宋简体" w:eastAsia="方正小标宋简体" w:cs="方正小标宋简体"/>
          <w:b/>
          <w:sz w:val="32"/>
          <w:szCs w:val="30"/>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5</w:t>
      </w:r>
      <w:r>
        <w:rPr>
          <w:rFonts w:hint="eastAsia" w:ascii="方正小标宋简体" w:hAnsi="方正小标宋简体" w:eastAsia="方正小标宋简体" w:cs="方正小标宋简体"/>
          <w:b/>
          <w:sz w:val="32"/>
          <w:szCs w:val="30"/>
        </w:rPr>
        <w:t>年部门预算情况说明</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仿宋_GB2312" w:eastAsia="仿宋_GB2312"/>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一、</w:t>
      </w:r>
      <w:r>
        <w:rPr>
          <w:rFonts w:hint="eastAsia" w:ascii="黑体" w:hAnsi="黑体" w:eastAsia="黑体" w:cs="黑体"/>
          <w:b/>
          <w:sz w:val="32"/>
          <w:szCs w:val="32"/>
          <w:lang w:eastAsia="zh-CN"/>
        </w:rPr>
        <w:t>202</w:t>
      </w:r>
      <w:r>
        <w:rPr>
          <w:rFonts w:hint="eastAsia" w:ascii="黑体" w:hAnsi="黑体" w:eastAsia="黑体" w:cs="黑体"/>
          <w:b/>
          <w:sz w:val="32"/>
          <w:szCs w:val="32"/>
          <w:lang w:val="en-US" w:eastAsia="zh-CN"/>
        </w:rPr>
        <w:t>5</w:t>
      </w:r>
      <w:r>
        <w:rPr>
          <w:rFonts w:hint="eastAsia" w:ascii="黑体" w:hAnsi="黑体" w:eastAsia="黑体" w:cs="黑体"/>
          <w:b/>
          <w:sz w:val="32"/>
          <w:szCs w:val="32"/>
        </w:rPr>
        <w:t>年部门预算收支情况说明</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ascii="Adobe 仿宋 Std R" w:hAnsi="Adobe 仿宋 Std R" w:eastAsia="Adobe 仿宋 Std R"/>
          <w:b/>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一</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收入预算情况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${page400644146.ds215660413_REP_BGT_T_HC1100002019_DXQ02_S_ZJ}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收入预算总额为3918.92万元，较上年预算安排减少8834.03万元；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${page400644146.ds509943833_V_BGT_DEP_INCOME_DXQ01_SRXMMX}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财政拨款收入3907.51万元，较上年预算安排增加697.19万元；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kern w:val="2"/>
          <w:sz w:val="32"/>
          <w:szCs w:val="30"/>
          <w:lang w:val="en-US" w:eastAsia="zh-CN" w:bidi="ar-SA"/>
        </w:rPr>
      </w:pP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二</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支出预算情况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color w:val="auto"/>
          <w:kern w:val="2"/>
          <w:sz w:val="32"/>
          <w:szCs w:val="30"/>
          <w:lang w:val="en-US" w:eastAsia="zh-CN" w:bidi="ar-SA"/>
        </w:rPr>
        <w:t>2025年</w:t>
      </w:r>
      <w:r>
        <w:rPr>
          <w:rFonts w:hint="eastAsia" w:ascii="仿宋_GB2312" w:hAnsi="仿宋_GB2312" w:eastAsia="仿宋_GB2312" w:cs="仿宋_GB2312"/>
          <w:color w:val="auto"/>
          <w:kern w:val="2"/>
          <w:sz w:val="32"/>
          <w:szCs w:val="30"/>
          <w:lang w:val="en-US" w:eastAsia="zh-CN" w:bidi="ar-SA"/>
        </w:rPr>
        <w:fldChar w:fldCharType="begin"/>
      </w:r>
      <w:r>
        <w:rPr>
          <w:rFonts w:hint="eastAsia" w:ascii="仿宋_GB2312" w:hAnsi="仿宋_GB2312" w:eastAsia="仿宋_GB2312" w:cs="仿宋_GB2312"/>
          <w:color w:val="auto"/>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color w:val="auto"/>
          <w:kern w:val="2"/>
          <w:sz w:val="32"/>
          <w:szCs w:val="30"/>
          <w:lang w:val="en-US" w:eastAsia="zh-CN" w:bidi="ar-SA"/>
        </w:rPr>
        <w:fldChar w:fldCharType="separate"/>
      </w:r>
      <w:r>
        <w:rPr>
          <w:rFonts w:hint="eastAsia" w:ascii="仿宋_GB2312" w:hAnsi="仿宋_GB2312" w:eastAsia="仿宋_GB2312" w:cs="仿宋_GB2312"/>
          <w:color w:val="auto"/>
          <w:kern w:val="2"/>
          <w:sz w:val="32"/>
          <w:szCs w:val="30"/>
          <w:lang w:val="en-US" w:eastAsia="zh-CN" w:bidi="ar-SA"/>
        </w:rPr>
        <w:t>昌江区</w:t>
      </w:r>
      <w:r>
        <w:rPr>
          <w:rFonts w:hint="eastAsia" w:ascii="仿宋_GB2312" w:hAnsi="仿宋_GB2312" w:eastAsia="仿宋_GB2312" w:cs="仿宋_GB2312"/>
          <w:b w:val="0"/>
          <w:bCs w:val="0"/>
          <w:color w:val="auto"/>
          <w:kern w:val="0"/>
          <w:sz w:val="32"/>
          <w:szCs w:val="32"/>
          <w:lang w:val="en-US" w:eastAsia="zh-CN"/>
        </w:rPr>
        <w:t>鲇鱼山镇人民政府</w:t>
      </w:r>
      <w:r>
        <w:rPr>
          <w:rFonts w:hint="eastAsia" w:ascii="仿宋_GB2312" w:hAnsi="仿宋_GB2312" w:eastAsia="仿宋_GB2312" w:cs="仿宋_GB2312"/>
          <w:color w:val="auto"/>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${page400644146.ds215660413_REP_BGT_T_HC1100002019_DXQ02_S_CBXJ}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财政拨款支出预算总额3918.92万元，较上年预算安排增加8834.03万元；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三</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财政拨款支出情况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color w:val="auto"/>
          <w:kern w:val="2"/>
          <w:sz w:val="32"/>
          <w:szCs w:val="30"/>
          <w:lang w:val="en-US" w:eastAsia="zh-CN" w:bidi="ar-SA"/>
        </w:rPr>
        <w:t>2025年</w:t>
      </w:r>
      <w:r>
        <w:rPr>
          <w:rFonts w:hint="eastAsia" w:ascii="仿宋_GB2312" w:hAnsi="仿宋_GB2312" w:eastAsia="仿宋_GB2312" w:cs="仿宋_GB2312"/>
          <w:color w:val="auto"/>
          <w:kern w:val="2"/>
          <w:sz w:val="32"/>
          <w:szCs w:val="30"/>
          <w:lang w:val="en-US" w:eastAsia="zh-CN" w:bidi="ar-SA"/>
        </w:rPr>
        <w:fldChar w:fldCharType="begin"/>
      </w:r>
      <w:r>
        <w:rPr>
          <w:rFonts w:hint="eastAsia" w:ascii="仿宋_GB2312" w:hAnsi="仿宋_GB2312" w:eastAsia="仿宋_GB2312" w:cs="仿宋_GB2312"/>
          <w:color w:val="auto"/>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color w:val="auto"/>
          <w:kern w:val="2"/>
          <w:sz w:val="32"/>
          <w:szCs w:val="30"/>
          <w:lang w:val="en-US" w:eastAsia="zh-CN" w:bidi="ar-SA"/>
        </w:rPr>
        <w:fldChar w:fldCharType="separate"/>
      </w:r>
      <w:r>
        <w:rPr>
          <w:rFonts w:hint="eastAsia" w:ascii="仿宋_GB2312" w:hAnsi="仿宋_GB2312" w:eastAsia="仿宋_GB2312" w:cs="仿宋_GB2312"/>
          <w:color w:val="auto"/>
          <w:kern w:val="2"/>
          <w:sz w:val="32"/>
          <w:szCs w:val="30"/>
          <w:lang w:val="en-US" w:eastAsia="zh-CN" w:bidi="ar-SA"/>
        </w:rPr>
        <w:t>昌江区</w:t>
      </w:r>
      <w:r>
        <w:rPr>
          <w:rFonts w:hint="eastAsia" w:ascii="仿宋_GB2312" w:hAnsi="仿宋_GB2312" w:eastAsia="仿宋_GB2312" w:cs="仿宋_GB2312"/>
          <w:b w:val="0"/>
          <w:bCs w:val="0"/>
          <w:color w:val="auto"/>
          <w:kern w:val="0"/>
          <w:sz w:val="32"/>
          <w:szCs w:val="32"/>
          <w:lang w:val="en-US" w:eastAsia="zh-CN"/>
        </w:rPr>
        <w:t>鲇鱼山镇人民政府</w:t>
      </w:r>
      <w:r>
        <w:rPr>
          <w:rFonts w:hint="eastAsia" w:ascii="仿宋_GB2312" w:hAnsi="仿宋_GB2312" w:eastAsia="仿宋_GB2312" w:cs="仿宋_GB2312"/>
          <w:color w:val="auto"/>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${page400644146.ds215660413_REP_BGT_T_HC1100002019_DXQ02_S_CBXJ}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财政拨款支出预算总额3918.92万元，较上年预算安排增加8834.03万元；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四</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政府性基金情况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无政府性基金</w:t>
      </w:r>
      <w:r>
        <w:rPr>
          <w:rStyle w:val="11"/>
          <w:rFonts w:hint="eastAsia" w:ascii="仿宋_GB2312" w:hAnsi="仿宋_GB2312" w:eastAsia="仿宋_GB2312" w:cs="仿宋_GB2312"/>
          <w:b w:val="0"/>
          <w:bCs/>
          <w:sz w:val="32"/>
          <w:szCs w:val="32"/>
        </w:rPr>
        <w:t>预算拨款安排的支出</w:t>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${page400644146.ds215660413_REP_BGT_T_HC1100002019_DXQ02_JBZCQKJJ}</w:instrText>
      </w:r>
      <w:r>
        <w:rPr>
          <w:rFonts w:hint="eastAsia" w:ascii="仿宋_GB2312" w:hAnsi="仿宋_GB2312" w:eastAsia="仿宋_GB2312" w:cs="仿宋_GB2312"/>
          <w:b w:val="0"/>
          <w:bCs/>
          <w:kern w:val="2"/>
          <w:sz w:val="32"/>
          <w:szCs w:val="30"/>
          <w:lang w:val="en-US" w:eastAsia="zh-CN" w:bidi="ar-SA"/>
        </w:rPr>
        <w:fldChar w:fldCharType="end"/>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${page400644146.ds215660413_REP_BGT_T_HC1100002019_DXQ02_XMZCQKJJ}</w:instrText>
      </w:r>
      <w:r>
        <w:rPr>
          <w:rFonts w:hint="eastAsia" w:ascii="仿宋_GB2312" w:hAnsi="仿宋_GB2312" w:eastAsia="仿宋_GB2312" w:cs="仿宋_GB2312"/>
          <w:b w:val="0"/>
          <w:bCs/>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rPr>
        <w:t>（五）国有资本经营情况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Style w:val="11"/>
          <w:rFonts w:hint="eastAsia" w:ascii="仿宋" w:hAnsi="仿宋" w:eastAsia="仿宋_GB2312"/>
          <w:b w:val="0"/>
          <w:bCs/>
          <w:sz w:val="32"/>
          <w:szCs w:val="32"/>
          <w:lang w:eastAsia="zh-CN"/>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Style w:val="11"/>
          <w:rFonts w:hint="eastAsia" w:ascii="仿宋_GB2312" w:hAnsi="仿宋_GB2312" w:eastAsia="仿宋_GB2312" w:cs="仿宋_GB2312"/>
          <w:b w:val="0"/>
          <w:bCs/>
          <w:sz w:val="32"/>
          <w:szCs w:val="32"/>
        </w:rPr>
        <w:t>没有使用国有资本经营预算拨款安排的支出</w:t>
      </w:r>
      <w:r>
        <w:rPr>
          <w:rStyle w:val="11"/>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color w:val="auto"/>
          <w:sz w:val="32"/>
          <w:szCs w:val="32"/>
        </w:rPr>
        <w:t>六</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机关</w:t>
      </w:r>
      <w:r>
        <w:rPr>
          <w:rStyle w:val="11"/>
          <w:rFonts w:hint="eastAsia" w:ascii="楷体_GB2312" w:hAnsi="楷体_GB2312" w:eastAsia="楷体_GB2312" w:cs="楷体_GB2312"/>
          <w:b/>
          <w:bCs w:val="0"/>
          <w:sz w:val="32"/>
          <w:szCs w:val="32"/>
        </w:rPr>
        <w:t>运行经费等重要事项的说明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Adobe 仿宋 Std R" w:hAnsi="Adobe 仿宋 Std R" w:eastAsia="Adobe 仿宋 Std R"/>
          <w:sz w:val="32"/>
          <w:szCs w:val="32"/>
        </w:rPr>
      </w:pPr>
      <w:r>
        <w:rPr>
          <w:rFonts w:hint="eastAsia" w:ascii="仿宋_GB2312" w:hAnsi="仿宋_GB2312" w:eastAsia="仿宋_GB2312" w:cs="仿宋_GB2312"/>
          <w:kern w:val="2"/>
          <w:sz w:val="32"/>
          <w:szCs w:val="30"/>
          <w:lang w:val="en-US" w:eastAsia="zh-CN" w:bidi="ar-SA"/>
        </w:rPr>
        <w:t>2025年部门机关运行费预算3907.51万元，较上年预算增加697.19万元，增长22%。</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color w:val="auto"/>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color w:val="auto"/>
          <w:sz w:val="32"/>
          <w:szCs w:val="32"/>
        </w:rPr>
        <w:t>七</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政府采购情况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b/>
          <w:bCs/>
          <w:color w:val="000000"/>
          <w:sz w:val="32"/>
          <w:szCs w:val="32"/>
        </w:rPr>
        <w:fldChar w:fldCharType="begin"/>
      </w:r>
      <w:r>
        <w:rPr>
          <w:rFonts w:hint="eastAsia" w:ascii="仿宋_GB2312" w:hAnsi="仿宋_GB2312" w:eastAsia="仿宋_GB2312" w:cs="仿宋_GB2312"/>
          <w:b/>
          <w:bCs/>
          <w:color w:val="000000"/>
          <w:sz w:val="32"/>
          <w:szCs w:val="32"/>
        </w:rPr>
        <w:instrText xml:space="preserve">MERGEFIELD ${page400644146.ds509943833_REP_JXJC_AGENCY_WZR_NAME}</w:instrText>
      </w:r>
      <w:r>
        <w:rPr>
          <w:rFonts w:hint="eastAsia" w:ascii="仿宋_GB2312" w:hAnsi="仿宋_GB2312" w:eastAsia="仿宋_GB2312" w:cs="仿宋_GB2312"/>
          <w:b/>
          <w:bCs/>
          <w:color w:val="000000"/>
          <w:sz w:val="32"/>
          <w:szCs w:val="32"/>
        </w:rPr>
        <w:fldChar w:fldCharType="separate"/>
      </w:r>
      <w:r>
        <w:rPr>
          <w:rFonts w:hint="eastAsia" w:ascii="仿宋_GB2312" w:hAnsi="仿宋_GB2312" w:eastAsia="仿宋_GB2312" w:cs="仿宋_GB2312"/>
          <w:b/>
          <w:bCs/>
          <w:color w:val="000000"/>
          <w:sz w:val="32"/>
          <w:szCs w:val="32"/>
          <w:lang w:eastAsia="zh-CN"/>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0"/>
          <w:lang w:val="en-US" w:eastAsia="zh-CN" w:bidi="ar-SA"/>
        </w:rPr>
        <w:t>部门所属各单位政府采购总额200万元，其中：政府采购货物预算50万元，政府采购服务预算150万元。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八</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国有资产占有使用情况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截至2024年8月31日，</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${page400644146.ds532982397_REP_JX_BAS_AGENCY_INFO_ZYFRS_S_CLSYS}</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部门共有车辆5辆；其中：一般业务用车实有数2辆，特殊业务用车实有数0辆，执法执勤用车实有数3辆。</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2025年部门预算安排购置车辆0辆，安排购置单位价值200万元以上大型设备具体为：...。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color w:val="auto"/>
          <w:sz w:val="32"/>
          <w:szCs w:val="32"/>
        </w:rPr>
      </w:pPr>
      <w:r>
        <w:rPr>
          <w:rStyle w:val="11"/>
          <w:rFonts w:hint="eastAsia" w:ascii="楷体_GB2312" w:hAnsi="楷体_GB2312" w:eastAsia="楷体_GB2312" w:cs="楷体_GB2312"/>
          <w:b/>
          <w:bCs w:val="0"/>
          <w:color w:val="auto"/>
          <w:sz w:val="32"/>
          <w:szCs w:val="32"/>
        </w:rPr>
        <w:t>（九）</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MERGEFIELD ${page400644146.ds509943833_REP_JXJC_AGENCY_WZR_NAME}</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lang w:eastAsia="zh-CN"/>
        </w:rPr>
        <w:t>昌江区</w:t>
      </w:r>
      <w:r>
        <w:rPr>
          <w:rFonts w:hint="eastAsia" w:ascii="仿宋_GB2312" w:hAnsi="仿宋_GB2312" w:eastAsia="仿宋_GB2312" w:cs="仿宋_GB2312"/>
          <w:b/>
          <w:bCs/>
          <w:color w:val="auto"/>
          <w:kern w:val="0"/>
          <w:sz w:val="32"/>
          <w:szCs w:val="32"/>
          <w:lang w:val="en-US" w:eastAsia="zh-CN"/>
        </w:rPr>
        <w:t>鲇鱼山镇人民政府</w:t>
      </w:r>
      <w:r>
        <w:rPr>
          <w:rFonts w:hint="eastAsia" w:ascii="仿宋_GB2312" w:hAnsi="仿宋_GB2312" w:eastAsia="仿宋_GB2312" w:cs="仿宋_GB2312"/>
          <w:color w:val="auto"/>
          <w:sz w:val="32"/>
          <w:szCs w:val="32"/>
        </w:rPr>
        <w:fldChar w:fldCharType="end"/>
      </w:r>
      <w:r>
        <w:rPr>
          <w:rStyle w:val="11"/>
          <w:rFonts w:hint="eastAsia" w:ascii="楷体_GB2312" w:hAnsi="楷体_GB2312" w:eastAsia="楷体_GB2312" w:cs="楷体_GB2312"/>
          <w:b/>
          <w:bCs w:val="0"/>
          <w:color w:val="auto"/>
          <w:sz w:val="32"/>
          <w:szCs w:val="32"/>
        </w:rPr>
        <w:t>项目情况说明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1）项目概述</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提升基本公共服务均等化水平，增强镇、村两级运转保障能力</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立项依据</w:t>
      </w:r>
    </w:p>
    <w:p>
      <w:pPr>
        <w:keepNext w:val="0"/>
        <w:keepLines w:val="0"/>
        <w:widowControl/>
        <w:suppressLineNumbers w:val="0"/>
        <w:ind w:firstLine="930" w:firstLineChars="300"/>
        <w:jc w:val="left"/>
      </w:pPr>
      <w:r>
        <w:rPr>
          <w:rFonts w:ascii="仿宋_GB2312" w:hAnsi="宋体" w:eastAsia="仿宋_GB2312" w:cs="仿宋_GB2312"/>
          <w:color w:val="000000"/>
          <w:kern w:val="0"/>
          <w:sz w:val="31"/>
          <w:szCs w:val="31"/>
          <w:lang w:val="en-US" w:eastAsia="zh-CN" w:bidi="ar"/>
        </w:rPr>
        <w:t>景财预指〔</w:t>
      </w:r>
      <w:r>
        <w:rPr>
          <w:rFonts w:ascii="仿宋" w:hAnsi="仿宋" w:eastAsia="仿宋" w:cs="仿宋"/>
          <w:color w:val="000000"/>
          <w:kern w:val="0"/>
          <w:sz w:val="31"/>
          <w:szCs w:val="31"/>
          <w:lang w:val="en-US" w:eastAsia="zh-CN" w:bidi="ar"/>
        </w:rPr>
        <w:t>2021</w:t>
      </w:r>
      <w:r>
        <w:rPr>
          <w:rFonts w:hint="eastAsia" w:ascii="仿宋_GB2312" w:hAnsi="宋体" w:eastAsia="仿宋_GB2312" w:cs="仿宋_GB2312"/>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 xml:space="preserve">24 </w:t>
      </w:r>
      <w:r>
        <w:rPr>
          <w:rFonts w:hint="eastAsia" w:ascii="仿宋_GB2312" w:hAnsi="宋体" w:eastAsia="仿宋_GB2312" w:cs="仿宋_GB2312"/>
          <w:color w:val="000000"/>
          <w:kern w:val="0"/>
          <w:sz w:val="31"/>
          <w:szCs w:val="31"/>
          <w:lang w:val="en-US" w:eastAsia="zh-CN" w:bidi="ar"/>
        </w:rPr>
        <w:t>号</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实施主体</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鲇鱼山镇人民政府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4）实施周期</w:t>
      </w:r>
    </w:p>
    <w:p>
      <w:pPr>
        <w:keepNext w:val="0"/>
        <w:keepLines w:val="0"/>
        <w:pageBreakBefore w:val="0"/>
        <w:widowControl/>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2025年1月1日至2025年12月31日</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5)年度预算安排</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960" w:firstLineChars="300"/>
        <w:jc w:val="both"/>
        <w:textAlignment w:val="auto"/>
        <w:rPr>
          <w:rFonts w:ascii="Adobe 仿宋 Std R" w:hAnsi="Adobe 仿宋 Std R" w:eastAsia="Adobe 仿宋 Std R"/>
          <w:sz w:val="32"/>
          <w:szCs w:val="32"/>
        </w:rPr>
      </w:pPr>
      <w:r>
        <w:rPr>
          <w:rFonts w:hint="eastAsia" w:ascii="仿宋_GB2312" w:hAnsi="仿宋_GB2312" w:eastAsia="仿宋_GB2312" w:cs="仿宋_GB2312"/>
          <w:kern w:val="2"/>
          <w:sz w:val="32"/>
          <w:szCs w:val="30"/>
          <w:lang w:val="en-US" w:eastAsia="zh-CN" w:bidi="ar-SA"/>
        </w:rPr>
        <w:t>380万元</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二、</w:t>
      </w:r>
      <w:r>
        <w:rPr>
          <w:rFonts w:hint="eastAsia" w:ascii="黑体" w:hAnsi="黑体" w:eastAsia="黑体" w:cs="黑体"/>
          <w:b/>
          <w:sz w:val="32"/>
          <w:szCs w:val="32"/>
          <w:lang w:eastAsia="zh-CN"/>
        </w:rPr>
        <w:t>202</w:t>
      </w:r>
      <w:r>
        <w:rPr>
          <w:rFonts w:hint="eastAsia" w:ascii="黑体" w:hAnsi="黑体" w:eastAsia="黑体" w:cs="黑体"/>
          <w:b/>
          <w:sz w:val="32"/>
          <w:szCs w:val="32"/>
          <w:lang w:val="en-US" w:eastAsia="zh-CN"/>
        </w:rPr>
        <w:t>5</w:t>
      </w:r>
      <w:r>
        <w:rPr>
          <w:rFonts w:hint="eastAsia" w:ascii="黑体" w:hAnsi="黑体" w:eastAsia="黑体" w:cs="黑体"/>
          <w:b/>
          <w:sz w:val="32"/>
          <w:szCs w:val="32"/>
        </w:rPr>
        <w:t>年</w:t>
      </w:r>
      <w:r>
        <w:rPr>
          <w:rFonts w:hint="eastAsia" w:ascii="黑体" w:hAnsi="黑体" w:eastAsia="黑体" w:cs="黑体"/>
          <w:b/>
          <w:sz w:val="32"/>
          <w:szCs w:val="32"/>
          <w:lang w:eastAsia="zh-CN"/>
        </w:rPr>
        <w:t>“</w:t>
      </w:r>
      <w:r>
        <w:rPr>
          <w:rFonts w:hint="eastAsia" w:ascii="黑体" w:hAnsi="黑体" w:eastAsia="黑体" w:cs="黑体"/>
          <w:b/>
          <w:sz w:val="32"/>
          <w:szCs w:val="32"/>
        </w:rPr>
        <w:t>三公</w:t>
      </w:r>
      <w:r>
        <w:rPr>
          <w:rFonts w:hint="eastAsia" w:ascii="黑体" w:hAnsi="黑体" w:eastAsia="黑体" w:cs="黑体"/>
          <w:b/>
          <w:sz w:val="32"/>
          <w:szCs w:val="32"/>
          <w:lang w:eastAsia="zh-CN"/>
        </w:rPr>
        <w:t>”</w:t>
      </w:r>
      <w:r>
        <w:rPr>
          <w:rFonts w:hint="eastAsia" w:ascii="黑体" w:hAnsi="黑体" w:eastAsia="黑体" w:cs="黑体"/>
          <w:b/>
          <w:sz w:val="32"/>
          <w:szCs w:val="32"/>
        </w:rPr>
        <w:t>经费预算情况说明</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2025年昌江区鲇鱼山镇人民政府“三公”经费财政拨款安排14.58万元，其中：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因公出国（境）费0万元，比上年增加（减少）0万元，主要原因是：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公务接待费5万元，比上年增加（减少）0万元，主要原因是：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公务用车运行维护费9.58万元，比上年增加（减少0万元，主要原因是：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公务用车购置费0万元，比上年增加（减少）0万元，主要原因是：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center"/>
        <w:textAlignment w:val="auto"/>
        <w:rPr>
          <w:rFonts w:hint="eastAsia" w:ascii="方正小标宋简体" w:hAnsi="方正小标宋简体" w:eastAsia="方正小标宋简体" w:cs="方正小标宋简体"/>
          <w:b/>
          <w:sz w:val="32"/>
          <w:szCs w:val="30"/>
        </w:rPr>
      </w:pPr>
      <w:r>
        <w:rPr>
          <w:rFonts w:hint="eastAsia" w:ascii="方正小标宋简体" w:hAnsi="方正小标宋简体" w:eastAsia="方正小标宋简体" w:cs="方正小标宋简体"/>
          <w:b/>
          <w:sz w:val="32"/>
          <w:szCs w:val="30"/>
        </w:rPr>
        <w:t>第四部分   名词解释</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both"/>
        <w:textAlignment w:val="auto"/>
        <w:rPr>
          <w:rFonts w:hint="eastAsia" w:ascii="方正小标宋简体" w:hAnsi="方正小标宋简体" w:eastAsia="方正小标宋简体" w:cs="方正小标宋简体"/>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一、收入科目</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1"/>
          <w:rFonts w:hint="eastAsia" w:ascii="楷体_GB2312" w:hAnsi="楷体_GB2312" w:eastAsia="楷体_GB2312" w:cs="楷体_GB2312"/>
          <w:b/>
          <w:bCs w:val="0"/>
          <w:sz w:val="32"/>
          <w:szCs w:val="32"/>
          <w:lang w:val="en-US" w:eastAsia="zh-CN"/>
        </w:rPr>
        <w:t>（一）</w:t>
      </w:r>
      <w:r>
        <w:rPr>
          <w:rStyle w:val="11"/>
          <w:rFonts w:hint="eastAsia" w:ascii="楷体_GB2312" w:hAnsi="楷体_GB2312" w:eastAsia="楷体_GB2312" w:cs="楷体_GB2312"/>
          <w:b/>
          <w:bCs w:val="0"/>
          <w:sz w:val="32"/>
          <w:szCs w:val="32"/>
        </w:rPr>
        <w:t>财政拨款：</w:t>
      </w:r>
      <w:r>
        <w:rPr>
          <w:rFonts w:hint="eastAsia" w:ascii="仿宋_GB2312" w:hAnsi="仿宋_GB2312" w:eastAsia="仿宋_GB2312" w:cs="仿宋_GB2312"/>
          <w:kern w:val="2"/>
          <w:sz w:val="32"/>
          <w:szCs w:val="30"/>
          <w:lang w:val="en-US" w:eastAsia="zh-CN" w:bidi="ar-SA"/>
        </w:rPr>
        <w:t>指市级财政当年拨付的资金。</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1"/>
          <w:rFonts w:hint="eastAsia" w:ascii="楷体_GB2312" w:hAnsi="楷体_GB2312" w:eastAsia="楷体_GB2312" w:cs="楷体_GB2312"/>
          <w:b/>
          <w:bCs w:val="0"/>
          <w:sz w:val="32"/>
          <w:szCs w:val="32"/>
          <w:lang w:val="en-US" w:eastAsia="zh-CN"/>
        </w:rPr>
        <w:t>（二）</w:t>
      </w:r>
      <w:r>
        <w:rPr>
          <w:rStyle w:val="11"/>
          <w:rFonts w:hint="eastAsia" w:ascii="楷体_GB2312" w:hAnsi="楷体_GB2312" w:eastAsia="楷体_GB2312" w:cs="楷体_GB2312"/>
          <w:b/>
          <w:bCs w:val="0"/>
          <w:sz w:val="32"/>
          <w:szCs w:val="32"/>
        </w:rPr>
        <w:t>教育收费资金收入：</w:t>
      </w:r>
      <w:r>
        <w:rPr>
          <w:rFonts w:hint="eastAsia" w:ascii="仿宋_GB2312" w:hAnsi="仿宋_GB2312" w:eastAsia="仿宋_GB2312" w:cs="仿宋_GB2312"/>
          <w:kern w:val="2"/>
          <w:sz w:val="32"/>
          <w:szCs w:val="30"/>
          <w:lang w:val="en-US" w:eastAsia="zh-CN" w:bidi="ar-SA"/>
        </w:rPr>
        <w:t>反映实行专项管理的高中以上学费、住宿费，高校委托培养费，函大、电大、夜大及短训班培训费等教育收费取得的收入。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（三）事业收入：</w:t>
      </w:r>
      <w:r>
        <w:rPr>
          <w:rFonts w:hint="eastAsia" w:ascii="仿宋_GB2312" w:hAnsi="仿宋_GB2312" w:eastAsia="仿宋_GB2312" w:cs="仿宋_GB2312"/>
          <w:kern w:val="2"/>
          <w:sz w:val="32"/>
          <w:szCs w:val="30"/>
          <w:lang w:val="en-US" w:eastAsia="zh-CN" w:bidi="ar-SA"/>
        </w:rPr>
        <w:t>指事业单位开展专业业务活动及辅助活动取得的收入。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ascii="仿宋_GB2312" w:eastAsia="仿宋_GB2312"/>
          <w:color w:val="000000"/>
          <w:sz w:val="32"/>
          <w:szCs w:val="30"/>
        </w:rPr>
      </w:pPr>
      <w:r>
        <w:rPr>
          <w:rStyle w:val="11"/>
          <w:rFonts w:hint="eastAsia" w:ascii="楷体_GB2312" w:hAnsi="楷体_GB2312" w:eastAsia="楷体_GB2312" w:cs="楷体_GB2312"/>
          <w:b/>
          <w:bCs w:val="0"/>
          <w:sz w:val="32"/>
          <w:szCs w:val="32"/>
        </w:rPr>
        <w:t>（四）事业单位经营收入：</w:t>
      </w:r>
      <w:r>
        <w:rPr>
          <w:rFonts w:hint="eastAsia" w:ascii="仿宋_GB2312" w:hAnsi="仿宋_GB2312" w:eastAsia="仿宋_GB2312" w:cs="仿宋_GB2312"/>
          <w:kern w:val="2"/>
          <w:sz w:val="32"/>
          <w:szCs w:val="30"/>
          <w:lang w:val="en-US" w:eastAsia="zh-CN" w:bidi="ar-SA"/>
        </w:rPr>
        <w:t>指事业单位在专业业务活动及辅助活动之外开展非独立核算经营活动取得的收入。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（五）附属单位上缴收入：</w:t>
      </w:r>
      <w:r>
        <w:rPr>
          <w:rFonts w:hint="eastAsia" w:ascii="仿宋_GB2312" w:hAnsi="仿宋_GB2312" w:eastAsia="仿宋_GB2312" w:cs="仿宋_GB2312"/>
          <w:kern w:val="2"/>
          <w:sz w:val="32"/>
          <w:szCs w:val="30"/>
          <w:lang w:val="en-US" w:eastAsia="zh-CN" w:bidi="ar-SA"/>
        </w:rPr>
        <w:t>反映事业单位附属的独立核算单位按规定标准或比例缴纳的各项收入。包括附属的事业单位上缴的收入和附属的企业上缴的利润等。</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（六）上级补助收入：</w:t>
      </w:r>
      <w:r>
        <w:rPr>
          <w:rFonts w:hint="eastAsia" w:ascii="仿宋_GB2312" w:hAnsi="仿宋_GB2312" w:eastAsia="仿宋_GB2312" w:cs="仿宋_GB2312"/>
          <w:kern w:val="2"/>
          <w:sz w:val="32"/>
          <w:szCs w:val="30"/>
          <w:lang w:val="en-US" w:eastAsia="zh-CN" w:bidi="ar-SA"/>
        </w:rPr>
        <w:t>反映事业单位从主管部门和上级单位取得的非财政补助收入。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（七）其他收入：</w:t>
      </w:r>
      <w:r>
        <w:rPr>
          <w:rFonts w:hint="eastAsia" w:ascii="仿宋_GB2312" w:hAnsi="仿宋_GB2312" w:eastAsia="仿宋_GB2312" w:cs="仿宋_GB2312"/>
          <w:kern w:val="2"/>
          <w:sz w:val="32"/>
          <w:szCs w:val="30"/>
          <w:lang w:val="en-US" w:eastAsia="zh-CN" w:bidi="ar-SA"/>
        </w:rPr>
        <w:t>指除财政拨款、事业收入、事业单位经营收入等以外的各项收入。</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（八）使用非财政拨款结余：</w:t>
      </w:r>
      <w:r>
        <w:rPr>
          <w:rFonts w:hint="eastAsia" w:ascii="仿宋_GB2312" w:hAnsi="仿宋_GB2312" w:eastAsia="仿宋_GB2312" w:cs="仿宋_GB2312"/>
          <w:kern w:val="2"/>
          <w:sz w:val="32"/>
          <w:szCs w:val="30"/>
          <w:lang w:val="en-US" w:eastAsia="zh-CN" w:bidi="ar-SA"/>
        </w:rPr>
        <w:t>填列历年滚存的非限定用途的非统计财政拨款结余弥补2025年收支差额的数额。</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（九）上年结转和结余：</w:t>
      </w:r>
      <w:r>
        <w:rPr>
          <w:rFonts w:hint="eastAsia" w:ascii="仿宋_GB2312" w:hAnsi="仿宋_GB2312" w:eastAsia="仿宋_GB2312" w:cs="仿宋_GB2312"/>
          <w:kern w:val="2"/>
          <w:sz w:val="32"/>
          <w:szCs w:val="30"/>
          <w:lang w:val="en-US" w:eastAsia="zh-CN" w:bidi="ar-SA"/>
        </w:rPr>
        <w:t>填列2024年全部结转和结余的资金数，包括当年结转结余资金和历年滚存结转结余资金。</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二、支出科目</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eastAsia="仿宋_GB2312"/>
          <w:color w:val="000000"/>
          <w:sz w:val="32"/>
          <w:szCs w:val="30"/>
        </w:rPr>
      </w:pPr>
      <w:r>
        <w:rPr>
          <w:rFonts w:hint="eastAsia" w:ascii="仿宋_GB2312" w:eastAsia="仿宋_GB2312"/>
          <w:b/>
          <w:bCs/>
          <w:color w:val="000000"/>
          <w:sz w:val="32"/>
          <w:szCs w:val="30"/>
        </w:rPr>
        <w:t>（</w:t>
      </w:r>
      <w:r>
        <w:rPr>
          <w:rFonts w:hint="eastAsia" w:ascii="仿宋_GB2312" w:eastAsia="仿宋_GB2312"/>
          <w:b/>
          <w:bCs/>
          <w:color w:val="000000"/>
          <w:sz w:val="32"/>
          <w:szCs w:val="30"/>
          <w:lang w:eastAsia="zh-CN"/>
        </w:rPr>
        <w:t>一</w:t>
      </w:r>
      <w:r>
        <w:rPr>
          <w:rFonts w:hint="eastAsia" w:ascii="仿宋_GB2312" w:eastAsia="仿宋_GB2312"/>
          <w:b/>
          <w:bCs/>
          <w:color w:val="000000"/>
          <w:sz w:val="32"/>
          <w:szCs w:val="30"/>
        </w:rPr>
        <w:t>）社会保障和就业支出（类）行政事业单位养老支出（款）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1. 机关事业单位基本养老保险缴费支出（项）：反映机关事业单位实施养老保险制度由单位缴纳的基本养老保险费支出；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2. 机关事业单位职业年金缴费支出（项）：反映机关事业单位实施养老保险制度由单位实际缴纳的职业年金支出（含职业年金补记支出）。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仿宋_GB2312" w:eastAsia="仿宋_GB2312"/>
          <w:color w:val="000000"/>
          <w:sz w:val="32"/>
          <w:szCs w:val="30"/>
        </w:rPr>
      </w:pPr>
      <w:r>
        <w:rPr>
          <w:rFonts w:hint="eastAsia" w:ascii="仿宋_GB2312" w:hAnsi="仿宋_GB2312" w:eastAsia="仿宋_GB2312" w:cs="仿宋_GB2312"/>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三、相关专业名词</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（一）机关运行费：</w:t>
      </w:r>
      <w:r>
        <w:rPr>
          <w:rFonts w:hint="eastAsia" w:ascii="仿宋_GB2312" w:hAnsi="仿宋_GB2312" w:eastAsia="仿宋_GB2312" w:cs="仿宋_GB2312"/>
          <w:kern w:val="2"/>
          <w:sz w:val="32"/>
          <w:szCs w:val="30"/>
          <w:lang w:val="en-US" w:eastAsia="zh-CN" w:bidi="ar-SA"/>
        </w:rPr>
        <w:t>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仿宋" w:hAnsi="仿宋" w:eastAsia="仿宋"/>
          <w:color w:val="000000"/>
          <w:sz w:val="32"/>
          <w:szCs w:val="32"/>
        </w:rPr>
      </w:pPr>
      <w:r>
        <w:rPr>
          <w:rStyle w:val="11"/>
          <w:rFonts w:hint="eastAsia" w:ascii="楷体_GB2312" w:hAnsi="楷体_GB2312" w:eastAsia="楷体_GB2312" w:cs="楷体_GB2312"/>
          <w:b/>
          <w:bCs w:val="0"/>
          <w:sz w:val="32"/>
          <w:szCs w:val="32"/>
        </w:rPr>
        <w:t>（二）“三公”经费：</w:t>
      </w:r>
      <w:r>
        <w:rPr>
          <w:rFonts w:hint="eastAsia" w:ascii="仿宋_GB2312" w:hAnsi="仿宋_GB2312" w:eastAsia="仿宋_GB2312" w:cs="仿宋_GB2312"/>
          <w:kern w:val="2"/>
          <w:sz w:val="32"/>
          <w:szCs w:val="30"/>
          <w:lang w:val="en-US" w:eastAsia="zh-CN" w:bidi="ar-SA"/>
        </w:rPr>
        <w:t>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大标宋简体">
    <w:altName w:val="微软雅黑"/>
    <w:panose1 w:val="03000509000000000000"/>
    <w:charset w:val="86"/>
    <w:family w:val="auto"/>
    <w:pitch w:val="default"/>
    <w:sig w:usb0="00000000" w:usb1="00000000" w:usb2="0000000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楷体_GB2312">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361C23"/>
    <w:multiLevelType w:val="singleLevel"/>
    <w:tmpl w:val="14361C2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Q3YWNmZWRmNmZhZGUxYmY3ZDJjYjM1ZWVjNjgxNzEifQ=="/>
    <w:docVar w:name="KSO_WPS_MARK_KEY" w:val="dc1af74b-1abe-4496-b965-79deeb27cc8e"/>
  </w:docVars>
  <w:rsids>
    <w:rsidRoot w:val="00DF43D8"/>
    <w:rsid w:val="000001B2"/>
    <w:rsid w:val="00014049"/>
    <w:rsid w:val="0001648A"/>
    <w:rsid w:val="00022CB3"/>
    <w:rsid w:val="00031749"/>
    <w:rsid w:val="00041EAA"/>
    <w:rsid w:val="000501C3"/>
    <w:rsid w:val="00055F20"/>
    <w:rsid w:val="000630BE"/>
    <w:rsid w:val="0006515E"/>
    <w:rsid w:val="00085227"/>
    <w:rsid w:val="0009034E"/>
    <w:rsid w:val="000927A9"/>
    <w:rsid w:val="000963CD"/>
    <w:rsid w:val="000A2066"/>
    <w:rsid w:val="000B313A"/>
    <w:rsid w:val="000B4F9E"/>
    <w:rsid w:val="000C6AF7"/>
    <w:rsid w:val="000E1BC2"/>
    <w:rsid w:val="000E6313"/>
    <w:rsid w:val="000F227D"/>
    <w:rsid w:val="000F2E5F"/>
    <w:rsid w:val="00104F58"/>
    <w:rsid w:val="00117D8C"/>
    <w:rsid w:val="00131F78"/>
    <w:rsid w:val="001823EA"/>
    <w:rsid w:val="00186709"/>
    <w:rsid w:val="00192620"/>
    <w:rsid w:val="00193C37"/>
    <w:rsid w:val="001C4ED5"/>
    <w:rsid w:val="001C6F31"/>
    <w:rsid w:val="001D2644"/>
    <w:rsid w:val="001E0EE7"/>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2478"/>
    <w:rsid w:val="002D2681"/>
    <w:rsid w:val="002D418E"/>
    <w:rsid w:val="002D497C"/>
    <w:rsid w:val="002D7200"/>
    <w:rsid w:val="0030186C"/>
    <w:rsid w:val="003057A1"/>
    <w:rsid w:val="00316059"/>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31E83"/>
    <w:rsid w:val="00631FA4"/>
    <w:rsid w:val="00650900"/>
    <w:rsid w:val="00655E8B"/>
    <w:rsid w:val="00660CC3"/>
    <w:rsid w:val="006740FD"/>
    <w:rsid w:val="006833F4"/>
    <w:rsid w:val="00687B67"/>
    <w:rsid w:val="006918B8"/>
    <w:rsid w:val="006924DA"/>
    <w:rsid w:val="00696646"/>
    <w:rsid w:val="006A1709"/>
    <w:rsid w:val="006C08EA"/>
    <w:rsid w:val="006C185B"/>
    <w:rsid w:val="006C3868"/>
    <w:rsid w:val="006F20BD"/>
    <w:rsid w:val="00704CAB"/>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65FE3"/>
    <w:rsid w:val="00872CE4"/>
    <w:rsid w:val="00875B04"/>
    <w:rsid w:val="00876D17"/>
    <w:rsid w:val="008827CA"/>
    <w:rsid w:val="00882C91"/>
    <w:rsid w:val="00884FAE"/>
    <w:rsid w:val="008979F6"/>
    <w:rsid w:val="00897CAC"/>
    <w:rsid w:val="008A2491"/>
    <w:rsid w:val="008B52E8"/>
    <w:rsid w:val="008C011F"/>
    <w:rsid w:val="008C01B1"/>
    <w:rsid w:val="008C6EEE"/>
    <w:rsid w:val="008E1EFA"/>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619F8"/>
    <w:rsid w:val="00B6242B"/>
    <w:rsid w:val="00B71EBE"/>
    <w:rsid w:val="00B82840"/>
    <w:rsid w:val="00B96CEB"/>
    <w:rsid w:val="00BA572C"/>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E5DE1"/>
    <w:rsid w:val="00EE6568"/>
    <w:rsid w:val="00F01B58"/>
    <w:rsid w:val="00F11FE4"/>
    <w:rsid w:val="00F132AE"/>
    <w:rsid w:val="00F2583E"/>
    <w:rsid w:val="00F32E83"/>
    <w:rsid w:val="00F823EA"/>
    <w:rsid w:val="00F95E5A"/>
    <w:rsid w:val="00F975EB"/>
    <w:rsid w:val="00FA278B"/>
    <w:rsid w:val="00FA354D"/>
    <w:rsid w:val="00FA3B89"/>
    <w:rsid w:val="00FD29E0"/>
    <w:rsid w:val="00FE0E90"/>
    <w:rsid w:val="00FE32CC"/>
    <w:rsid w:val="00FE7CCF"/>
    <w:rsid w:val="00FF60EC"/>
    <w:rsid w:val="00FF6368"/>
    <w:rsid w:val="01442237"/>
    <w:rsid w:val="021E79B1"/>
    <w:rsid w:val="0292465C"/>
    <w:rsid w:val="031F7F73"/>
    <w:rsid w:val="03D87688"/>
    <w:rsid w:val="04EE6113"/>
    <w:rsid w:val="058660B7"/>
    <w:rsid w:val="06483D8D"/>
    <w:rsid w:val="067A6028"/>
    <w:rsid w:val="067D4729"/>
    <w:rsid w:val="072B0A36"/>
    <w:rsid w:val="081000FC"/>
    <w:rsid w:val="091E72AA"/>
    <w:rsid w:val="09204F5C"/>
    <w:rsid w:val="09B428D7"/>
    <w:rsid w:val="0B0E0536"/>
    <w:rsid w:val="0B220119"/>
    <w:rsid w:val="0C97247A"/>
    <w:rsid w:val="0D2C040D"/>
    <w:rsid w:val="0DB3098E"/>
    <w:rsid w:val="0F1D6016"/>
    <w:rsid w:val="0F8E55BD"/>
    <w:rsid w:val="10160F19"/>
    <w:rsid w:val="109B3AB3"/>
    <w:rsid w:val="10AA7280"/>
    <w:rsid w:val="114E6CEA"/>
    <w:rsid w:val="11BF69E5"/>
    <w:rsid w:val="11DF4AA5"/>
    <w:rsid w:val="12F419E9"/>
    <w:rsid w:val="137326CA"/>
    <w:rsid w:val="139E0B6E"/>
    <w:rsid w:val="13AC0EEB"/>
    <w:rsid w:val="13B44E73"/>
    <w:rsid w:val="13BE000D"/>
    <w:rsid w:val="13F86582"/>
    <w:rsid w:val="14044304"/>
    <w:rsid w:val="146C7B5E"/>
    <w:rsid w:val="14AF1D34"/>
    <w:rsid w:val="15052C48"/>
    <w:rsid w:val="15D639D9"/>
    <w:rsid w:val="162D3B1B"/>
    <w:rsid w:val="192E15CE"/>
    <w:rsid w:val="19492425"/>
    <w:rsid w:val="1A455B47"/>
    <w:rsid w:val="1BFD5BF1"/>
    <w:rsid w:val="1D3B2063"/>
    <w:rsid w:val="1D9717BF"/>
    <w:rsid w:val="1E97244E"/>
    <w:rsid w:val="1EA438D4"/>
    <w:rsid w:val="1EA52355"/>
    <w:rsid w:val="1F703155"/>
    <w:rsid w:val="1FEB49E9"/>
    <w:rsid w:val="20312F60"/>
    <w:rsid w:val="206D0602"/>
    <w:rsid w:val="21F06EEB"/>
    <w:rsid w:val="22430342"/>
    <w:rsid w:val="22725466"/>
    <w:rsid w:val="22837C9C"/>
    <w:rsid w:val="238B5443"/>
    <w:rsid w:val="24886943"/>
    <w:rsid w:val="25B931E9"/>
    <w:rsid w:val="2612304C"/>
    <w:rsid w:val="269768F9"/>
    <w:rsid w:val="27552580"/>
    <w:rsid w:val="27B920AB"/>
    <w:rsid w:val="2828673B"/>
    <w:rsid w:val="28CE08FA"/>
    <w:rsid w:val="2A676C5C"/>
    <w:rsid w:val="2C3F62CD"/>
    <w:rsid w:val="2C57797E"/>
    <w:rsid w:val="2D235F89"/>
    <w:rsid w:val="2D47706C"/>
    <w:rsid w:val="2D7C628D"/>
    <w:rsid w:val="2D7E68F4"/>
    <w:rsid w:val="2DD02A1C"/>
    <w:rsid w:val="2EF94632"/>
    <w:rsid w:val="304656AA"/>
    <w:rsid w:val="30E95A36"/>
    <w:rsid w:val="3328400E"/>
    <w:rsid w:val="35BE2487"/>
    <w:rsid w:val="36290947"/>
    <w:rsid w:val="37227AD6"/>
    <w:rsid w:val="37D43B3D"/>
    <w:rsid w:val="3A841EE9"/>
    <w:rsid w:val="3A9F1A72"/>
    <w:rsid w:val="3B010DCF"/>
    <w:rsid w:val="3B7D1841"/>
    <w:rsid w:val="3BAA13B7"/>
    <w:rsid w:val="3D7F0054"/>
    <w:rsid w:val="3DB83225"/>
    <w:rsid w:val="3DEC3337"/>
    <w:rsid w:val="3F06523A"/>
    <w:rsid w:val="3F255DC8"/>
    <w:rsid w:val="3F383632"/>
    <w:rsid w:val="4052753A"/>
    <w:rsid w:val="41011AD4"/>
    <w:rsid w:val="41260D01"/>
    <w:rsid w:val="4188751C"/>
    <w:rsid w:val="43FF7BD3"/>
    <w:rsid w:val="443D65FB"/>
    <w:rsid w:val="4660317D"/>
    <w:rsid w:val="4788282B"/>
    <w:rsid w:val="48865120"/>
    <w:rsid w:val="4A901356"/>
    <w:rsid w:val="4BA502F6"/>
    <w:rsid w:val="51632CD9"/>
    <w:rsid w:val="52B8424C"/>
    <w:rsid w:val="53516268"/>
    <w:rsid w:val="53CB2517"/>
    <w:rsid w:val="54A450AF"/>
    <w:rsid w:val="555E6F2D"/>
    <w:rsid w:val="556B4602"/>
    <w:rsid w:val="562E4844"/>
    <w:rsid w:val="56C47F55"/>
    <w:rsid w:val="57531C95"/>
    <w:rsid w:val="57AC297D"/>
    <w:rsid w:val="57D22ABD"/>
    <w:rsid w:val="57E76BD5"/>
    <w:rsid w:val="57F86D83"/>
    <w:rsid w:val="583E69F1"/>
    <w:rsid w:val="58B27B15"/>
    <w:rsid w:val="5A2F1E93"/>
    <w:rsid w:val="5AAA0E26"/>
    <w:rsid w:val="5B324542"/>
    <w:rsid w:val="5BB44401"/>
    <w:rsid w:val="5CF87539"/>
    <w:rsid w:val="5EAC10B3"/>
    <w:rsid w:val="5F3F601C"/>
    <w:rsid w:val="612005C5"/>
    <w:rsid w:val="6260539E"/>
    <w:rsid w:val="62CF2399"/>
    <w:rsid w:val="630038BC"/>
    <w:rsid w:val="63E33020"/>
    <w:rsid w:val="64D735C8"/>
    <w:rsid w:val="65677A74"/>
    <w:rsid w:val="667F7531"/>
    <w:rsid w:val="674175E4"/>
    <w:rsid w:val="6743495A"/>
    <w:rsid w:val="6A8B0BE3"/>
    <w:rsid w:val="6AC8573D"/>
    <w:rsid w:val="6ACD7B5D"/>
    <w:rsid w:val="6B42086E"/>
    <w:rsid w:val="6BA126F5"/>
    <w:rsid w:val="6BAD3106"/>
    <w:rsid w:val="6BE248E5"/>
    <w:rsid w:val="6EDB6140"/>
    <w:rsid w:val="6F414C81"/>
    <w:rsid w:val="70191685"/>
    <w:rsid w:val="71001F2A"/>
    <w:rsid w:val="712005D8"/>
    <w:rsid w:val="71435071"/>
    <w:rsid w:val="726A18B9"/>
    <w:rsid w:val="73A85115"/>
    <w:rsid w:val="748D2E52"/>
    <w:rsid w:val="75E67458"/>
    <w:rsid w:val="765E4813"/>
    <w:rsid w:val="76FA399F"/>
    <w:rsid w:val="77CE66C6"/>
    <w:rsid w:val="78B825F4"/>
    <w:rsid w:val="78BA0F89"/>
    <w:rsid w:val="792372BD"/>
    <w:rsid w:val="79B2500A"/>
    <w:rsid w:val="79D0329F"/>
    <w:rsid w:val="7DD45208"/>
    <w:rsid w:val="7EDD6A61"/>
    <w:rsid w:val="7F936FCC"/>
    <w:rsid w:val="7FB747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仿宋_GB2312" w:hAnsi="仿宋_GB2312" w:eastAsia="仿宋_GB2312" w:cs="仿宋_GB2312"/>
      <w:sz w:val="32"/>
      <w:szCs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row_tree_level_3"/>
    <w:basedOn w:val="6"/>
    <w:qFormat/>
    <w:uiPriority w:val="0"/>
  </w:style>
  <w:style w:type="character" w:customStyle="1" w:styleId="11">
    <w:name w:val="row_tree_level_4"/>
    <w:basedOn w:val="6"/>
    <w:qFormat/>
    <w:uiPriority w:val="0"/>
  </w:style>
  <w:style w:type="paragraph" w:customStyle="1" w:styleId="12">
    <w:name w:val="p0"/>
    <w:basedOn w:val="1"/>
    <w:qFormat/>
    <w:uiPriority w:val="0"/>
    <w:pPr>
      <w:widowControl/>
    </w:pPr>
    <w:rPr>
      <w:rFonts w:ascii="Times New Roman" w:hAnsi="Times New Roman" w:eastAsia="宋体" w:cs="Times New Roman"/>
      <w:kern w:val="0"/>
      <w:szCs w:val="21"/>
    </w:rPr>
  </w:style>
  <w:style w:type="character" w:customStyle="1" w:styleId="13">
    <w:name w:val="15"/>
    <w:basedOn w:val="6"/>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4586</Words>
  <Characters>4867</Characters>
  <Lines>51</Lines>
  <Paragraphs>14</Paragraphs>
  <TotalTime>9</TotalTime>
  <ScaleCrop>false</ScaleCrop>
  <LinksUpToDate>false</LinksUpToDate>
  <CharactersWithSpaces>4890</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2015-04-23T05:26:00Z</dcterms:created>
  <dc:creator>NTKO</dc:creator>
  <cp:lastModifiedBy>Administrator</cp:lastModifiedBy>
  <cp:lastPrinted>2024-02-05T02:35:00Z</cp:lastPrinted>
  <dcterms:modified xsi:type="dcterms:W3CDTF">2026-07-14T06:41:28Z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26856AD12D2B426282A6CAC3B8845BFD_12</vt:lpwstr>
  </property>
  <property fmtid="{D5CDD505-2E9C-101B-9397-08002B2CF9AE}" pid="4" name="KSOTemplateDocerSaveRecord">
    <vt:lpwstr>eyJoZGlkIjoiMGVkNDgyYjA0NGM1MDQyMDhlNjczNzUwY2Y3ZDU4NzYiLCJ1c2VySWQiOiIxMzU2MDkyMDUzIn0=</vt:lpwstr>
  </property>
</Properties>
</file>