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景德镇市昌江区城市管理局2023年度部门决算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景德镇市昌江区城市管理局概况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景德镇市昌江区城市管理局概况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 w:eastAsia="仿宋_GB2312"/>
          <w:sz w:val="32"/>
          <w:szCs w:val="32"/>
        </w:rPr>
        <w:t>（一）贯彻执行辖区内有关城市管理工作的方针、政策和法律、法规，组织起草有关规章和规范性文件草案；拟定城乡环境卫生管理规范、规划和年度计划，经批准后组织实施；负责建立健全统一管理的城乡环卫一体化工作体系。</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（二）负责城区城市生活垃圾经营性服务审批和城市建筑垃圾处置核准、非建设类临时占道许可、城市户外广告设置审批。</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（三）负责城区内数字化城市管理的规划、建设及管理工作，建立监督考评体系，负责受理、办理和反馈人民群众有关城区内城市管理方面的投诉和建议。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（四）负责监督管理城区违规设置广告、店招等行为。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负责监督管理城区内工地外部扬尘、污染路面行为。负责监督管理城区内焚烧沥青、塑料垃圾、露天焚烧秸秆落叶等烟尘和恶臭污染行为。负责监督管理经营性餐饮业油烟污染行为；联合其他部门负责禁止燃放烟花爆竹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（六）负责监督管理城市河道倾倒废弃物和垃圾及违规取土行为。负责城市河道违法建筑物拆除等工作。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（七）负责监督管理城区内户外公共场所食品销售和餐饮摊点无证经营、违法回收贩卖药品等行为。负责监督管理在公共场所办丧事行为。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（八）负责监督管理城区内商品房屋租赁和白蚁防治工作。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（九）负责查违控违拆违工作的综合监督和考核。负责主次干道未经规划行政许可违规建设的监督管理和强制拆除工作。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（十）监督管理辖区内建（构）筑物立面乱贴、乱吊、乱挂以及临时宣传活动（彩虹门、条幅、横幅、气球、气模、彩旗、布幔等）的违法（章）行为；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（十一）负责组织辖区内城市管理重大专项行动；指导城市管理执法大队工作。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（十二）宣传和执行国家、省、市、区关于城市市容和环境卫生、建筑垃圾、工程渣土管理等有关规定；负责特种垃圾和建筑渣土运输实行监督管理；查处违反建筑垃圾、工程渣土管理规定的违法行为。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eastAsia="zh-CN"/>
        </w:rPr>
        <w:t>三</w:t>
      </w:r>
      <w:r>
        <w:rPr>
          <w:rFonts w:hint="eastAsia" w:ascii="仿宋_GB2312" w:hAnsi="仿宋" w:eastAsia="仿宋_GB2312"/>
          <w:sz w:val="32"/>
          <w:szCs w:val="32"/>
        </w:rPr>
        <w:t>）负责辖区内所管辖的广告牌建设工程的安全生产监督管理。严厉打击辖区内规划方面违法非法建设和施工行为，主要是未取得建设工程规划许可证或者未按照建设工程规划许可证的规定进行建设，未经批准进行临时建设或者未按照批准内容进行临时建设，临时建筑物、构建物超过批准限期不拆除等行为。</w:t>
      </w:r>
    </w:p>
    <w:p>
      <w:pPr>
        <w:snapToGrid w:val="0"/>
        <w:spacing w:line="520" w:lineRule="exact"/>
        <w:ind w:firstLine="640" w:firstLineChars="200"/>
        <w:rPr>
          <w:rFonts w:hint="eastAsia" w:ascii="仿宋_GB2312" w:hAnsi="仿宋_GB2312"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eastAsia="zh-CN"/>
        </w:rPr>
        <w:t>四</w:t>
      </w:r>
      <w:r>
        <w:rPr>
          <w:rFonts w:hint="eastAsia" w:ascii="仿宋_GB2312" w:hAnsi="仿宋" w:eastAsia="仿宋_GB2312"/>
          <w:sz w:val="32"/>
          <w:szCs w:val="32"/>
        </w:rPr>
        <w:t>）完成区委、区政府交办的其他任务。</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center"/>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景德镇市昌江区城市管理局</w:t>
            </w:r>
          </w:p>
        </w:tc>
        <w:tc>
          <w:tcPr>
            <w:tcW w:w="2348" w:type="dxa"/>
            <w:shd w:val="clear" w:color="auto" w:fill="auto"/>
            <w:noWrap w:val="0"/>
            <w:vAlign w:val="top"/>
          </w:tcPr>
          <w:p>
            <w:pPr>
              <w:jc w:val="center"/>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w:t>
            </w:r>
          </w:p>
        </w:tc>
        <w:tc>
          <w:tcPr>
            <w:tcW w:w="4769" w:type="dxa"/>
            <w:shd w:val="clear" w:color="auto" w:fill="auto"/>
            <w:noWrap w:val="0"/>
            <w:vAlign w:val="top"/>
          </w:tcPr>
          <w:p>
            <w:pPr>
              <w:jc w:val="center"/>
              <w:rPr>
                <w:rFonts w:ascii="仿宋_GB2312" w:hAnsi="仿宋_GB2312" w:eastAsia="仿宋_GB2312"/>
                <w:sz w:val="30"/>
                <w:szCs w:val="30"/>
              </w:rPr>
            </w:pPr>
            <w:r>
              <w:rPr>
                <w:rFonts w:hint="eastAsia" w:ascii="仿宋_GB2312" w:hAnsi="仿宋_GB2312" w:eastAsia="仿宋_GB2312"/>
                <w:color w:val="auto"/>
                <w:sz w:val="30"/>
                <w:szCs w:val="30"/>
                <w:lang w:eastAsia="zh-CN"/>
              </w:rPr>
              <w:t>景德镇市昌江区城市管理行政执法大队</w:t>
            </w:r>
          </w:p>
        </w:tc>
        <w:tc>
          <w:tcPr>
            <w:tcW w:w="2348" w:type="dxa"/>
            <w:shd w:val="clear" w:color="auto" w:fill="auto"/>
            <w:noWrap w:val="0"/>
            <w:vAlign w:val="top"/>
          </w:tcPr>
          <w:p>
            <w:pPr>
              <w:jc w:val="center"/>
              <w:rPr>
                <w:rFonts w:ascii="仿宋_GB2312" w:hAnsi="仿宋_GB2312" w:eastAsia="仿宋_GB2312"/>
                <w:sz w:val="30"/>
                <w:szCs w:val="30"/>
              </w:rPr>
            </w:pPr>
            <w:r>
              <w:rPr>
                <w:rFonts w:hint="eastAsia" w:ascii="仿宋_GB2312" w:hAnsi="仿宋_GB2312" w:eastAsia="仿宋_GB2312"/>
                <w:sz w:val="30"/>
                <w:szCs w:val="30"/>
                <w:lang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景德镇市昌江区</w:t>
      </w:r>
      <w:r>
        <w:rPr>
          <w:rFonts w:hint="eastAsia" w:ascii="仿宋_GB2312" w:hAnsi="仿宋_GB2312" w:eastAsia="仿宋_GB2312" w:cs="Times New Roman"/>
          <w:sz w:val="32"/>
          <w:szCs w:val="32"/>
          <w:lang w:eastAsia="zh-CN"/>
        </w:rPr>
        <w:t>城市管理局（</w:t>
      </w:r>
      <w:r>
        <w:rPr>
          <w:rFonts w:hint="eastAsia" w:ascii="仿宋_GB2312" w:hAnsi="仿宋_GB2312" w:eastAsia="仿宋_GB2312" w:cs="Times New Roman"/>
          <w:sz w:val="32"/>
          <w:szCs w:val="32"/>
          <w:lang w:val="en-US" w:eastAsia="zh-CN"/>
        </w:rPr>
        <w:t>本级）设立 7个内设机构，分别是：综合办</w:t>
      </w:r>
      <w:r>
        <w:rPr>
          <w:rFonts w:hint="eastAsia" w:ascii="仿宋_GB2312" w:hAnsi="仿宋_GB2312" w:eastAsia="仿宋_GB2312"/>
          <w:sz w:val="32"/>
          <w:szCs w:val="32"/>
          <w:lang w:eastAsia="zh-CN"/>
        </w:rPr>
        <w:t>、人事财务室、党办、法制办、市容办、两违室、直属中队</w:t>
      </w:r>
      <w:r>
        <w:rPr>
          <w:rFonts w:hint="eastAsia" w:ascii="仿宋_GB2312" w:hAnsi="仿宋_GB2312" w:eastAsia="仿宋_GB2312" w:cs="Times New Roman"/>
          <w:sz w:val="32"/>
          <w:szCs w:val="32"/>
          <w:lang w:val="en-US" w:eastAsia="zh-CN"/>
        </w:rPr>
        <w:t>。本单位下属单位包括：景德镇市昌江区城市管理行政执法大队</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 xml:space="preserve">    </w:t>
      </w:r>
    </w:p>
    <w:p>
      <w:pPr>
        <w:ind w:firstLine="640" w:firstLineChars="200"/>
        <w:jc w:val="left"/>
        <w:rPr>
          <w:rFonts w:hint="eastAsia"/>
        </w:rPr>
      </w:pPr>
      <w:r>
        <w:rPr>
          <w:rFonts w:hint="eastAsia" w:ascii="仿宋_GB2312" w:hAnsi="仿宋_GB2312" w:eastAsia="仿宋_GB2312"/>
          <w:sz w:val="32"/>
          <w:szCs w:val="32"/>
        </w:rPr>
        <w:t>本部门年末在职人员158人，离退休人员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人（不含由养老保险基金发放养老金的离退休人员），其他人员192人。由养老保险基金发放养老金的离退休人员39人。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4,820.03</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1.89</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191.09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79.19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4,363.67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187.41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4,821.92</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4,821.36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0.02</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4,821.93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4,821.93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4,821.92</w:t>
            </w:r>
          </w:p>
        </w:tc>
        <w:tc>
          <w:tcPr>
            <w:tcW w:w="900" w:type="dxa"/>
            <w:vAlign w:val="center"/>
          </w:tcPr>
          <w:p>
            <w:pPr>
              <w:jc w:val="right"/>
            </w:pPr>
            <w:r>
              <w:rPr>
                <w:rFonts w:ascii="宋体" w:hAnsi="宋体" w:eastAsia="宋体" w:cs="宋体"/>
                <w:b w:val="0"/>
                <w:i w:val="0"/>
                <w:color w:val="000000"/>
                <w:sz w:val="9"/>
              </w:rPr>
              <w:t>4,820.03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191.09</w:t>
            </w:r>
          </w:p>
        </w:tc>
        <w:tc>
          <w:tcPr>
            <w:tcW w:w="900" w:type="dxa"/>
            <w:vAlign w:val="center"/>
          </w:tcPr>
          <w:p>
            <w:pPr>
              <w:jc w:val="right"/>
            </w:pPr>
            <w:r>
              <w:rPr>
                <w:rFonts w:ascii="宋体" w:hAnsi="宋体" w:eastAsia="宋体" w:cs="宋体"/>
                <w:b w:val="0"/>
                <w:i w:val="0"/>
                <w:color w:val="000000"/>
                <w:sz w:val="9"/>
              </w:rPr>
              <w:t>191.09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180.22</w:t>
            </w:r>
          </w:p>
        </w:tc>
        <w:tc>
          <w:tcPr>
            <w:tcW w:w="900" w:type="dxa"/>
            <w:vAlign w:val="center"/>
          </w:tcPr>
          <w:p>
            <w:pPr>
              <w:jc w:val="right"/>
            </w:pPr>
            <w:r>
              <w:rPr>
                <w:rFonts w:ascii="宋体" w:hAnsi="宋体" w:eastAsia="宋体" w:cs="宋体"/>
                <w:b w:val="0"/>
                <w:i w:val="0"/>
                <w:color w:val="000000"/>
                <w:sz w:val="9"/>
              </w:rPr>
              <w:t>180.22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163.16</w:t>
            </w:r>
          </w:p>
        </w:tc>
        <w:tc>
          <w:tcPr>
            <w:tcW w:w="900" w:type="dxa"/>
            <w:vAlign w:val="center"/>
          </w:tcPr>
          <w:p>
            <w:pPr>
              <w:jc w:val="right"/>
            </w:pPr>
            <w:r>
              <w:rPr>
                <w:rFonts w:ascii="宋体" w:hAnsi="宋体" w:eastAsia="宋体" w:cs="宋体"/>
                <w:b w:val="0"/>
                <w:i w:val="0"/>
                <w:color w:val="000000"/>
                <w:sz w:val="9"/>
              </w:rPr>
              <w:t>163.16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17.06</w:t>
            </w:r>
          </w:p>
        </w:tc>
        <w:tc>
          <w:tcPr>
            <w:tcW w:w="900" w:type="dxa"/>
            <w:vAlign w:val="center"/>
          </w:tcPr>
          <w:p>
            <w:pPr>
              <w:jc w:val="right"/>
            </w:pPr>
            <w:r>
              <w:rPr>
                <w:rFonts w:ascii="宋体" w:hAnsi="宋体" w:eastAsia="宋体" w:cs="宋体"/>
                <w:b w:val="0"/>
                <w:i w:val="0"/>
                <w:color w:val="000000"/>
                <w:sz w:val="9"/>
              </w:rPr>
              <w:t>17.06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10.87</w:t>
            </w:r>
          </w:p>
        </w:tc>
        <w:tc>
          <w:tcPr>
            <w:tcW w:w="900" w:type="dxa"/>
            <w:vAlign w:val="center"/>
          </w:tcPr>
          <w:p>
            <w:pPr>
              <w:jc w:val="right"/>
            </w:pPr>
            <w:r>
              <w:rPr>
                <w:rFonts w:ascii="宋体" w:hAnsi="宋体" w:eastAsia="宋体" w:cs="宋体"/>
                <w:b w:val="0"/>
                <w:i w:val="0"/>
                <w:color w:val="000000"/>
                <w:sz w:val="9"/>
              </w:rPr>
              <w:t>10.87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9.34</w:t>
            </w:r>
          </w:p>
        </w:tc>
        <w:tc>
          <w:tcPr>
            <w:tcW w:w="900" w:type="dxa"/>
            <w:vAlign w:val="center"/>
          </w:tcPr>
          <w:p>
            <w:pPr>
              <w:jc w:val="right"/>
            </w:pPr>
            <w:r>
              <w:rPr>
                <w:rFonts w:ascii="宋体" w:hAnsi="宋体" w:eastAsia="宋体" w:cs="宋体"/>
                <w:b w:val="0"/>
                <w:i w:val="0"/>
                <w:color w:val="000000"/>
                <w:sz w:val="9"/>
              </w:rPr>
              <w:t>9.34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2080899</w:t>
            </w:r>
          </w:p>
        </w:tc>
        <w:tc>
          <w:tcPr>
            <w:tcW w:w="1420" w:type="dxa"/>
            <w:vAlign w:val="center"/>
          </w:tcPr>
          <w:p>
            <w:pPr>
              <w:jc w:val="left"/>
            </w:pPr>
            <w:r>
              <w:rPr>
                <w:rFonts w:ascii="宋体" w:hAnsi="宋体" w:eastAsia="宋体" w:cs="宋体"/>
                <w:b w:val="0"/>
                <w:i w:val="0"/>
                <w:color w:val="000000"/>
                <w:sz w:val="9"/>
              </w:rPr>
              <w:t>其他优抚支出</w:t>
            </w:r>
          </w:p>
        </w:tc>
        <w:tc>
          <w:tcPr>
            <w:tcW w:w="860" w:type="dxa"/>
            <w:vAlign w:val="center"/>
          </w:tcPr>
          <w:p>
            <w:pPr>
              <w:jc w:val="right"/>
            </w:pPr>
            <w:r>
              <w:rPr>
                <w:rFonts w:ascii="宋体" w:hAnsi="宋体" w:eastAsia="宋体" w:cs="宋体"/>
                <w:b w:val="0"/>
                <w:i w:val="0"/>
                <w:color w:val="000000"/>
                <w:sz w:val="9"/>
              </w:rPr>
              <w:t>1.53</w:t>
            </w:r>
          </w:p>
        </w:tc>
        <w:tc>
          <w:tcPr>
            <w:tcW w:w="900" w:type="dxa"/>
            <w:vAlign w:val="center"/>
          </w:tcPr>
          <w:p>
            <w:pPr>
              <w:jc w:val="right"/>
            </w:pPr>
            <w:r>
              <w:rPr>
                <w:rFonts w:ascii="宋体" w:hAnsi="宋体" w:eastAsia="宋体" w:cs="宋体"/>
                <w:b w:val="0"/>
                <w:i w:val="0"/>
                <w:color w:val="000000"/>
                <w:sz w:val="9"/>
              </w:rPr>
              <w:t>1.53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79.19</w:t>
            </w:r>
          </w:p>
        </w:tc>
        <w:tc>
          <w:tcPr>
            <w:tcW w:w="900" w:type="dxa"/>
            <w:vAlign w:val="center"/>
          </w:tcPr>
          <w:p>
            <w:pPr>
              <w:jc w:val="right"/>
            </w:pPr>
            <w:r>
              <w:rPr>
                <w:rFonts w:ascii="宋体" w:hAnsi="宋体" w:eastAsia="宋体" w:cs="宋体"/>
                <w:b w:val="0"/>
                <w:i w:val="0"/>
                <w:color w:val="000000"/>
                <w:sz w:val="9"/>
              </w:rPr>
              <w:t>79.19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79.19</w:t>
            </w:r>
          </w:p>
        </w:tc>
        <w:tc>
          <w:tcPr>
            <w:tcW w:w="900" w:type="dxa"/>
            <w:vAlign w:val="center"/>
          </w:tcPr>
          <w:p>
            <w:pPr>
              <w:jc w:val="right"/>
            </w:pPr>
            <w:r>
              <w:rPr>
                <w:rFonts w:ascii="宋体" w:hAnsi="宋体" w:eastAsia="宋体" w:cs="宋体"/>
                <w:b w:val="0"/>
                <w:i w:val="0"/>
                <w:color w:val="000000"/>
                <w:sz w:val="9"/>
              </w:rPr>
              <w:t>79.19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65.49</w:t>
            </w:r>
          </w:p>
        </w:tc>
        <w:tc>
          <w:tcPr>
            <w:tcW w:w="900" w:type="dxa"/>
            <w:vAlign w:val="center"/>
          </w:tcPr>
          <w:p>
            <w:pPr>
              <w:jc w:val="right"/>
            </w:pPr>
            <w:r>
              <w:rPr>
                <w:rFonts w:ascii="宋体" w:hAnsi="宋体" w:eastAsia="宋体" w:cs="宋体"/>
                <w:b w:val="0"/>
                <w:i w:val="0"/>
                <w:color w:val="000000"/>
                <w:sz w:val="9"/>
              </w:rPr>
              <w:t>65.49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12.80</w:t>
            </w:r>
          </w:p>
        </w:tc>
        <w:tc>
          <w:tcPr>
            <w:tcW w:w="900" w:type="dxa"/>
            <w:vAlign w:val="center"/>
          </w:tcPr>
          <w:p>
            <w:pPr>
              <w:jc w:val="right"/>
            </w:pPr>
            <w:r>
              <w:rPr>
                <w:rFonts w:ascii="宋体" w:hAnsi="宋体" w:eastAsia="宋体" w:cs="宋体"/>
                <w:b w:val="0"/>
                <w:i w:val="0"/>
                <w:color w:val="000000"/>
                <w:sz w:val="9"/>
              </w:rPr>
              <w:t>12.80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0.91</w:t>
            </w:r>
          </w:p>
        </w:tc>
        <w:tc>
          <w:tcPr>
            <w:tcW w:w="900" w:type="dxa"/>
            <w:vAlign w:val="center"/>
          </w:tcPr>
          <w:p>
            <w:pPr>
              <w:jc w:val="right"/>
            </w:pPr>
            <w:r>
              <w:rPr>
                <w:rFonts w:ascii="宋体" w:hAnsi="宋体" w:eastAsia="宋体" w:cs="宋体"/>
                <w:b w:val="0"/>
                <w:i w:val="0"/>
                <w:color w:val="000000"/>
                <w:sz w:val="9"/>
              </w:rPr>
              <w:t>0.91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4,364.23</w:t>
            </w:r>
          </w:p>
        </w:tc>
        <w:tc>
          <w:tcPr>
            <w:tcW w:w="900" w:type="dxa"/>
            <w:vAlign w:val="center"/>
          </w:tcPr>
          <w:p>
            <w:pPr>
              <w:jc w:val="right"/>
            </w:pPr>
            <w:r>
              <w:rPr>
                <w:rFonts w:ascii="宋体" w:hAnsi="宋体" w:eastAsia="宋体" w:cs="宋体"/>
                <w:b w:val="0"/>
                <w:i w:val="0"/>
                <w:color w:val="000000"/>
                <w:sz w:val="9"/>
              </w:rPr>
              <w:t>4,362.34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w:t>
            </w:r>
          </w:p>
        </w:tc>
        <w:tc>
          <w:tcPr>
            <w:tcW w:w="1420" w:type="dxa"/>
            <w:vAlign w:val="center"/>
          </w:tcPr>
          <w:p>
            <w:pPr>
              <w:jc w:val="left"/>
            </w:pPr>
            <w:r>
              <w:rPr>
                <w:rFonts w:ascii="宋体" w:hAnsi="宋体" w:eastAsia="宋体" w:cs="宋体"/>
                <w:b w:val="0"/>
                <w:i w:val="0"/>
                <w:color w:val="000000"/>
                <w:sz w:val="9"/>
              </w:rPr>
              <w:t>城乡社区管理事务</w:t>
            </w:r>
          </w:p>
        </w:tc>
        <w:tc>
          <w:tcPr>
            <w:tcW w:w="860" w:type="dxa"/>
            <w:vAlign w:val="center"/>
          </w:tcPr>
          <w:p>
            <w:pPr>
              <w:jc w:val="right"/>
            </w:pPr>
            <w:r>
              <w:rPr>
                <w:rFonts w:ascii="宋体" w:hAnsi="宋体" w:eastAsia="宋体" w:cs="宋体"/>
                <w:b w:val="0"/>
                <w:i w:val="0"/>
                <w:color w:val="000000"/>
                <w:sz w:val="9"/>
              </w:rPr>
              <w:t>3,422.23</w:t>
            </w:r>
          </w:p>
        </w:tc>
        <w:tc>
          <w:tcPr>
            <w:tcW w:w="900" w:type="dxa"/>
            <w:vAlign w:val="center"/>
          </w:tcPr>
          <w:p>
            <w:pPr>
              <w:jc w:val="right"/>
            </w:pPr>
            <w:r>
              <w:rPr>
                <w:rFonts w:ascii="宋体" w:hAnsi="宋体" w:eastAsia="宋体" w:cs="宋体"/>
                <w:b w:val="0"/>
                <w:i w:val="0"/>
                <w:color w:val="000000"/>
                <w:sz w:val="9"/>
              </w:rPr>
              <w:t>3,421.35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1,823.89</w:t>
            </w:r>
          </w:p>
        </w:tc>
        <w:tc>
          <w:tcPr>
            <w:tcW w:w="900" w:type="dxa"/>
            <w:vAlign w:val="center"/>
          </w:tcPr>
          <w:p>
            <w:pPr>
              <w:jc w:val="right"/>
            </w:pPr>
            <w:r>
              <w:rPr>
                <w:rFonts w:ascii="宋体" w:hAnsi="宋体" w:eastAsia="宋体" w:cs="宋体"/>
                <w:b w:val="0"/>
                <w:i w:val="0"/>
                <w:color w:val="000000"/>
                <w:sz w:val="9"/>
              </w:rPr>
              <w:t>1,823.89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165.98</w:t>
            </w:r>
          </w:p>
        </w:tc>
        <w:tc>
          <w:tcPr>
            <w:tcW w:w="900" w:type="dxa"/>
            <w:vAlign w:val="center"/>
          </w:tcPr>
          <w:p>
            <w:pPr>
              <w:jc w:val="right"/>
            </w:pPr>
            <w:r>
              <w:rPr>
                <w:rFonts w:ascii="宋体" w:hAnsi="宋体" w:eastAsia="宋体" w:cs="宋体"/>
                <w:b w:val="0"/>
                <w:i w:val="0"/>
                <w:color w:val="000000"/>
                <w:sz w:val="9"/>
              </w:rPr>
              <w:t>165.10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2120104</w:t>
            </w:r>
          </w:p>
        </w:tc>
        <w:tc>
          <w:tcPr>
            <w:tcW w:w="1420" w:type="dxa"/>
            <w:vAlign w:val="center"/>
          </w:tcPr>
          <w:p>
            <w:pPr>
              <w:jc w:val="left"/>
            </w:pPr>
            <w:r>
              <w:rPr>
                <w:rFonts w:ascii="宋体" w:hAnsi="宋体" w:eastAsia="宋体" w:cs="宋体"/>
                <w:b w:val="0"/>
                <w:i w:val="0"/>
                <w:color w:val="000000"/>
                <w:sz w:val="9"/>
              </w:rPr>
              <w:t>城管执法</w:t>
            </w:r>
          </w:p>
        </w:tc>
        <w:tc>
          <w:tcPr>
            <w:tcW w:w="860" w:type="dxa"/>
            <w:vAlign w:val="center"/>
          </w:tcPr>
          <w:p>
            <w:pPr>
              <w:jc w:val="right"/>
            </w:pPr>
            <w:r>
              <w:rPr>
                <w:rFonts w:ascii="宋体" w:hAnsi="宋体" w:eastAsia="宋体" w:cs="宋体"/>
                <w:b w:val="0"/>
                <w:i w:val="0"/>
                <w:color w:val="000000"/>
                <w:sz w:val="9"/>
              </w:rPr>
              <w:t>1,432.36</w:t>
            </w:r>
          </w:p>
        </w:tc>
        <w:tc>
          <w:tcPr>
            <w:tcW w:w="900" w:type="dxa"/>
            <w:vAlign w:val="center"/>
          </w:tcPr>
          <w:p>
            <w:pPr>
              <w:jc w:val="right"/>
            </w:pPr>
            <w:r>
              <w:rPr>
                <w:rFonts w:ascii="宋体" w:hAnsi="宋体" w:eastAsia="宋体" w:cs="宋体"/>
                <w:b w:val="0"/>
                <w:i w:val="0"/>
                <w:color w:val="000000"/>
                <w:sz w:val="9"/>
              </w:rPr>
              <w:t>1,432.36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942.00</w:t>
            </w:r>
          </w:p>
        </w:tc>
        <w:tc>
          <w:tcPr>
            <w:tcW w:w="900" w:type="dxa"/>
            <w:vAlign w:val="center"/>
          </w:tcPr>
          <w:p>
            <w:pPr>
              <w:jc w:val="right"/>
            </w:pPr>
            <w:r>
              <w:rPr>
                <w:rFonts w:ascii="宋体" w:hAnsi="宋体" w:eastAsia="宋体" w:cs="宋体"/>
                <w:b w:val="0"/>
                <w:i w:val="0"/>
                <w:color w:val="000000"/>
                <w:sz w:val="9"/>
              </w:rPr>
              <w:t>940.99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2120501</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942.00</w:t>
            </w:r>
          </w:p>
        </w:tc>
        <w:tc>
          <w:tcPr>
            <w:tcW w:w="900" w:type="dxa"/>
            <w:vAlign w:val="center"/>
          </w:tcPr>
          <w:p>
            <w:pPr>
              <w:jc w:val="right"/>
            </w:pPr>
            <w:r>
              <w:rPr>
                <w:rFonts w:ascii="宋体" w:hAnsi="宋体" w:eastAsia="宋体" w:cs="宋体"/>
                <w:b w:val="0"/>
                <w:i w:val="0"/>
                <w:color w:val="000000"/>
                <w:sz w:val="9"/>
              </w:rPr>
              <w:t>940.99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187.41</w:t>
            </w:r>
          </w:p>
        </w:tc>
        <w:tc>
          <w:tcPr>
            <w:tcW w:w="900" w:type="dxa"/>
            <w:vAlign w:val="center"/>
          </w:tcPr>
          <w:p>
            <w:pPr>
              <w:jc w:val="right"/>
            </w:pPr>
            <w:r>
              <w:rPr>
                <w:rFonts w:ascii="宋体" w:hAnsi="宋体" w:eastAsia="宋体" w:cs="宋体"/>
                <w:b w:val="0"/>
                <w:i w:val="0"/>
                <w:color w:val="000000"/>
                <w:sz w:val="9"/>
              </w:rPr>
              <w:t>187.41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187.41</w:t>
            </w:r>
          </w:p>
        </w:tc>
        <w:tc>
          <w:tcPr>
            <w:tcW w:w="900" w:type="dxa"/>
            <w:vAlign w:val="center"/>
          </w:tcPr>
          <w:p>
            <w:pPr>
              <w:jc w:val="right"/>
            </w:pPr>
            <w:r>
              <w:rPr>
                <w:rFonts w:ascii="宋体" w:hAnsi="宋体" w:eastAsia="宋体" w:cs="宋体"/>
                <w:b w:val="0"/>
                <w:i w:val="0"/>
                <w:color w:val="000000"/>
                <w:sz w:val="9"/>
              </w:rPr>
              <w:t>187.41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187.41</w:t>
            </w:r>
          </w:p>
        </w:tc>
        <w:tc>
          <w:tcPr>
            <w:tcW w:w="900" w:type="dxa"/>
            <w:vAlign w:val="center"/>
          </w:tcPr>
          <w:p>
            <w:pPr>
              <w:jc w:val="right"/>
            </w:pPr>
            <w:r>
              <w:rPr>
                <w:rFonts w:ascii="宋体" w:hAnsi="宋体" w:eastAsia="宋体" w:cs="宋体"/>
                <w:b w:val="0"/>
                <w:i w:val="0"/>
                <w:color w:val="000000"/>
                <w:sz w:val="9"/>
              </w:rPr>
              <w:t>187.41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4,821.36</w:t>
            </w:r>
          </w:p>
        </w:tc>
        <w:tc>
          <w:tcPr>
            <w:tcW w:w="1000" w:type="dxa"/>
            <w:vAlign w:val="center"/>
          </w:tcPr>
          <w:p>
            <w:pPr>
              <w:jc w:val="right"/>
            </w:pPr>
            <w:r>
              <w:rPr>
                <w:rFonts w:ascii="宋体" w:hAnsi="宋体" w:eastAsia="宋体" w:cs="宋体"/>
                <w:b w:val="0"/>
                <w:i w:val="0"/>
                <w:color w:val="000000"/>
                <w:sz w:val="11"/>
              </w:rPr>
              <w:t>3,296.72</w:t>
            </w:r>
          </w:p>
        </w:tc>
        <w:tc>
          <w:tcPr>
            <w:tcW w:w="980" w:type="dxa"/>
            <w:vAlign w:val="center"/>
          </w:tcPr>
          <w:p>
            <w:pPr>
              <w:jc w:val="right"/>
            </w:pPr>
            <w:r>
              <w:rPr>
                <w:rFonts w:ascii="宋体" w:hAnsi="宋体" w:eastAsia="宋体" w:cs="宋体"/>
                <w:b w:val="0"/>
                <w:i w:val="0"/>
                <w:color w:val="000000"/>
                <w:sz w:val="11"/>
              </w:rPr>
              <w:t>1,524.65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191.09</w:t>
            </w:r>
          </w:p>
        </w:tc>
        <w:tc>
          <w:tcPr>
            <w:tcW w:w="1000" w:type="dxa"/>
            <w:vAlign w:val="center"/>
          </w:tcPr>
          <w:p>
            <w:pPr>
              <w:jc w:val="right"/>
            </w:pPr>
            <w:r>
              <w:rPr>
                <w:rFonts w:ascii="宋体" w:hAnsi="宋体" w:eastAsia="宋体" w:cs="宋体"/>
                <w:b w:val="0"/>
                <w:i w:val="0"/>
                <w:color w:val="000000"/>
                <w:sz w:val="11"/>
              </w:rPr>
              <w:t>191.09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180.22</w:t>
            </w:r>
          </w:p>
        </w:tc>
        <w:tc>
          <w:tcPr>
            <w:tcW w:w="1000" w:type="dxa"/>
            <w:vAlign w:val="center"/>
          </w:tcPr>
          <w:p>
            <w:pPr>
              <w:jc w:val="right"/>
            </w:pPr>
            <w:r>
              <w:rPr>
                <w:rFonts w:ascii="宋体" w:hAnsi="宋体" w:eastAsia="宋体" w:cs="宋体"/>
                <w:b w:val="0"/>
                <w:i w:val="0"/>
                <w:color w:val="000000"/>
                <w:sz w:val="11"/>
              </w:rPr>
              <w:t>180.22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163.16</w:t>
            </w:r>
          </w:p>
        </w:tc>
        <w:tc>
          <w:tcPr>
            <w:tcW w:w="1000" w:type="dxa"/>
            <w:vAlign w:val="center"/>
          </w:tcPr>
          <w:p>
            <w:pPr>
              <w:jc w:val="right"/>
            </w:pPr>
            <w:r>
              <w:rPr>
                <w:rFonts w:ascii="宋体" w:hAnsi="宋体" w:eastAsia="宋体" w:cs="宋体"/>
                <w:b w:val="0"/>
                <w:i w:val="0"/>
                <w:color w:val="000000"/>
                <w:sz w:val="11"/>
              </w:rPr>
              <w:t>163.16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17.06</w:t>
            </w:r>
          </w:p>
        </w:tc>
        <w:tc>
          <w:tcPr>
            <w:tcW w:w="1000" w:type="dxa"/>
            <w:vAlign w:val="center"/>
          </w:tcPr>
          <w:p>
            <w:pPr>
              <w:jc w:val="right"/>
            </w:pPr>
            <w:r>
              <w:rPr>
                <w:rFonts w:ascii="宋体" w:hAnsi="宋体" w:eastAsia="宋体" w:cs="宋体"/>
                <w:b w:val="0"/>
                <w:i w:val="0"/>
                <w:color w:val="000000"/>
                <w:sz w:val="11"/>
              </w:rPr>
              <w:t>17.06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10.87</w:t>
            </w:r>
          </w:p>
        </w:tc>
        <w:tc>
          <w:tcPr>
            <w:tcW w:w="1000" w:type="dxa"/>
            <w:vAlign w:val="center"/>
          </w:tcPr>
          <w:p>
            <w:pPr>
              <w:jc w:val="right"/>
            </w:pPr>
            <w:r>
              <w:rPr>
                <w:rFonts w:ascii="宋体" w:hAnsi="宋体" w:eastAsia="宋体" w:cs="宋体"/>
                <w:b w:val="0"/>
                <w:i w:val="0"/>
                <w:color w:val="000000"/>
                <w:sz w:val="11"/>
              </w:rPr>
              <w:t>10.87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9.34</w:t>
            </w:r>
          </w:p>
        </w:tc>
        <w:tc>
          <w:tcPr>
            <w:tcW w:w="1000" w:type="dxa"/>
            <w:vAlign w:val="center"/>
          </w:tcPr>
          <w:p>
            <w:pPr>
              <w:jc w:val="right"/>
            </w:pPr>
            <w:r>
              <w:rPr>
                <w:rFonts w:ascii="宋体" w:hAnsi="宋体" w:eastAsia="宋体" w:cs="宋体"/>
                <w:b w:val="0"/>
                <w:i w:val="0"/>
                <w:color w:val="000000"/>
                <w:sz w:val="11"/>
              </w:rPr>
              <w:t>9.34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2080899</w:t>
            </w:r>
          </w:p>
        </w:tc>
        <w:tc>
          <w:tcPr>
            <w:tcW w:w="1760" w:type="dxa"/>
            <w:vAlign w:val="center"/>
          </w:tcPr>
          <w:p>
            <w:pPr>
              <w:jc w:val="left"/>
            </w:pPr>
            <w:r>
              <w:rPr>
                <w:rFonts w:ascii="宋体" w:hAnsi="宋体" w:eastAsia="宋体" w:cs="宋体"/>
                <w:b w:val="0"/>
                <w:i w:val="0"/>
                <w:color w:val="000000"/>
                <w:sz w:val="11"/>
              </w:rPr>
              <w:t>其他优抚支出</w:t>
            </w:r>
          </w:p>
        </w:tc>
        <w:tc>
          <w:tcPr>
            <w:tcW w:w="940" w:type="dxa"/>
            <w:vAlign w:val="center"/>
          </w:tcPr>
          <w:p>
            <w:pPr>
              <w:jc w:val="right"/>
            </w:pPr>
            <w:r>
              <w:rPr>
                <w:rFonts w:ascii="宋体" w:hAnsi="宋体" w:eastAsia="宋体" w:cs="宋体"/>
                <w:b w:val="0"/>
                <w:i w:val="0"/>
                <w:color w:val="000000"/>
                <w:sz w:val="11"/>
              </w:rPr>
              <w:t>1.53</w:t>
            </w:r>
          </w:p>
        </w:tc>
        <w:tc>
          <w:tcPr>
            <w:tcW w:w="1000" w:type="dxa"/>
            <w:vAlign w:val="center"/>
          </w:tcPr>
          <w:p>
            <w:pPr>
              <w:jc w:val="right"/>
            </w:pPr>
            <w:r>
              <w:rPr>
                <w:rFonts w:ascii="宋体" w:hAnsi="宋体" w:eastAsia="宋体" w:cs="宋体"/>
                <w:b w:val="0"/>
                <w:i w:val="0"/>
                <w:color w:val="000000"/>
                <w:sz w:val="11"/>
              </w:rPr>
              <w:t>1.53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79.19</w:t>
            </w:r>
          </w:p>
        </w:tc>
        <w:tc>
          <w:tcPr>
            <w:tcW w:w="1000" w:type="dxa"/>
            <w:vAlign w:val="center"/>
          </w:tcPr>
          <w:p>
            <w:pPr>
              <w:jc w:val="right"/>
            </w:pPr>
            <w:r>
              <w:rPr>
                <w:rFonts w:ascii="宋体" w:hAnsi="宋体" w:eastAsia="宋体" w:cs="宋体"/>
                <w:b w:val="0"/>
                <w:i w:val="0"/>
                <w:color w:val="000000"/>
                <w:sz w:val="11"/>
              </w:rPr>
              <w:t>79.19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79.19</w:t>
            </w:r>
          </w:p>
        </w:tc>
        <w:tc>
          <w:tcPr>
            <w:tcW w:w="1000" w:type="dxa"/>
            <w:vAlign w:val="center"/>
          </w:tcPr>
          <w:p>
            <w:pPr>
              <w:jc w:val="right"/>
            </w:pPr>
            <w:r>
              <w:rPr>
                <w:rFonts w:ascii="宋体" w:hAnsi="宋体" w:eastAsia="宋体" w:cs="宋体"/>
                <w:b w:val="0"/>
                <w:i w:val="0"/>
                <w:color w:val="000000"/>
                <w:sz w:val="11"/>
              </w:rPr>
              <w:t>79.19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65.49</w:t>
            </w:r>
          </w:p>
        </w:tc>
        <w:tc>
          <w:tcPr>
            <w:tcW w:w="1000" w:type="dxa"/>
            <w:vAlign w:val="center"/>
          </w:tcPr>
          <w:p>
            <w:pPr>
              <w:jc w:val="right"/>
            </w:pPr>
            <w:r>
              <w:rPr>
                <w:rFonts w:ascii="宋体" w:hAnsi="宋体" w:eastAsia="宋体" w:cs="宋体"/>
                <w:b w:val="0"/>
                <w:i w:val="0"/>
                <w:color w:val="000000"/>
                <w:sz w:val="11"/>
              </w:rPr>
              <w:t>65.49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12.80</w:t>
            </w:r>
          </w:p>
        </w:tc>
        <w:tc>
          <w:tcPr>
            <w:tcW w:w="1000" w:type="dxa"/>
            <w:vAlign w:val="center"/>
          </w:tcPr>
          <w:p>
            <w:pPr>
              <w:jc w:val="right"/>
            </w:pPr>
            <w:r>
              <w:rPr>
                <w:rFonts w:ascii="宋体" w:hAnsi="宋体" w:eastAsia="宋体" w:cs="宋体"/>
                <w:b w:val="0"/>
                <w:i w:val="0"/>
                <w:color w:val="000000"/>
                <w:sz w:val="11"/>
              </w:rPr>
              <w:t>12.80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0.91</w:t>
            </w:r>
          </w:p>
        </w:tc>
        <w:tc>
          <w:tcPr>
            <w:tcW w:w="1000" w:type="dxa"/>
            <w:vAlign w:val="center"/>
          </w:tcPr>
          <w:p>
            <w:pPr>
              <w:jc w:val="right"/>
            </w:pPr>
            <w:r>
              <w:rPr>
                <w:rFonts w:ascii="宋体" w:hAnsi="宋体" w:eastAsia="宋体" w:cs="宋体"/>
                <w:b w:val="0"/>
                <w:i w:val="0"/>
                <w:color w:val="000000"/>
                <w:sz w:val="11"/>
              </w:rPr>
              <w:t>0.91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4,363.67</w:t>
            </w:r>
          </w:p>
        </w:tc>
        <w:tc>
          <w:tcPr>
            <w:tcW w:w="1000" w:type="dxa"/>
            <w:vAlign w:val="center"/>
          </w:tcPr>
          <w:p>
            <w:pPr>
              <w:jc w:val="right"/>
            </w:pPr>
            <w:r>
              <w:rPr>
                <w:rFonts w:ascii="宋体" w:hAnsi="宋体" w:eastAsia="宋体" w:cs="宋体"/>
                <w:b w:val="0"/>
                <w:i w:val="0"/>
                <w:color w:val="000000"/>
                <w:sz w:val="11"/>
              </w:rPr>
              <w:t>2,839.03</w:t>
            </w:r>
          </w:p>
        </w:tc>
        <w:tc>
          <w:tcPr>
            <w:tcW w:w="980" w:type="dxa"/>
            <w:vAlign w:val="center"/>
          </w:tcPr>
          <w:p>
            <w:pPr>
              <w:jc w:val="right"/>
            </w:pPr>
            <w:r>
              <w:rPr>
                <w:rFonts w:ascii="宋体" w:hAnsi="宋体" w:eastAsia="宋体" w:cs="宋体"/>
                <w:b w:val="0"/>
                <w:i w:val="0"/>
                <w:color w:val="000000"/>
                <w:sz w:val="11"/>
              </w:rPr>
              <w:t>1,524.65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w:t>
            </w:r>
          </w:p>
        </w:tc>
        <w:tc>
          <w:tcPr>
            <w:tcW w:w="1760" w:type="dxa"/>
            <w:vAlign w:val="center"/>
          </w:tcPr>
          <w:p>
            <w:pPr>
              <w:jc w:val="left"/>
            </w:pPr>
            <w:r>
              <w:rPr>
                <w:rFonts w:ascii="宋体" w:hAnsi="宋体" w:eastAsia="宋体" w:cs="宋体"/>
                <w:b w:val="0"/>
                <w:i w:val="0"/>
                <w:color w:val="000000"/>
                <w:sz w:val="11"/>
              </w:rPr>
              <w:t>城乡社区管理事务</w:t>
            </w:r>
          </w:p>
        </w:tc>
        <w:tc>
          <w:tcPr>
            <w:tcW w:w="940" w:type="dxa"/>
            <w:vAlign w:val="center"/>
          </w:tcPr>
          <w:p>
            <w:pPr>
              <w:jc w:val="right"/>
            </w:pPr>
            <w:r>
              <w:rPr>
                <w:rFonts w:ascii="宋体" w:hAnsi="宋体" w:eastAsia="宋体" w:cs="宋体"/>
                <w:b w:val="0"/>
                <w:i w:val="0"/>
                <w:color w:val="000000"/>
                <w:sz w:val="11"/>
              </w:rPr>
              <w:t>3,421.85</w:t>
            </w:r>
          </w:p>
        </w:tc>
        <w:tc>
          <w:tcPr>
            <w:tcW w:w="1000" w:type="dxa"/>
            <w:vAlign w:val="center"/>
          </w:tcPr>
          <w:p>
            <w:pPr>
              <w:jc w:val="right"/>
            </w:pPr>
            <w:r>
              <w:rPr>
                <w:rFonts w:ascii="宋体" w:hAnsi="宋体" w:eastAsia="宋体" w:cs="宋体"/>
                <w:b w:val="0"/>
                <w:i w:val="0"/>
                <w:color w:val="000000"/>
                <w:sz w:val="11"/>
              </w:rPr>
              <w:t>2,561.73</w:t>
            </w:r>
          </w:p>
        </w:tc>
        <w:tc>
          <w:tcPr>
            <w:tcW w:w="980" w:type="dxa"/>
            <w:vAlign w:val="center"/>
          </w:tcPr>
          <w:p>
            <w:pPr>
              <w:jc w:val="right"/>
            </w:pPr>
            <w:r>
              <w:rPr>
                <w:rFonts w:ascii="宋体" w:hAnsi="宋体" w:eastAsia="宋体" w:cs="宋体"/>
                <w:b w:val="0"/>
                <w:i w:val="0"/>
                <w:color w:val="000000"/>
                <w:sz w:val="11"/>
              </w:rPr>
              <w:t>860.12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1,823.89</w:t>
            </w:r>
          </w:p>
        </w:tc>
        <w:tc>
          <w:tcPr>
            <w:tcW w:w="1000" w:type="dxa"/>
            <w:vAlign w:val="center"/>
          </w:tcPr>
          <w:p>
            <w:pPr>
              <w:jc w:val="right"/>
            </w:pPr>
            <w:r>
              <w:rPr>
                <w:rFonts w:ascii="宋体" w:hAnsi="宋体" w:eastAsia="宋体" w:cs="宋体"/>
                <w:b w:val="0"/>
                <w:i w:val="0"/>
                <w:color w:val="000000"/>
                <w:sz w:val="11"/>
              </w:rPr>
              <w:t>1,823.89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165.60</w:t>
            </w:r>
          </w:p>
        </w:tc>
        <w:tc>
          <w:tcPr>
            <w:tcW w:w="1000" w:type="dxa"/>
            <w:vAlign w:val="center"/>
          </w:tcPr>
          <w:p>
            <w:pPr>
              <w:jc w:val="right"/>
            </w:pPr>
            <w:r>
              <w:rPr>
                <w:rFonts w:ascii="宋体" w:hAnsi="宋体" w:eastAsia="宋体" w:cs="宋体"/>
                <w:b w:val="0"/>
                <w:i w:val="0"/>
                <w:color w:val="000000"/>
                <w:sz w:val="11"/>
              </w:rPr>
              <w:t>165.60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2120104</w:t>
            </w:r>
          </w:p>
        </w:tc>
        <w:tc>
          <w:tcPr>
            <w:tcW w:w="1760" w:type="dxa"/>
            <w:vAlign w:val="center"/>
          </w:tcPr>
          <w:p>
            <w:pPr>
              <w:jc w:val="left"/>
            </w:pPr>
            <w:r>
              <w:rPr>
                <w:rFonts w:ascii="宋体" w:hAnsi="宋体" w:eastAsia="宋体" w:cs="宋体"/>
                <w:b w:val="0"/>
                <w:i w:val="0"/>
                <w:color w:val="000000"/>
                <w:sz w:val="11"/>
              </w:rPr>
              <w:t>城管执法</w:t>
            </w:r>
          </w:p>
        </w:tc>
        <w:tc>
          <w:tcPr>
            <w:tcW w:w="940" w:type="dxa"/>
            <w:vAlign w:val="center"/>
          </w:tcPr>
          <w:p>
            <w:pPr>
              <w:jc w:val="right"/>
            </w:pPr>
            <w:r>
              <w:rPr>
                <w:rFonts w:ascii="宋体" w:hAnsi="宋体" w:eastAsia="宋体" w:cs="宋体"/>
                <w:b w:val="0"/>
                <w:i w:val="0"/>
                <w:color w:val="000000"/>
                <w:sz w:val="11"/>
              </w:rPr>
              <w:t>1,432.36</w:t>
            </w:r>
          </w:p>
        </w:tc>
        <w:tc>
          <w:tcPr>
            <w:tcW w:w="1000" w:type="dxa"/>
            <w:vAlign w:val="center"/>
          </w:tcPr>
          <w:p>
            <w:pPr>
              <w:jc w:val="right"/>
            </w:pPr>
            <w:r>
              <w:rPr>
                <w:rFonts w:ascii="宋体" w:hAnsi="宋体" w:eastAsia="宋体" w:cs="宋体"/>
                <w:b w:val="0"/>
                <w:i w:val="0"/>
                <w:color w:val="000000"/>
                <w:sz w:val="11"/>
              </w:rPr>
              <w:t>572.24</w:t>
            </w:r>
          </w:p>
        </w:tc>
        <w:tc>
          <w:tcPr>
            <w:tcW w:w="980" w:type="dxa"/>
            <w:vAlign w:val="center"/>
          </w:tcPr>
          <w:p>
            <w:pPr>
              <w:jc w:val="right"/>
            </w:pPr>
            <w:r>
              <w:rPr>
                <w:rFonts w:ascii="宋体" w:hAnsi="宋体" w:eastAsia="宋体" w:cs="宋体"/>
                <w:b w:val="0"/>
                <w:i w:val="0"/>
                <w:color w:val="000000"/>
                <w:sz w:val="11"/>
              </w:rPr>
              <w:t>860.12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941.82</w:t>
            </w:r>
          </w:p>
        </w:tc>
        <w:tc>
          <w:tcPr>
            <w:tcW w:w="1000" w:type="dxa"/>
            <w:vAlign w:val="center"/>
          </w:tcPr>
          <w:p>
            <w:pPr>
              <w:jc w:val="right"/>
            </w:pPr>
            <w:r>
              <w:rPr>
                <w:rFonts w:ascii="宋体" w:hAnsi="宋体" w:eastAsia="宋体" w:cs="宋体"/>
                <w:b w:val="0"/>
                <w:i w:val="0"/>
                <w:color w:val="000000"/>
                <w:sz w:val="11"/>
              </w:rPr>
              <w:t>277.30</w:t>
            </w:r>
          </w:p>
        </w:tc>
        <w:tc>
          <w:tcPr>
            <w:tcW w:w="980" w:type="dxa"/>
            <w:vAlign w:val="center"/>
          </w:tcPr>
          <w:p>
            <w:pPr>
              <w:jc w:val="right"/>
            </w:pPr>
            <w:r>
              <w:rPr>
                <w:rFonts w:ascii="宋体" w:hAnsi="宋体" w:eastAsia="宋体" w:cs="宋体"/>
                <w:b w:val="0"/>
                <w:i w:val="0"/>
                <w:color w:val="000000"/>
                <w:sz w:val="11"/>
              </w:rPr>
              <w:t>664.52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2120501</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941.82</w:t>
            </w:r>
          </w:p>
        </w:tc>
        <w:tc>
          <w:tcPr>
            <w:tcW w:w="1000" w:type="dxa"/>
            <w:vAlign w:val="center"/>
          </w:tcPr>
          <w:p>
            <w:pPr>
              <w:jc w:val="right"/>
            </w:pPr>
            <w:r>
              <w:rPr>
                <w:rFonts w:ascii="宋体" w:hAnsi="宋体" w:eastAsia="宋体" w:cs="宋体"/>
                <w:b w:val="0"/>
                <w:i w:val="0"/>
                <w:color w:val="000000"/>
                <w:sz w:val="11"/>
              </w:rPr>
              <w:t>277.30</w:t>
            </w:r>
          </w:p>
        </w:tc>
        <w:tc>
          <w:tcPr>
            <w:tcW w:w="980" w:type="dxa"/>
            <w:vAlign w:val="center"/>
          </w:tcPr>
          <w:p>
            <w:pPr>
              <w:jc w:val="right"/>
            </w:pPr>
            <w:r>
              <w:rPr>
                <w:rFonts w:ascii="宋体" w:hAnsi="宋体" w:eastAsia="宋体" w:cs="宋体"/>
                <w:b w:val="0"/>
                <w:i w:val="0"/>
                <w:color w:val="000000"/>
                <w:sz w:val="11"/>
              </w:rPr>
              <w:t>664.52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187.41</w:t>
            </w:r>
          </w:p>
        </w:tc>
        <w:tc>
          <w:tcPr>
            <w:tcW w:w="1000" w:type="dxa"/>
            <w:vAlign w:val="center"/>
          </w:tcPr>
          <w:p>
            <w:pPr>
              <w:jc w:val="right"/>
            </w:pPr>
            <w:r>
              <w:rPr>
                <w:rFonts w:ascii="宋体" w:hAnsi="宋体" w:eastAsia="宋体" w:cs="宋体"/>
                <w:b w:val="0"/>
                <w:i w:val="0"/>
                <w:color w:val="000000"/>
                <w:sz w:val="11"/>
              </w:rPr>
              <w:t>187.41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187.41</w:t>
            </w:r>
          </w:p>
        </w:tc>
        <w:tc>
          <w:tcPr>
            <w:tcW w:w="1000" w:type="dxa"/>
            <w:vAlign w:val="center"/>
          </w:tcPr>
          <w:p>
            <w:pPr>
              <w:jc w:val="right"/>
            </w:pPr>
            <w:r>
              <w:rPr>
                <w:rFonts w:ascii="宋体" w:hAnsi="宋体" w:eastAsia="宋体" w:cs="宋体"/>
                <w:b w:val="0"/>
                <w:i w:val="0"/>
                <w:color w:val="000000"/>
                <w:sz w:val="11"/>
              </w:rPr>
              <w:t>187.41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187.41</w:t>
            </w:r>
          </w:p>
        </w:tc>
        <w:tc>
          <w:tcPr>
            <w:tcW w:w="1000" w:type="dxa"/>
            <w:vAlign w:val="center"/>
          </w:tcPr>
          <w:p>
            <w:pPr>
              <w:jc w:val="right"/>
            </w:pPr>
            <w:r>
              <w:rPr>
                <w:rFonts w:ascii="宋体" w:hAnsi="宋体" w:eastAsia="宋体" w:cs="宋体"/>
                <w:b w:val="0"/>
                <w:i w:val="0"/>
                <w:color w:val="000000"/>
                <w:sz w:val="11"/>
              </w:rPr>
              <w:t>187.41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4,820.03</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191.09</w:t>
            </w:r>
          </w:p>
        </w:tc>
        <w:tc>
          <w:tcPr>
            <w:tcW w:w="1460" w:type="dxa"/>
            <w:vAlign w:val="center"/>
          </w:tcPr>
          <w:p>
            <w:pPr>
              <w:jc w:val="right"/>
            </w:pPr>
            <w:r>
              <w:rPr>
                <w:rFonts w:ascii="宋体" w:hAnsi="宋体" w:eastAsia="宋体" w:cs="宋体"/>
                <w:b w:val="0"/>
                <w:i w:val="0"/>
                <w:color w:val="000000"/>
                <w:sz w:val="17"/>
              </w:rPr>
              <w:t>191.09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79.19</w:t>
            </w:r>
          </w:p>
        </w:tc>
        <w:tc>
          <w:tcPr>
            <w:tcW w:w="1460" w:type="dxa"/>
            <w:vAlign w:val="center"/>
          </w:tcPr>
          <w:p>
            <w:pPr>
              <w:jc w:val="right"/>
            </w:pPr>
            <w:r>
              <w:rPr>
                <w:rFonts w:ascii="宋体" w:hAnsi="宋体" w:eastAsia="宋体" w:cs="宋体"/>
                <w:b w:val="0"/>
                <w:i w:val="0"/>
                <w:color w:val="000000"/>
                <w:sz w:val="17"/>
              </w:rPr>
              <w:t>79.19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4,362.17</w:t>
            </w:r>
          </w:p>
        </w:tc>
        <w:tc>
          <w:tcPr>
            <w:tcW w:w="1460" w:type="dxa"/>
            <w:vAlign w:val="center"/>
          </w:tcPr>
          <w:p>
            <w:pPr>
              <w:jc w:val="right"/>
            </w:pPr>
            <w:r>
              <w:rPr>
                <w:rFonts w:ascii="宋体" w:hAnsi="宋体" w:eastAsia="宋体" w:cs="宋体"/>
                <w:b w:val="0"/>
                <w:i w:val="0"/>
                <w:color w:val="000000"/>
                <w:sz w:val="17"/>
              </w:rPr>
              <w:t>4,362.17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187.41</w:t>
            </w:r>
          </w:p>
        </w:tc>
        <w:tc>
          <w:tcPr>
            <w:tcW w:w="1460" w:type="dxa"/>
            <w:vAlign w:val="center"/>
          </w:tcPr>
          <w:p>
            <w:pPr>
              <w:jc w:val="right"/>
            </w:pPr>
            <w:r>
              <w:rPr>
                <w:rFonts w:ascii="宋体" w:hAnsi="宋体" w:eastAsia="宋体" w:cs="宋体"/>
                <w:b w:val="0"/>
                <w:i w:val="0"/>
                <w:color w:val="000000"/>
                <w:sz w:val="17"/>
              </w:rPr>
              <w:t>187.41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4,820.03</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4,819.86</w:t>
            </w:r>
          </w:p>
        </w:tc>
        <w:tc>
          <w:tcPr>
            <w:tcW w:w="1460" w:type="dxa"/>
            <w:vAlign w:val="center"/>
          </w:tcPr>
          <w:p>
            <w:pPr>
              <w:jc w:val="right"/>
            </w:pPr>
            <w:r>
              <w:rPr>
                <w:rFonts w:ascii="宋体" w:hAnsi="宋体" w:eastAsia="宋体" w:cs="宋体"/>
                <w:b w:val="0"/>
                <w:i w:val="0"/>
                <w:color w:val="000000"/>
                <w:sz w:val="17"/>
              </w:rPr>
              <w:t>4,819.86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0.17</w:t>
            </w:r>
          </w:p>
        </w:tc>
        <w:tc>
          <w:tcPr>
            <w:tcW w:w="1460" w:type="dxa"/>
            <w:vAlign w:val="center"/>
          </w:tcPr>
          <w:p>
            <w:pPr>
              <w:jc w:val="right"/>
            </w:pPr>
            <w:r>
              <w:rPr>
                <w:rFonts w:ascii="宋体" w:hAnsi="宋体" w:eastAsia="宋体" w:cs="宋体"/>
                <w:b w:val="0"/>
                <w:i w:val="0"/>
                <w:color w:val="000000"/>
                <w:sz w:val="17"/>
              </w:rPr>
              <w:t>0.17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4,820.03</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4,820.03</w:t>
            </w:r>
          </w:p>
        </w:tc>
        <w:tc>
          <w:tcPr>
            <w:tcW w:w="1460" w:type="dxa"/>
            <w:vAlign w:val="center"/>
          </w:tcPr>
          <w:p>
            <w:pPr>
              <w:jc w:val="right"/>
            </w:pPr>
            <w:r>
              <w:rPr>
                <w:rFonts w:ascii="宋体" w:hAnsi="宋体" w:eastAsia="宋体" w:cs="宋体"/>
                <w:b w:val="0"/>
                <w:i w:val="0"/>
                <w:color w:val="000000"/>
                <w:sz w:val="17"/>
              </w:rPr>
              <w:t>4,820.03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4,819.86</w:t>
            </w:r>
          </w:p>
        </w:tc>
        <w:tc>
          <w:tcPr>
            <w:tcW w:w="1520" w:type="dxa"/>
            <w:vAlign w:val="center"/>
          </w:tcPr>
          <w:p>
            <w:pPr>
              <w:jc w:val="right"/>
            </w:pPr>
            <w:r>
              <w:rPr>
                <w:rFonts w:ascii="宋体" w:hAnsi="宋体" w:eastAsia="宋体" w:cs="宋体"/>
                <w:b w:val="0"/>
                <w:i w:val="0"/>
                <w:color w:val="000000"/>
                <w:sz w:val="16"/>
              </w:rPr>
              <w:t>3,295.22</w:t>
            </w:r>
          </w:p>
        </w:tc>
        <w:tc>
          <w:tcPr>
            <w:tcW w:w="1526" w:type="dxa"/>
            <w:vAlign w:val="center"/>
          </w:tcPr>
          <w:p>
            <w:pPr>
              <w:jc w:val="right"/>
            </w:pPr>
            <w:r>
              <w:rPr>
                <w:rFonts w:ascii="宋体" w:hAnsi="宋体" w:eastAsia="宋体" w:cs="宋体"/>
                <w:b w:val="0"/>
                <w:i w:val="0"/>
                <w:color w:val="000000"/>
                <w:sz w:val="16"/>
              </w:rPr>
              <w:t>1,524.65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191.09</w:t>
            </w:r>
          </w:p>
        </w:tc>
        <w:tc>
          <w:tcPr>
            <w:tcW w:w="1520" w:type="dxa"/>
            <w:vAlign w:val="center"/>
          </w:tcPr>
          <w:p>
            <w:pPr>
              <w:jc w:val="right"/>
            </w:pPr>
            <w:r>
              <w:rPr>
                <w:rFonts w:ascii="宋体" w:hAnsi="宋体" w:eastAsia="宋体" w:cs="宋体"/>
                <w:b w:val="0"/>
                <w:i w:val="0"/>
                <w:color w:val="000000"/>
                <w:sz w:val="16"/>
              </w:rPr>
              <w:t>191.09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180.22</w:t>
            </w:r>
          </w:p>
        </w:tc>
        <w:tc>
          <w:tcPr>
            <w:tcW w:w="1520" w:type="dxa"/>
            <w:vAlign w:val="center"/>
          </w:tcPr>
          <w:p>
            <w:pPr>
              <w:jc w:val="right"/>
            </w:pPr>
            <w:r>
              <w:rPr>
                <w:rFonts w:ascii="宋体" w:hAnsi="宋体" w:eastAsia="宋体" w:cs="宋体"/>
                <w:b w:val="0"/>
                <w:i w:val="0"/>
                <w:color w:val="000000"/>
                <w:sz w:val="16"/>
              </w:rPr>
              <w:t>180.22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163.16</w:t>
            </w:r>
          </w:p>
        </w:tc>
        <w:tc>
          <w:tcPr>
            <w:tcW w:w="1520" w:type="dxa"/>
            <w:vAlign w:val="center"/>
          </w:tcPr>
          <w:p>
            <w:pPr>
              <w:jc w:val="right"/>
            </w:pPr>
            <w:r>
              <w:rPr>
                <w:rFonts w:ascii="宋体" w:hAnsi="宋体" w:eastAsia="宋体" w:cs="宋体"/>
                <w:b w:val="0"/>
                <w:i w:val="0"/>
                <w:color w:val="000000"/>
                <w:sz w:val="16"/>
              </w:rPr>
              <w:t>163.16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17.06</w:t>
            </w:r>
          </w:p>
        </w:tc>
        <w:tc>
          <w:tcPr>
            <w:tcW w:w="1520" w:type="dxa"/>
            <w:vAlign w:val="center"/>
          </w:tcPr>
          <w:p>
            <w:pPr>
              <w:jc w:val="right"/>
            </w:pPr>
            <w:r>
              <w:rPr>
                <w:rFonts w:ascii="宋体" w:hAnsi="宋体" w:eastAsia="宋体" w:cs="宋体"/>
                <w:b w:val="0"/>
                <w:i w:val="0"/>
                <w:color w:val="000000"/>
                <w:sz w:val="16"/>
              </w:rPr>
              <w:t>17.06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10.87</w:t>
            </w:r>
          </w:p>
        </w:tc>
        <w:tc>
          <w:tcPr>
            <w:tcW w:w="1520" w:type="dxa"/>
            <w:vAlign w:val="center"/>
          </w:tcPr>
          <w:p>
            <w:pPr>
              <w:jc w:val="right"/>
            </w:pPr>
            <w:r>
              <w:rPr>
                <w:rFonts w:ascii="宋体" w:hAnsi="宋体" w:eastAsia="宋体" w:cs="宋体"/>
                <w:b w:val="0"/>
                <w:i w:val="0"/>
                <w:color w:val="000000"/>
                <w:sz w:val="16"/>
              </w:rPr>
              <w:t>10.87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9.34</w:t>
            </w:r>
          </w:p>
        </w:tc>
        <w:tc>
          <w:tcPr>
            <w:tcW w:w="1520" w:type="dxa"/>
            <w:vAlign w:val="center"/>
          </w:tcPr>
          <w:p>
            <w:pPr>
              <w:jc w:val="right"/>
            </w:pPr>
            <w:r>
              <w:rPr>
                <w:rFonts w:ascii="宋体" w:hAnsi="宋体" w:eastAsia="宋体" w:cs="宋体"/>
                <w:b w:val="0"/>
                <w:i w:val="0"/>
                <w:color w:val="000000"/>
                <w:sz w:val="16"/>
              </w:rPr>
              <w:t>9.34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2080899</w:t>
            </w:r>
          </w:p>
        </w:tc>
        <w:tc>
          <w:tcPr>
            <w:tcW w:w="2700" w:type="dxa"/>
            <w:vAlign w:val="center"/>
          </w:tcPr>
          <w:p>
            <w:pPr>
              <w:jc w:val="left"/>
            </w:pPr>
            <w:r>
              <w:rPr>
                <w:rFonts w:ascii="宋体" w:hAnsi="宋体" w:eastAsia="宋体" w:cs="宋体"/>
                <w:b w:val="0"/>
                <w:i w:val="0"/>
                <w:color w:val="000000"/>
                <w:sz w:val="16"/>
              </w:rPr>
              <w:t>其他优抚支出</w:t>
            </w:r>
          </w:p>
        </w:tc>
        <w:tc>
          <w:tcPr>
            <w:tcW w:w="1420" w:type="dxa"/>
            <w:vAlign w:val="center"/>
          </w:tcPr>
          <w:p>
            <w:pPr>
              <w:jc w:val="right"/>
            </w:pPr>
            <w:r>
              <w:rPr>
                <w:rFonts w:ascii="宋体" w:hAnsi="宋体" w:eastAsia="宋体" w:cs="宋体"/>
                <w:b w:val="0"/>
                <w:i w:val="0"/>
                <w:color w:val="000000"/>
                <w:sz w:val="16"/>
              </w:rPr>
              <w:t>1.53</w:t>
            </w:r>
          </w:p>
        </w:tc>
        <w:tc>
          <w:tcPr>
            <w:tcW w:w="1520" w:type="dxa"/>
            <w:vAlign w:val="center"/>
          </w:tcPr>
          <w:p>
            <w:pPr>
              <w:jc w:val="right"/>
            </w:pPr>
            <w:r>
              <w:rPr>
                <w:rFonts w:ascii="宋体" w:hAnsi="宋体" w:eastAsia="宋体" w:cs="宋体"/>
                <w:b w:val="0"/>
                <w:i w:val="0"/>
                <w:color w:val="000000"/>
                <w:sz w:val="16"/>
              </w:rPr>
              <w:t>1.53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79.19</w:t>
            </w:r>
          </w:p>
        </w:tc>
        <w:tc>
          <w:tcPr>
            <w:tcW w:w="1520" w:type="dxa"/>
            <w:vAlign w:val="center"/>
          </w:tcPr>
          <w:p>
            <w:pPr>
              <w:jc w:val="right"/>
            </w:pPr>
            <w:r>
              <w:rPr>
                <w:rFonts w:ascii="宋体" w:hAnsi="宋体" w:eastAsia="宋体" w:cs="宋体"/>
                <w:b w:val="0"/>
                <w:i w:val="0"/>
                <w:color w:val="000000"/>
                <w:sz w:val="16"/>
              </w:rPr>
              <w:t>79.19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79.19</w:t>
            </w:r>
          </w:p>
        </w:tc>
        <w:tc>
          <w:tcPr>
            <w:tcW w:w="1520" w:type="dxa"/>
            <w:vAlign w:val="center"/>
          </w:tcPr>
          <w:p>
            <w:pPr>
              <w:jc w:val="right"/>
            </w:pPr>
            <w:r>
              <w:rPr>
                <w:rFonts w:ascii="宋体" w:hAnsi="宋体" w:eastAsia="宋体" w:cs="宋体"/>
                <w:b w:val="0"/>
                <w:i w:val="0"/>
                <w:color w:val="000000"/>
                <w:sz w:val="16"/>
              </w:rPr>
              <w:t>79.19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65.49</w:t>
            </w:r>
          </w:p>
        </w:tc>
        <w:tc>
          <w:tcPr>
            <w:tcW w:w="1520" w:type="dxa"/>
            <w:vAlign w:val="center"/>
          </w:tcPr>
          <w:p>
            <w:pPr>
              <w:jc w:val="right"/>
            </w:pPr>
            <w:r>
              <w:rPr>
                <w:rFonts w:ascii="宋体" w:hAnsi="宋体" w:eastAsia="宋体" w:cs="宋体"/>
                <w:b w:val="0"/>
                <w:i w:val="0"/>
                <w:color w:val="000000"/>
                <w:sz w:val="16"/>
              </w:rPr>
              <w:t>65.49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12.80</w:t>
            </w:r>
          </w:p>
        </w:tc>
        <w:tc>
          <w:tcPr>
            <w:tcW w:w="1520" w:type="dxa"/>
            <w:vAlign w:val="center"/>
          </w:tcPr>
          <w:p>
            <w:pPr>
              <w:jc w:val="right"/>
            </w:pPr>
            <w:r>
              <w:rPr>
                <w:rFonts w:ascii="宋体" w:hAnsi="宋体" w:eastAsia="宋体" w:cs="宋体"/>
                <w:b w:val="0"/>
                <w:i w:val="0"/>
                <w:color w:val="000000"/>
                <w:sz w:val="16"/>
              </w:rPr>
              <w:t>12.80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0.91</w:t>
            </w:r>
          </w:p>
        </w:tc>
        <w:tc>
          <w:tcPr>
            <w:tcW w:w="1520" w:type="dxa"/>
            <w:vAlign w:val="center"/>
          </w:tcPr>
          <w:p>
            <w:pPr>
              <w:jc w:val="right"/>
            </w:pPr>
            <w:r>
              <w:rPr>
                <w:rFonts w:ascii="宋体" w:hAnsi="宋体" w:eastAsia="宋体" w:cs="宋体"/>
                <w:b w:val="0"/>
                <w:i w:val="0"/>
                <w:color w:val="000000"/>
                <w:sz w:val="16"/>
              </w:rPr>
              <w:t>0.91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4,362.17</w:t>
            </w:r>
          </w:p>
        </w:tc>
        <w:tc>
          <w:tcPr>
            <w:tcW w:w="1520" w:type="dxa"/>
            <w:vAlign w:val="center"/>
          </w:tcPr>
          <w:p>
            <w:pPr>
              <w:jc w:val="right"/>
            </w:pPr>
            <w:r>
              <w:rPr>
                <w:rFonts w:ascii="宋体" w:hAnsi="宋体" w:eastAsia="宋体" w:cs="宋体"/>
                <w:b w:val="0"/>
                <w:i w:val="0"/>
                <w:color w:val="000000"/>
                <w:sz w:val="16"/>
              </w:rPr>
              <w:t>2,837.53</w:t>
            </w:r>
          </w:p>
        </w:tc>
        <w:tc>
          <w:tcPr>
            <w:tcW w:w="1526" w:type="dxa"/>
            <w:vAlign w:val="center"/>
          </w:tcPr>
          <w:p>
            <w:pPr>
              <w:jc w:val="right"/>
            </w:pPr>
            <w:r>
              <w:rPr>
                <w:rFonts w:ascii="宋体" w:hAnsi="宋体" w:eastAsia="宋体" w:cs="宋体"/>
                <w:b w:val="0"/>
                <w:i w:val="0"/>
                <w:color w:val="000000"/>
                <w:sz w:val="16"/>
              </w:rPr>
              <w:t>1,524.65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w:t>
            </w:r>
          </w:p>
        </w:tc>
        <w:tc>
          <w:tcPr>
            <w:tcW w:w="2700" w:type="dxa"/>
            <w:vAlign w:val="center"/>
          </w:tcPr>
          <w:p>
            <w:pPr>
              <w:jc w:val="left"/>
            </w:pPr>
            <w:r>
              <w:rPr>
                <w:rFonts w:ascii="宋体" w:hAnsi="宋体" w:eastAsia="宋体" w:cs="宋体"/>
                <w:b w:val="0"/>
                <w:i w:val="0"/>
                <w:color w:val="000000"/>
                <w:sz w:val="16"/>
              </w:rPr>
              <w:t>城乡社区管理事务</w:t>
            </w:r>
          </w:p>
        </w:tc>
        <w:tc>
          <w:tcPr>
            <w:tcW w:w="1420" w:type="dxa"/>
            <w:vAlign w:val="center"/>
          </w:tcPr>
          <w:p>
            <w:pPr>
              <w:jc w:val="right"/>
            </w:pPr>
            <w:r>
              <w:rPr>
                <w:rFonts w:ascii="宋体" w:hAnsi="宋体" w:eastAsia="宋体" w:cs="宋体"/>
                <w:b w:val="0"/>
                <w:i w:val="0"/>
                <w:color w:val="000000"/>
                <w:sz w:val="16"/>
              </w:rPr>
              <w:t>3,421.35</w:t>
            </w:r>
          </w:p>
        </w:tc>
        <w:tc>
          <w:tcPr>
            <w:tcW w:w="1520" w:type="dxa"/>
            <w:vAlign w:val="center"/>
          </w:tcPr>
          <w:p>
            <w:pPr>
              <w:jc w:val="right"/>
            </w:pPr>
            <w:r>
              <w:rPr>
                <w:rFonts w:ascii="宋体" w:hAnsi="宋体" w:eastAsia="宋体" w:cs="宋体"/>
                <w:b w:val="0"/>
                <w:i w:val="0"/>
                <w:color w:val="000000"/>
                <w:sz w:val="16"/>
              </w:rPr>
              <w:t>2,561.23</w:t>
            </w:r>
          </w:p>
        </w:tc>
        <w:tc>
          <w:tcPr>
            <w:tcW w:w="1526" w:type="dxa"/>
            <w:vAlign w:val="center"/>
          </w:tcPr>
          <w:p>
            <w:pPr>
              <w:jc w:val="right"/>
            </w:pPr>
            <w:r>
              <w:rPr>
                <w:rFonts w:ascii="宋体" w:hAnsi="宋体" w:eastAsia="宋体" w:cs="宋体"/>
                <w:b w:val="0"/>
                <w:i w:val="0"/>
                <w:color w:val="000000"/>
                <w:sz w:val="16"/>
              </w:rPr>
              <w:t>860.12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1,823.89</w:t>
            </w:r>
          </w:p>
        </w:tc>
        <w:tc>
          <w:tcPr>
            <w:tcW w:w="1520" w:type="dxa"/>
            <w:vAlign w:val="center"/>
          </w:tcPr>
          <w:p>
            <w:pPr>
              <w:jc w:val="right"/>
            </w:pPr>
            <w:r>
              <w:rPr>
                <w:rFonts w:ascii="宋体" w:hAnsi="宋体" w:eastAsia="宋体" w:cs="宋体"/>
                <w:b w:val="0"/>
                <w:i w:val="0"/>
                <w:color w:val="000000"/>
                <w:sz w:val="16"/>
              </w:rPr>
              <w:t>1,823.89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165.10</w:t>
            </w:r>
          </w:p>
        </w:tc>
        <w:tc>
          <w:tcPr>
            <w:tcW w:w="1520" w:type="dxa"/>
            <w:vAlign w:val="center"/>
          </w:tcPr>
          <w:p>
            <w:pPr>
              <w:jc w:val="right"/>
            </w:pPr>
            <w:r>
              <w:rPr>
                <w:rFonts w:ascii="宋体" w:hAnsi="宋体" w:eastAsia="宋体" w:cs="宋体"/>
                <w:b w:val="0"/>
                <w:i w:val="0"/>
                <w:color w:val="000000"/>
                <w:sz w:val="16"/>
              </w:rPr>
              <w:t>165.10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2120104</w:t>
            </w:r>
          </w:p>
        </w:tc>
        <w:tc>
          <w:tcPr>
            <w:tcW w:w="2700" w:type="dxa"/>
            <w:vAlign w:val="center"/>
          </w:tcPr>
          <w:p>
            <w:pPr>
              <w:jc w:val="left"/>
            </w:pPr>
            <w:r>
              <w:rPr>
                <w:rFonts w:ascii="宋体" w:hAnsi="宋体" w:eastAsia="宋体" w:cs="宋体"/>
                <w:b w:val="0"/>
                <w:i w:val="0"/>
                <w:color w:val="000000"/>
                <w:sz w:val="16"/>
              </w:rPr>
              <w:t>城管执法</w:t>
            </w:r>
          </w:p>
        </w:tc>
        <w:tc>
          <w:tcPr>
            <w:tcW w:w="1420" w:type="dxa"/>
            <w:vAlign w:val="center"/>
          </w:tcPr>
          <w:p>
            <w:pPr>
              <w:jc w:val="right"/>
            </w:pPr>
            <w:r>
              <w:rPr>
                <w:rFonts w:ascii="宋体" w:hAnsi="宋体" w:eastAsia="宋体" w:cs="宋体"/>
                <w:b w:val="0"/>
                <w:i w:val="0"/>
                <w:color w:val="000000"/>
                <w:sz w:val="16"/>
              </w:rPr>
              <w:t>1,432.36</w:t>
            </w:r>
          </w:p>
        </w:tc>
        <w:tc>
          <w:tcPr>
            <w:tcW w:w="1520" w:type="dxa"/>
            <w:vAlign w:val="center"/>
          </w:tcPr>
          <w:p>
            <w:pPr>
              <w:jc w:val="right"/>
            </w:pPr>
            <w:r>
              <w:rPr>
                <w:rFonts w:ascii="宋体" w:hAnsi="宋体" w:eastAsia="宋体" w:cs="宋体"/>
                <w:b w:val="0"/>
                <w:i w:val="0"/>
                <w:color w:val="000000"/>
                <w:sz w:val="16"/>
              </w:rPr>
              <w:t>572.24</w:t>
            </w:r>
          </w:p>
        </w:tc>
        <w:tc>
          <w:tcPr>
            <w:tcW w:w="1526" w:type="dxa"/>
            <w:vAlign w:val="center"/>
          </w:tcPr>
          <w:p>
            <w:pPr>
              <w:jc w:val="right"/>
            </w:pPr>
            <w:r>
              <w:rPr>
                <w:rFonts w:ascii="宋体" w:hAnsi="宋体" w:eastAsia="宋体" w:cs="宋体"/>
                <w:b w:val="0"/>
                <w:i w:val="0"/>
                <w:color w:val="000000"/>
                <w:sz w:val="16"/>
              </w:rPr>
              <w:t>860.12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940.82</w:t>
            </w:r>
          </w:p>
        </w:tc>
        <w:tc>
          <w:tcPr>
            <w:tcW w:w="1520" w:type="dxa"/>
            <w:vAlign w:val="center"/>
          </w:tcPr>
          <w:p>
            <w:pPr>
              <w:jc w:val="right"/>
            </w:pPr>
            <w:r>
              <w:rPr>
                <w:rFonts w:ascii="宋体" w:hAnsi="宋体" w:eastAsia="宋体" w:cs="宋体"/>
                <w:b w:val="0"/>
                <w:i w:val="0"/>
                <w:color w:val="000000"/>
                <w:sz w:val="16"/>
              </w:rPr>
              <w:t>276.30</w:t>
            </w:r>
          </w:p>
        </w:tc>
        <w:tc>
          <w:tcPr>
            <w:tcW w:w="1526" w:type="dxa"/>
            <w:vAlign w:val="center"/>
          </w:tcPr>
          <w:p>
            <w:pPr>
              <w:jc w:val="right"/>
            </w:pPr>
            <w:r>
              <w:rPr>
                <w:rFonts w:ascii="宋体" w:hAnsi="宋体" w:eastAsia="宋体" w:cs="宋体"/>
                <w:b w:val="0"/>
                <w:i w:val="0"/>
                <w:color w:val="000000"/>
                <w:sz w:val="16"/>
              </w:rPr>
              <w:t>664.52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2120501</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940.82</w:t>
            </w:r>
          </w:p>
        </w:tc>
        <w:tc>
          <w:tcPr>
            <w:tcW w:w="1520" w:type="dxa"/>
            <w:vAlign w:val="center"/>
          </w:tcPr>
          <w:p>
            <w:pPr>
              <w:jc w:val="right"/>
            </w:pPr>
            <w:r>
              <w:rPr>
                <w:rFonts w:ascii="宋体" w:hAnsi="宋体" w:eastAsia="宋体" w:cs="宋体"/>
                <w:b w:val="0"/>
                <w:i w:val="0"/>
                <w:color w:val="000000"/>
                <w:sz w:val="16"/>
              </w:rPr>
              <w:t>276.30</w:t>
            </w:r>
          </w:p>
        </w:tc>
        <w:tc>
          <w:tcPr>
            <w:tcW w:w="1526" w:type="dxa"/>
            <w:vAlign w:val="center"/>
          </w:tcPr>
          <w:p>
            <w:pPr>
              <w:jc w:val="right"/>
            </w:pPr>
            <w:r>
              <w:rPr>
                <w:rFonts w:ascii="宋体" w:hAnsi="宋体" w:eastAsia="宋体" w:cs="宋体"/>
                <w:b w:val="0"/>
                <w:i w:val="0"/>
                <w:color w:val="000000"/>
                <w:sz w:val="16"/>
              </w:rPr>
              <w:t>664.52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187.41</w:t>
            </w:r>
          </w:p>
        </w:tc>
        <w:tc>
          <w:tcPr>
            <w:tcW w:w="1520" w:type="dxa"/>
            <w:vAlign w:val="center"/>
          </w:tcPr>
          <w:p>
            <w:pPr>
              <w:jc w:val="right"/>
            </w:pPr>
            <w:r>
              <w:rPr>
                <w:rFonts w:ascii="宋体" w:hAnsi="宋体" w:eastAsia="宋体" w:cs="宋体"/>
                <w:b w:val="0"/>
                <w:i w:val="0"/>
                <w:color w:val="000000"/>
                <w:sz w:val="16"/>
              </w:rPr>
              <w:t>187.41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187.41</w:t>
            </w:r>
          </w:p>
        </w:tc>
        <w:tc>
          <w:tcPr>
            <w:tcW w:w="1520" w:type="dxa"/>
            <w:vAlign w:val="center"/>
          </w:tcPr>
          <w:p>
            <w:pPr>
              <w:jc w:val="right"/>
            </w:pPr>
            <w:r>
              <w:rPr>
                <w:rFonts w:ascii="宋体" w:hAnsi="宋体" w:eastAsia="宋体" w:cs="宋体"/>
                <w:b w:val="0"/>
                <w:i w:val="0"/>
                <w:color w:val="000000"/>
                <w:sz w:val="16"/>
              </w:rPr>
              <w:t>187.41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187.41</w:t>
            </w:r>
          </w:p>
        </w:tc>
        <w:tc>
          <w:tcPr>
            <w:tcW w:w="1520" w:type="dxa"/>
            <w:vAlign w:val="center"/>
          </w:tcPr>
          <w:p>
            <w:pPr>
              <w:jc w:val="right"/>
            </w:pPr>
            <w:r>
              <w:rPr>
                <w:rFonts w:ascii="宋体" w:hAnsi="宋体" w:eastAsia="宋体" w:cs="宋体"/>
                <w:b w:val="0"/>
                <w:i w:val="0"/>
                <w:color w:val="000000"/>
                <w:sz w:val="16"/>
              </w:rPr>
              <w:t>187.41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3,005.98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215.59</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712.31</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37.46</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346.10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2.13</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52.16</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108.84</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573.27</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3.43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158.07</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2.65</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51.98</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2.06</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3.43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60.05</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1.47</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4.96</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218.12</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1.10</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723.60</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1.70</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70.22</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2.46</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0.15</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9.34</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54.02</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0.25</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0.00</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15.57</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128.42</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6.86</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1.51</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1.36</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8.07</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5.76</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3,076.19</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219.02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部门：景德镇市昌江区城市管理局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51.71</w:t>
            </w:r>
          </w:p>
        </w:tc>
        <w:tc>
          <w:tcPr>
            <w:tcW w:w="1460" w:type="dxa"/>
            <w:vAlign w:val="center"/>
          </w:tcPr>
          <w:p>
            <w:pPr>
              <w:jc w:val="right"/>
            </w:pPr>
            <w:r>
              <w:rPr>
                <w:rFonts w:ascii="宋体" w:hAnsi="宋体" w:eastAsia="宋体" w:cs="宋体"/>
                <w:b w:val="0"/>
                <w:i w:val="0"/>
                <w:color w:val="000000"/>
                <w:sz w:val="16"/>
              </w:rPr>
              <w:t>51.71</w:t>
            </w:r>
          </w:p>
        </w:tc>
        <w:tc>
          <w:tcPr>
            <w:tcW w:w="1586" w:type="dxa"/>
            <w:vAlign w:val="center"/>
          </w:tcPr>
          <w:p>
            <w:pPr>
              <w:jc w:val="right"/>
            </w:pPr>
            <w:r>
              <w:rPr>
                <w:rFonts w:ascii="宋体" w:hAnsi="宋体" w:eastAsia="宋体" w:cs="宋体"/>
                <w:b w:val="0"/>
                <w:i w:val="0"/>
                <w:color w:val="000000"/>
                <w:sz w:val="17"/>
              </w:rPr>
              <w:t>35.79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51.41</w:t>
            </w:r>
          </w:p>
        </w:tc>
        <w:tc>
          <w:tcPr>
            <w:tcW w:w="1460" w:type="dxa"/>
            <w:vAlign w:val="center"/>
          </w:tcPr>
          <w:p>
            <w:pPr>
              <w:jc w:val="right"/>
            </w:pPr>
            <w:r>
              <w:rPr>
                <w:rFonts w:ascii="宋体" w:hAnsi="宋体" w:eastAsia="宋体" w:cs="宋体"/>
                <w:b w:val="0"/>
                <w:i w:val="0"/>
                <w:color w:val="000000"/>
                <w:sz w:val="16"/>
              </w:rPr>
              <w:t>51.41</w:t>
            </w:r>
          </w:p>
        </w:tc>
        <w:tc>
          <w:tcPr>
            <w:tcW w:w="1586" w:type="dxa"/>
            <w:vAlign w:val="center"/>
          </w:tcPr>
          <w:p>
            <w:pPr>
              <w:jc w:val="right"/>
            </w:pPr>
            <w:r>
              <w:rPr>
                <w:rFonts w:ascii="宋体" w:hAnsi="宋体" w:eastAsia="宋体" w:cs="宋体"/>
                <w:b w:val="0"/>
                <w:i w:val="0"/>
                <w:color w:val="000000"/>
                <w:sz w:val="17"/>
              </w:rPr>
              <w:t>35.79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51.41</w:t>
            </w:r>
          </w:p>
        </w:tc>
        <w:tc>
          <w:tcPr>
            <w:tcW w:w="1460" w:type="dxa"/>
            <w:vAlign w:val="center"/>
          </w:tcPr>
          <w:p>
            <w:pPr>
              <w:jc w:val="right"/>
            </w:pPr>
            <w:r>
              <w:rPr>
                <w:rFonts w:ascii="宋体" w:hAnsi="宋体" w:eastAsia="宋体" w:cs="宋体"/>
                <w:b w:val="0"/>
                <w:i w:val="0"/>
                <w:color w:val="000000"/>
                <w:sz w:val="16"/>
              </w:rPr>
              <w:t>51.41</w:t>
            </w:r>
          </w:p>
        </w:tc>
        <w:tc>
          <w:tcPr>
            <w:tcW w:w="1586" w:type="dxa"/>
            <w:vAlign w:val="center"/>
          </w:tcPr>
          <w:p>
            <w:pPr>
              <w:jc w:val="right"/>
            </w:pPr>
            <w:r>
              <w:rPr>
                <w:rFonts w:ascii="宋体" w:hAnsi="宋体" w:eastAsia="宋体" w:cs="宋体"/>
                <w:b w:val="0"/>
                <w:i w:val="0"/>
                <w:color w:val="000000"/>
                <w:sz w:val="17"/>
              </w:rPr>
              <w:t>35.79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0.30</w:t>
            </w:r>
          </w:p>
        </w:tc>
        <w:tc>
          <w:tcPr>
            <w:tcW w:w="1460" w:type="dxa"/>
            <w:vAlign w:val="center"/>
          </w:tcPr>
          <w:p>
            <w:pPr>
              <w:jc w:val="right"/>
            </w:pPr>
            <w:r>
              <w:rPr>
                <w:rFonts w:ascii="宋体" w:hAnsi="宋体" w:eastAsia="宋体" w:cs="宋体"/>
                <w:b w:val="0"/>
                <w:i w:val="0"/>
                <w:color w:val="000000"/>
                <w:sz w:val="16"/>
              </w:rPr>
              <w:t>0.30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景德镇市昌江区城市管理局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本部门2023年度收入总计4821.93万元，其中年初结转和结余0.02万元，比上年减少149.33万元，下降99.99%；使用非财政拨款结余和专用结余0.00万元，与上年持平；本年收入合计4821.92万元，比上年增加392.54万元</w:t>
      </w:r>
      <w:r>
        <w:rPr>
          <w:rFonts w:hint="eastAsia" w:ascii="仿宋_GB2312" w:hAnsi="仿宋_GB2312" w:eastAsia="仿宋_GB2312" w:cs="Times New Roman"/>
          <w:sz w:val="32"/>
          <w:szCs w:val="32"/>
        </w:rPr>
        <w:t>，增长8.86%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在职人员和临时人员增加、执法人员专项资金等经费</w:t>
      </w:r>
      <w:r>
        <w:rPr>
          <w:rFonts w:hint="eastAsia" w:ascii="仿宋_GB2312" w:hAnsi="仿宋_GB2312" w:eastAsia="仿宋_GB2312"/>
          <w:color w:val="auto"/>
          <w:sz w:val="32"/>
          <w:szCs w:val="32"/>
          <w:lang w:eastAsia="zh-CN"/>
        </w:rPr>
        <w:t>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本年收入的具体构成：财政拨款收入4820.03万元，占99.96%；事业收入0.00万元，占0.00%；经营收入0.00万元，占0.00%；上级补助收入0.00万元，占0.00%；附属单位上缴收入0.00万元，占0.00%；其他收入1.89万元，占0.04%。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本部门2023年度支出总计4821.93万元，其中本年支出合计4821.36万元，比上年增加392.14万元</w:t>
      </w:r>
      <w:r>
        <w:rPr>
          <w:rFonts w:hint="eastAsia" w:ascii="仿宋_GB2312" w:hAnsi="仿宋_GB2312" w:eastAsia="仿宋_GB2312" w:cs="Times New Roman"/>
          <w:sz w:val="32"/>
          <w:szCs w:val="32"/>
        </w:rPr>
        <w:t>，增长8.85%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人员经费支出增加及执法人员专项资金等经费支出</w:t>
      </w:r>
      <w:r>
        <w:rPr>
          <w:rFonts w:hint="eastAsia" w:ascii="仿宋_GB2312" w:hAnsi="仿宋_GB2312" w:eastAsia="仿宋_GB2312"/>
          <w:color w:val="auto"/>
          <w:sz w:val="32"/>
          <w:szCs w:val="32"/>
          <w:lang w:eastAsia="zh-CN"/>
        </w:rPr>
        <w:t>增加</w:t>
      </w:r>
      <w:r>
        <w:rPr>
          <w:rFonts w:hint="eastAsia" w:ascii="仿宋_GB2312" w:hAnsi="仿宋_GB2312" w:eastAsia="仿宋_GB2312"/>
          <w:sz w:val="32"/>
          <w:szCs w:val="32"/>
        </w:rPr>
        <w:t>；结余分配0.00万元，与上年持平；年末结转和结余0.57万元，比上年减少148.93万元，下降99.62%，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上缴财政资金</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本年支出的具体构成：基本支出3296.72万元，占68.38%；项目支出1524.65万元，占31.62%；经营支出0.00万元，占0.00%；上缴上级支出0.00万元，占0.00%；对附属单位补助支出0.00万元，占0.00%。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本部门2023年度财政拨款本年支出年初预算数4202.13万元，决算数4819.86万元，完成年初预算的114.70%。其中：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）社会保障和就业支出（类）年初预算数164.17万元，决算数191.09万元，完成年初预算的116.40%。预决算差异主要原因：</w:t>
      </w:r>
      <w:r>
        <w:rPr>
          <w:rFonts w:hint="eastAsia" w:ascii="仿宋_GB2312" w:hAnsi="仿宋_GB2312" w:eastAsia="仿宋_GB2312"/>
          <w:sz w:val="32"/>
          <w:szCs w:val="32"/>
          <w:lang w:eastAsia="zh-CN"/>
        </w:rPr>
        <w:t>社保缴费基数调整，年底补缴了社保缴费</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）卫生健康支出（类）年初预算数91.90万元，决算数79.19万元，完成年初预算的86.17%。预决算差异主要原因：</w:t>
      </w:r>
      <w:r>
        <w:rPr>
          <w:rFonts w:hint="eastAsia" w:ascii="仿宋_GB2312" w:hAnsi="仿宋_GB2312" w:eastAsia="仿宋_GB2312"/>
          <w:sz w:val="32"/>
          <w:szCs w:val="32"/>
          <w:lang w:eastAsia="zh-CN"/>
        </w:rPr>
        <w:t>医保缴费还是按</w:t>
      </w:r>
      <w:r>
        <w:rPr>
          <w:rFonts w:hint="eastAsia" w:ascii="仿宋_GB2312" w:hAnsi="仿宋_GB2312" w:eastAsia="仿宋_GB2312"/>
          <w:sz w:val="32"/>
          <w:szCs w:val="32"/>
          <w:lang w:val="en-US" w:eastAsia="zh-CN"/>
        </w:rPr>
        <w:t>2018年的缴费基数缴纳</w:t>
      </w:r>
      <w:r>
        <w:rPr>
          <w:rFonts w:hint="eastAsia" w:ascii="仿宋_GB2312" w:hAnsi="仿宋" w:eastAsia="仿宋_GB2312" w:cs="Times New Roman"/>
          <w:sz w:val="32"/>
          <w:szCs w:val="32"/>
          <w:lang w:val="en-US" w:eastAsia="zh-CN" w:bidi="ar-SA"/>
        </w:rPr>
        <w:t>。</w:t>
      </w:r>
    </w:p>
    <w:p>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）城乡社区支出（类）年初预算数3758.57万元，决算数4362.17万元，完成年初预算的116.06%。预决算差异主要原因：</w:t>
      </w:r>
      <w:r>
        <w:rPr>
          <w:rFonts w:hint="eastAsia" w:ascii="仿宋_GB2312" w:hAnsi="仿宋_GB2312" w:eastAsia="仿宋_GB2312"/>
          <w:sz w:val="32"/>
          <w:szCs w:val="32"/>
          <w:lang w:eastAsia="zh-CN"/>
        </w:rPr>
        <w:t>年中追加了执法人员专项资金、农村环卫一体化承包费等经费支出</w:t>
      </w:r>
      <w:r>
        <w:rPr>
          <w:rFonts w:hint="eastAsia" w:ascii="仿宋" w:hAnsi="仿宋" w:eastAsia="仿宋" w:cs="仿宋"/>
          <w:sz w:val="32"/>
          <w:szCs w:val="32"/>
          <w:lang w:eastAsia="zh-CN"/>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）住房保障支出（类）年初预算数187.50万元，决算数187.41万元，完成年初预算的99.95%。预决算差异主要原因：</w:t>
      </w:r>
      <w:r>
        <w:rPr>
          <w:rFonts w:hint="eastAsia" w:ascii="仿宋_GB2312" w:hAnsi="仿宋_GB2312" w:eastAsia="仿宋_GB2312"/>
          <w:sz w:val="32"/>
          <w:szCs w:val="32"/>
          <w:lang w:eastAsia="zh-CN"/>
        </w:rPr>
        <w:t>住房公积金缴费基数调整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本部门2023年度一般公共预算财政拨款基本支出3295.22万元，其中：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（一）工资福利支出3005.98万元，比上年增加593.37万元</w:t>
      </w:r>
      <w:r>
        <w:rPr>
          <w:rFonts w:hint="eastAsia" w:ascii="仿宋_GB2312" w:hAnsi="仿宋_GB2312" w:eastAsia="仿宋_GB2312" w:cs="Times New Roman"/>
          <w:sz w:val="32"/>
          <w:szCs w:val="32"/>
        </w:rPr>
        <w:t>，增长24.59%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在职人员和临时人员增加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（二）商品和服务支出215.59万元，比上年增加1.88万元</w:t>
      </w:r>
      <w:r>
        <w:rPr>
          <w:rFonts w:hint="eastAsia" w:ascii="仿宋_GB2312" w:hAnsi="仿宋_GB2312" w:eastAsia="仿宋_GB2312" w:cs="Times New Roman"/>
          <w:sz w:val="32"/>
          <w:szCs w:val="32"/>
        </w:rPr>
        <w:t>，增长0.88%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律师顾问费、市容整治服务费等费用增加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（三）对个人和家庭补助支出70.22万元，比上年增加9.82万元</w:t>
      </w:r>
      <w:r>
        <w:rPr>
          <w:rFonts w:hint="eastAsia" w:ascii="仿宋_GB2312" w:hAnsi="仿宋_GB2312" w:eastAsia="仿宋_GB2312" w:cs="Times New Roman"/>
          <w:sz w:val="32"/>
          <w:szCs w:val="32"/>
        </w:rPr>
        <w:t>，增长16.27%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慰问贫困户费用增加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（四）资本性支出3.43万元，比上年减少13.58万元，下降79.82%，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购买笔记本电脑、打印机等办公设备减少</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本部门2023年度财政拨款“三公”经费支出全年预算数51.71万元，决算数35.79万元，完成全年预算的69.22%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决算数比上年减少11.09万元，下降23.66%，其中：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（二）公务用车购置及运行维护费全年预算数51.41万元，决算数35.79万元，其中：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：本部门全年预算未安排公务用车购置费支出，当年也未产生公务用车购置费支出费用。决算数比上年减少23.67万元，下降100.00%,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去年购入执法车辆一辆，今年未</w:t>
      </w:r>
      <w:r>
        <w:rPr>
          <w:rFonts w:hint="eastAsia" w:ascii="仿宋_GB2312" w:hAnsi="仿宋_GB2312" w:eastAsia="仿宋_GB2312"/>
          <w:sz w:val="32"/>
          <w:szCs w:val="32"/>
        </w:rPr>
        <w:t>产生公务用车购置费支出费用。全年使用财政拨款购置公务用车0辆。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公务用车运行维护费全年预算数51.41万元，决算数35.79万元，完成全年预算的69.62%，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认真贯彻落实八项规定，有效降低公车运行费用</w:t>
      </w:r>
      <w:r>
        <w:rPr>
          <w:rFonts w:hint="eastAsia" w:ascii="仿宋_GB2312" w:hAnsi="仿宋_GB2312" w:eastAsia="仿宋_GB2312"/>
          <w:sz w:val="32"/>
          <w:szCs w:val="32"/>
        </w:rPr>
        <w:t>。决算数比上年增加12.58万元,</w:t>
      </w:r>
      <w:r>
        <w:rPr>
          <w:rFonts w:hint="eastAsia" w:ascii="仿宋_GB2312" w:hAnsi="仿宋_GB2312" w:eastAsia="仿宋_GB2312" w:cs="Times New Roman"/>
          <w:sz w:val="32"/>
          <w:szCs w:val="32"/>
        </w:rPr>
        <w:t>增长54.21%，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2023年城管局的日常巡查和专项整治活动比去年增加，公车使用频率较高，使得公务用车运行维护费增加</w:t>
      </w:r>
      <w:r>
        <w:rPr>
          <w:rFonts w:hint="eastAsia" w:ascii="仿宋_GB2312" w:hAnsi="仿宋_GB2312" w:eastAsia="仿宋_GB2312"/>
          <w:sz w:val="32"/>
          <w:szCs w:val="32"/>
        </w:rPr>
        <w:t>。年末使用财政拨款负担费用的公务用车保有量13辆。</w:t>
      </w:r>
    </w:p>
    <w:p>
      <w:pPr>
        <w:ind w:firstLine="640" w:firstLineChars="200"/>
        <w:jc w:val="left"/>
        <w:rPr>
          <w:rFonts w:hint="eastAsia" w:ascii="仿宋_GB2312" w:hAnsi="仿宋" w:eastAsia="仿宋_GB2312" w:cs="Times New Roman"/>
          <w:sz w:val="32"/>
          <w:szCs w:val="32"/>
          <w:lang w:val="en-US" w:eastAsia="zh-CN" w:bidi="ar-SA"/>
        </w:rPr>
      </w:pPr>
      <w:r>
        <w:rPr>
          <w:rFonts w:hint="eastAsia" w:ascii="仿宋_GB2312" w:hAnsi="仿宋_GB2312" w:eastAsia="仿宋_GB2312"/>
          <w:sz w:val="32"/>
          <w:szCs w:val="32"/>
        </w:rPr>
        <w:t>（三）公务接待费全年预算数0.30万元，决算数0.00万元，完成全年预算的0.00%，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认真贯彻落实八项规定，严格遵守有关公务接待规定</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本部门当年及上年均未产生公务接待费支出费用。全年国内</w:t>
      </w:r>
      <w:r>
        <w:rPr>
          <w:rFonts w:hint="eastAsia" w:ascii="仿宋_GB2312" w:hAnsi="仿宋_GB2312" w:eastAsia="仿宋_GB2312"/>
          <w:sz w:val="32"/>
          <w:szCs w:val="32"/>
        </w:rPr>
        <w:t>公务接待0批，累计接待0人次，主要是：</w:t>
      </w:r>
      <w:r>
        <w:rPr>
          <w:rFonts w:hint="eastAsia" w:ascii="仿宋_GB2312" w:hAnsi="仿宋" w:eastAsia="仿宋_GB2312" w:cs="Times New Roman"/>
          <w:sz w:val="32"/>
          <w:szCs w:val="32"/>
          <w:lang w:val="en-US" w:eastAsia="zh-CN" w:bidi="ar-SA"/>
        </w:rPr>
        <w:t>本部门未产生公务接待费支出费用。</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本部门2023年度机关运行经费支出197.21万元，决算数比上年减少13.21万元，下降6.28%，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落实过紧日子要求压减</w:t>
      </w:r>
      <w:r>
        <w:rPr>
          <w:rFonts w:hint="eastAsia" w:ascii="仿宋_GB2312" w:hAnsi="仿宋_GB2312" w:eastAsia="仿宋_GB2312" w:cs="Times New Roman"/>
          <w:color w:val="auto"/>
          <w:sz w:val="32"/>
          <w:szCs w:val="32"/>
          <w:lang w:eastAsia="zh-CN"/>
        </w:rPr>
        <w:t>一般性</w:t>
      </w:r>
      <w:r>
        <w:rPr>
          <w:rFonts w:hint="eastAsia" w:ascii="仿宋_GB2312" w:hAnsi="仿宋_GB2312" w:eastAsia="仿宋_GB2312" w:cs="Times New Roman"/>
          <w:color w:val="auto"/>
          <w:sz w:val="32"/>
          <w:szCs w:val="32"/>
        </w:rPr>
        <w:t>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9"/>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55.66万元，其中：政府采购货物支出44.72万元、政府采购工程支出6.36万元、政府采购服务支出4.58万元。授予中小企业合同金额38.42万元，占政府采购支出总额的69.02%，其中：授予小微企业合同金额38.42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61.45</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13</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13</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1676.66</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 w:cs="仿宋_GB2312"/>
          <w:kern w:val="0"/>
          <w:sz w:val="32"/>
          <w:szCs w:val="32"/>
          <w:lang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分别为：打击两违专项经费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ascii="仿宋" w:hAnsi="仿宋" w:eastAsia="仿宋" w:cs="仿宋"/>
          <w:b w:val="0"/>
          <w:i w:val="0"/>
          <w:caps w:val="0"/>
          <w:color w:val="000000"/>
          <w:spacing w:val="0"/>
          <w:sz w:val="31"/>
          <w:szCs w:val="31"/>
          <w:shd w:val="clear" w:color="auto" w:fill="FFFFFF"/>
        </w:rPr>
        <w:t>项目立项依据充分，立项程序规范，绩效目标设置合理，财务管理和业务管理制度较健全，任务完成良好，基本达到预期效果</w:t>
      </w:r>
      <w:r>
        <w:rPr>
          <w:rFonts w:hint="eastAsia" w:ascii="仿宋" w:hAnsi="仿宋" w:eastAsia="仿宋" w:cs="仿宋"/>
          <w:b w:val="0"/>
          <w:i w:val="0"/>
          <w:caps w:val="0"/>
          <w:color w:val="000000"/>
          <w:spacing w:val="0"/>
          <w:sz w:val="31"/>
          <w:szCs w:val="31"/>
          <w:shd w:val="clear" w:color="auto" w:fill="FFFFFF"/>
          <w:lang w:eastAsia="zh-CN"/>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4820.03</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color w:val="auto"/>
          <w:kern w:val="0"/>
          <w:sz w:val="30"/>
          <w:szCs w:val="30"/>
          <w:lang w:val="en-US" w:eastAsia="zh-CN"/>
        </w:rPr>
        <w:t>部门资金预算安排与财政重点工作紧密结合，资金效益发挥明显</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numPr>
          <w:ilvl w:val="0"/>
          <w:numId w:val="0"/>
        </w:numPr>
        <w:ind w:firstLine="960" w:firstLineChars="300"/>
        <w:jc w:val="left"/>
        <w:rPr>
          <w:rFonts w:hint="eastAsia" w:ascii="仿宋" w:hAnsi="仿宋" w:eastAsia="仿宋"/>
          <w:sz w:val="32"/>
          <w:szCs w:val="22"/>
        </w:rPr>
      </w:pPr>
      <w:r>
        <w:rPr>
          <w:rFonts w:hint="eastAsia" w:ascii="仿宋" w:hAnsi="仿宋" w:eastAsia="仿宋" w:cs="仿宋_GB2312"/>
          <w:sz w:val="32"/>
          <w:szCs w:val="40"/>
          <w:lang w:val="en-US" w:eastAsia="zh-CN"/>
        </w:rPr>
        <w:t xml:space="preserve"> 一、</w:t>
      </w:r>
      <w:r>
        <w:rPr>
          <w:rFonts w:hint="eastAsia" w:ascii="仿宋" w:hAnsi="仿宋" w:eastAsia="仿宋" w:cs="仿宋_GB2312"/>
          <w:sz w:val="32"/>
          <w:szCs w:val="40"/>
        </w:rPr>
        <w:t>单位自评工作开展情况</w:t>
      </w:r>
    </w:p>
    <w:p>
      <w:pPr>
        <w:numPr>
          <w:ilvl w:val="0"/>
          <w:numId w:val="0"/>
        </w:numPr>
        <w:ind w:firstLine="960" w:firstLineChars="300"/>
        <w:jc w:val="left"/>
        <w:rPr>
          <w:rFonts w:hint="eastAsia" w:ascii="仿宋" w:hAnsi="仿宋" w:eastAsia="仿宋"/>
          <w:sz w:val="32"/>
          <w:szCs w:val="22"/>
        </w:rPr>
      </w:pPr>
      <w:r>
        <w:rPr>
          <w:rFonts w:hint="eastAsia" w:ascii="仿宋" w:hAnsi="仿宋" w:eastAsia="仿宋"/>
          <w:sz w:val="32"/>
          <w:szCs w:val="22"/>
        </w:rPr>
        <w:t>根据</w:t>
      </w:r>
      <w:r>
        <w:rPr>
          <w:rFonts w:hint="eastAsia" w:ascii="仿宋" w:hAnsi="仿宋" w:eastAsia="仿宋"/>
          <w:sz w:val="32"/>
          <w:szCs w:val="22"/>
          <w:lang w:eastAsia="zh-CN"/>
        </w:rPr>
        <w:t>关于</w:t>
      </w:r>
      <w:r>
        <w:rPr>
          <w:rFonts w:hint="eastAsia" w:ascii="仿宋" w:hAnsi="仿宋" w:eastAsia="仿宋"/>
          <w:sz w:val="32"/>
          <w:szCs w:val="22"/>
        </w:rPr>
        <w:t>绩效管理</w:t>
      </w:r>
      <w:r>
        <w:rPr>
          <w:rFonts w:hint="eastAsia" w:ascii="仿宋" w:hAnsi="仿宋" w:eastAsia="仿宋"/>
          <w:sz w:val="32"/>
          <w:szCs w:val="22"/>
          <w:lang w:eastAsia="zh-CN"/>
        </w:rPr>
        <w:t>工作</w:t>
      </w:r>
      <w:r>
        <w:rPr>
          <w:rFonts w:hint="eastAsia" w:ascii="仿宋" w:hAnsi="仿宋" w:eastAsia="仿宋"/>
          <w:sz w:val="32"/>
          <w:szCs w:val="22"/>
        </w:rPr>
        <w:t>的部署要求，对我单位20</w:t>
      </w:r>
      <w:r>
        <w:rPr>
          <w:rFonts w:hint="eastAsia" w:ascii="仿宋" w:hAnsi="仿宋" w:eastAsia="仿宋"/>
          <w:sz w:val="32"/>
          <w:szCs w:val="22"/>
          <w:lang w:val="en-US" w:eastAsia="zh-CN"/>
        </w:rPr>
        <w:t>23</w:t>
      </w:r>
      <w:r>
        <w:rPr>
          <w:rFonts w:hint="eastAsia" w:ascii="仿宋" w:hAnsi="仿宋" w:eastAsia="仿宋"/>
          <w:sz w:val="32"/>
          <w:szCs w:val="22"/>
        </w:rPr>
        <w:t>年的绩效目标完成情况进行自评。自评过程中，本着强化绩效目标意识、提高部门整体资金使用效率、提升绩效管理水平的原则，通过目标计划梳理、工作数据采集、项目完成情况调查等方式对我部门20</w:t>
      </w:r>
      <w:r>
        <w:rPr>
          <w:rFonts w:hint="eastAsia" w:ascii="仿宋" w:hAnsi="仿宋" w:eastAsia="仿宋"/>
          <w:sz w:val="32"/>
          <w:szCs w:val="22"/>
          <w:lang w:val="en-US" w:eastAsia="zh-CN"/>
        </w:rPr>
        <w:t>23</w:t>
      </w:r>
      <w:r>
        <w:rPr>
          <w:rFonts w:hint="eastAsia" w:ascii="仿宋" w:hAnsi="仿宋" w:eastAsia="仿宋"/>
          <w:sz w:val="32"/>
          <w:szCs w:val="22"/>
        </w:rPr>
        <w:t>年度预算资金使用情况进行检查，并评估资金的使用效率和工作开展情况。我单位20</w:t>
      </w:r>
      <w:r>
        <w:rPr>
          <w:rFonts w:hint="eastAsia" w:ascii="仿宋" w:hAnsi="仿宋" w:eastAsia="仿宋"/>
          <w:sz w:val="32"/>
          <w:szCs w:val="22"/>
          <w:lang w:val="en-US" w:eastAsia="zh-CN"/>
        </w:rPr>
        <w:t>23</w:t>
      </w:r>
      <w:r>
        <w:rPr>
          <w:rFonts w:hint="eastAsia" w:ascii="仿宋" w:hAnsi="仿宋" w:eastAsia="仿宋"/>
          <w:sz w:val="32"/>
          <w:szCs w:val="22"/>
        </w:rPr>
        <w:t>年涉及</w:t>
      </w:r>
      <w:r>
        <w:rPr>
          <w:rFonts w:hint="eastAsia" w:ascii="仿宋" w:hAnsi="仿宋" w:eastAsia="仿宋"/>
          <w:sz w:val="32"/>
          <w:szCs w:val="22"/>
          <w:lang w:eastAsia="zh-CN"/>
        </w:rPr>
        <w:t>绩效自评</w:t>
      </w:r>
      <w:r>
        <w:rPr>
          <w:rFonts w:hint="eastAsia" w:ascii="仿宋" w:hAnsi="仿宋" w:eastAsia="仿宋"/>
          <w:sz w:val="32"/>
          <w:szCs w:val="22"/>
          <w:lang w:val="en-US" w:eastAsia="zh-CN"/>
        </w:rPr>
        <w:t>19</w:t>
      </w:r>
      <w:r>
        <w:rPr>
          <w:rFonts w:hint="eastAsia" w:ascii="仿宋" w:hAnsi="仿宋" w:eastAsia="仿宋"/>
          <w:sz w:val="32"/>
          <w:szCs w:val="22"/>
        </w:rPr>
        <w:t>个项目，预算总金额</w:t>
      </w:r>
      <w:r>
        <w:rPr>
          <w:rFonts w:hint="eastAsia" w:ascii="仿宋" w:hAnsi="仿宋" w:eastAsia="仿宋"/>
          <w:sz w:val="32"/>
          <w:szCs w:val="22"/>
          <w:lang w:val="en-US" w:eastAsia="zh-CN"/>
        </w:rPr>
        <w:t>1676.66</w:t>
      </w:r>
      <w:r>
        <w:rPr>
          <w:rFonts w:hint="eastAsia" w:ascii="仿宋" w:hAnsi="仿宋" w:eastAsia="仿宋"/>
          <w:sz w:val="32"/>
          <w:szCs w:val="22"/>
        </w:rPr>
        <w:t>万元。</w:t>
      </w:r>
    </w:p>
    <w:p>
      <w:pPr>
        <w:numPr>
          <w:ilvl w:val="0"/>
          <w:numId w:val="0"/>
        </w:numPr>
        <w:jc w:val="left"/>
        <w:rPr>
          <w:rFonts w:hint="eastAsia" w:ascii="仿宋" w:hAnsi="仿宋" w:eastAsia="仿宋"/>
          <w:sz w:val="32"/>
          <w:szCs w:val="22"/>
        </w:rPr>
      </w:pPr>
      <w:r>
        <w:rPr>
          <w:rFonts w:hint="eastAsia" w:ascii="仿宋" w:hAnsi="仿宋" w:eastAsia="仿宋"/>
          <w:sz w:val="32"/>
          <w:szCs w:val="22"/>
        </w:rPr>
        <w:t>根据绩效评价的基本原理、原则和预算绩效管理的相关要求，结合部门特点，评价小组设计了本次绩效评价的指标体系。  　　</w:t>
      </w:r>
    </w:p>
    <w:p>
      <w:pPr>
        <w:numPr>
          <w:ilvl w:val="0"/>
          <w:numId w:val="0"/>
        </w:numPr>
        <w:jc w:val="left"/>
        <w:rPr>
          <w:rFonts w:hint="eastAsia" w:ascii="仿宋" w:hAnsi="仿宋" w:eastAsia="仿宋"/>
          <w:sz w:val="32"/>
          <w:szCs w:val="22"/>
        </w:rPr>
      </w:pPr>
      <w:r>
        <w:rPr>
          <w:rFonts w:hint="eastAsia" w:ascii="仿宋" w:hAnsi="仿宋" w:eastAsia="仿宋"/>
          <w:sz w:val="32"/>
          <w:szCs w:val="22"/>
        </w:rPr>
        <w:t>按照逻辑分析法，20</w:t>
      </w:r>
      <w:r>
        <w:rPr>
          <w:rFonts w:hint="eastAsia" w:ascii="仿宋" w:hAnsi="仿宋" w:eastAsia="仿宋"/>
          <w:sz w:val="32"/>
          <w:szCs w:val="22"/>
          <w:lang w:val="en-US" w:eastAsia="zh-CN"/>
        </w:rPr>
        <w:t>23</w:t>
      </w:r>
      <w:r>
        <w:rPr>
          <w:rFonts w:hint="eastAsia" w:ascii="仿宋" w:hAnsi="仿宋" w:eastAsia="仿宋"/>
          <w:sz w:val="32"/>
          <w:szCs w:val="22"/>
        </w:rPr>
        <w:t>年部门整体支出绩效评价指标体系包括投入、产出、效果三部分内容，由三级指标构成。其中一级指标和二级指标参考《财政项目支出绩效评价共性指标框架》设置，三级指标针对部门特点进行了个性化设计。  　　</w:t>
      </w:r>
    </w:p>
    <w:p>
      <w:pPr>
        <w:numPr>
          <w:ilvl w:val="0"/>
          <w:numId w:val="0"/>
        </w:numPr>
        <w:jc w:val="left"/>
        <w:rPr>
          <w:rFonts w:hint="eastAsia" w:ascii="仿宋" w:hAnsi="仿宋" w:eastAsia="仿宋"/>
          <w:sz w:val="32"/>
          <w:szCs w:val="22"/>
        </w:rPr>
      </w:pPr>
      <w:r>
        <w:rPr>
          <w:rFonts w:hint="eastAsia" w:ascii="仿宋" w:hAnsi="仿宋" w:eastAsia="仿宋"/>
          <w:sz w:val="32"/>
          <w:szCs w:val="22"/>
        </w:rPr>
        <w:t>投入指标分为预算指标和目标设定。预算指标主要考察项目预算执行情况；目标设定主要考察目标设置是否合理。  　</w:t>
      </w:r>
    </w:p>
    <w:p>
      <w:pPr>
        <w:numPr>
          <w:ilvl w:val="0"/>
          <w:numId w:val="0"/>
        </w:numPr>
        <w:jc w:val="left"/>
        <w:rPr>
          <w:rFonts w:hint="eastAsia" w:ascii="仿宋" w:hAnsi="仿宋" w:eastAsia="仿宋"/>
          <w:sz w:val="32"/>
          <w:szCs w:val="22"/>
        </w:rPr>
      </w:pPr>
      <w:r>
        <w:rPr>
          <w:rFonts w:hint="eastAsia" w:ascii="仿宋" w:hAnsi="仿宋" w:eastAsia="仿宋"/>
          <w:sz w:val="32"/>
          <w:szCs w:val="22"/>
        </w:rPr>
        <w:t>　产出指标从数量指标、质量指标、时效指标、成本指标四个方面，设置具体三级指标，对实际开展的工作进行评价。  　　效果指标分为社会效益指标及受益对象满意度指标。主要考察项目的社会效益、可持续影响性以及服务对象的满意度。</w:t>
      </w:r>
    </w:p>
    <w:p>
      <w:pPr>
        <w:numPr>
          <w:ilvl w:val="0"/>
          <w:numId w:val="0"/>
        </w:numPr>
        <w:ind w:firstLine="960" w:firstLineChars="300"/>
        <w:jc w:val="left"/>
        <w:rPr>
          <w:rFonts w:hint="eastAsia" w:ascii="仿宋" w:hAnsi="仿宋" w:eastAsia="仿宋"/>
          <w:sz w:val="32"/>
          <w:szCs w:val="22"/>
        </w:rPr>
      </w:pPr>
      <w:r>
        <w:rPr>
          <w:rFonts w:hint="eastAsia" w:ascii="仿宋" w:hAnsi="仿宋" w:eastAsia="仿宋" w:cs="仿宋_GB2312"/>
          <w:sz w:val="32"/>
          <w:szCs w:val="40"/>
          <w:lang w:eastAsia="zh-CN"/>
        </w:rPr>
        <w:t>二、</w:t>
      </w:r>
      <w:r>
        <w:rPr>
          <w:rFonts w:hint="eastAsia" w:ascii="仿宋" w:hAnsi="仿宋" w:eastAsia="仿宋" w:cs="仿宋_GB2312"/>
          <w:sz w:val="32"/>
          <w:szCs w:val="40"/>
        </w:rPr>
        <w:t>综合评价结论</w:t>
      </w:r>
    </w:p>
    <w:p>
      <w:pPr>
        <w:numPr>
          <w:ilvl w:val="0"/>
          <w:numId w:val="0"/>
        </w:numPr>
        <w:ind w:firstLine="960" w:firstLineChars="300"/>
        <w:jc w:val="left"/>
        <w:rPr>
          <w:rFonts w:hint="eastAsia" w:ascii="仿宋" w:hAnsi="仿宋" w:eastAsia="仿宋"/>
          <w:sz w:val="32"/>
          <w:szCs w:val="22"/>
        </w:rPr>
      </w:pPr>
      <w:r>
        <w:rPr>
          <w:rFonts w:hint="eastAsia" w:ascii="仿宋" w:hAnsi="仿宋" w:eastAsia="仿宋"/>
          <w:sz w:val="32"/>
          <w:szCs w:val="22"/>
        </w:rPr>
        <w:t>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项目绩效自评等级为：优秀。　　</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eastAsia="zh-CN"/>
        </w:rPr>
        <w:t>三、</w:t>
      </w:r>
      <w:r>
        <w:rPr>
          <w:rFonts w:hint="eastAsia" w:ascii="仿宋" w:hAnsi="仿宋" w:eastAsia="仿宋" w:cs="仿宋_GB2312"/>
          <w:sz w:val="32"/>
          <w:szCs w:val="40"/>
        </w:rPr>
        <w:t>绩效目标完成情况总体分析</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sz w:val="32"/>
          <w:szCs w:val="22"/>
        </w:rPr>
        <w:t>总体自评结果良好，项目立项程序完整、规范，设置了明确的绩效目标，财务相关管理制度健全，预算执行及时、有效，活动开展及时有效，群众满意度较高，基本实现了预期</w:t>
      </w:r>
      <w:r>
        <w:rPr>
          <w:rFonts w:hint="eastAsia" w:ascii="仿宋" w:hAnsi="仿宋" w:eastAsia="仿宋"/>
          <w:sz w:val="32"/>
          <w:szCs w:val="22"/>
          <w:lang w:eastAsia="zh-CN"/>
        </w:rPr>
        <w:t>。</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eastAsia="zh-CN"/>
        </w:rPr>
        <w:t>四、</w:t>
      </w:r>
      <w:r>
        <w:rPr>
          <w:rFonts w:hint="eastAsia" w:ascii="仿宋" w:hAnsi="仿宋" w:eastAsia="仿宋" w:cs="仿宋_GB2312"/>
          <w:sz w:val="32"/>
          <w:szCs w:val="40"/>
        </w:rPr>
        <w:t>偏离绩效目标的原因和改进措施</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sz w:val="32"/>
          <w:szCs w:val="22"/>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pPr>
        <w:numPr>
          <w:ilvl w:val="0"/>
          <w:numId w:val="0"/>
        </w:numPr>
        <w:jc w:val="left"/>
        <w:rPr>
          <w:rFonts w:hint="eastAsia" w:ascii="仿宋" w:hAnsi="仿宋" w:eastAsia="仿宋"/>
          <w:sz w:val="32"/>
          <w:szCs w:val="22"/>
        </w:rPr>
      </w:pPr>
      <w:r>
        <w:rPr>
          <w:rFonts w:hint="eastAsia" w:ascii="仿宋" w:hAnsi="仿宋" w:eastAsia="仿宋"/>
          <w:sz w:val="32"/>
          <w:szCs w:val="22"/>
          <w:lang w:eastAsia="zh-CN"/>
        </w:rPr>
        <w:t>改进措施：</w:t>
      </w:r>
      <w:r>
        <w:rPr>
          <w:rFonts w:hint="eastAsia" w:ascii="仿宋" w:hAnsi="仿宋" w:eastAsia="仿宋"/>
          <w:sz w:val="32"/>
          <w:szCs w:val="22"/>
        </w:rPr>
        <w:t>1.对自评结果进行通报反馈，对项目进行总结回顾，查漏补缺，对需要改进的地方积极反思，创新工作方式方法，不断完善项目。  　　</w:t>
      </w:r>
    </w:p>
    <w:p>
      <w:pPr>
        <w:numPr>
          <w:ilvl w:val="0"/>
          <w:numId w:val="1"/>
        </w:numPr>
        <w:jc w:val="left"/>
        <w:rPr>
          <w:rFonts w:hint="eastAsia" w:ascii="仿宋" w:hAnsi="仿宋" w:eastAsia="仿宋"/>
          <w:sz w:val="32"/>
          <w:szCs w:val="22"/>
        </w:rPr>
      </w:pPr>
      <w:r>
        <w:rPr>
          <w:rFonts w:hint="eastAsia" w:ascii="仿宋" w:hAnsi="仿宋" w:eastAsia="仿宋"/>
          <w:sz w:val="32"/>
          <w:szCs w:val="22"/>
        </w:rPr>
        <w:t>进一步优化项目指标，注重其科学性、实用性、可实现性和可操作性，尽可能地设计客观性的量化指标，并适当使用定性指标；既关注部门的工作目标，也考虑受益者、社会公众的体验和感受，做到相互补充，科学可行。  　　</w:t>
      </w:r>
    </w:p>
    <w:p>
      <w:pPr>
        <w:numPr>
          <w:ilvl w:val="0"/>
          <w:numId w:val="0"/>
        </w:numPr>
        <w:jc w:val="left"/>
        <w:rPr>
          <w:rFonts w:hint="eastAsia" w:ascii="仿宋" w:hAnsi="仿宋" w:eastAsia="仿宋"/>
          <w:sz w:val="32"/>
          <w:szCs w:val="22"/>
        </w:rPr>
      </w:pPr>
      <w:r>
        <w:rPr>
          <w:rFonts w:hint="eastAsia" w:ascii="仿宋" w:hAnsi="仿宋" w:eastAsia="仿宋"/>
          <w:sz w:val="32"/>
          <w:szCs w:val="22"/>
        </w:rPr>
        <w:t>3.进一步建立健全预算管理和专项资金管理制度，加强资金监管，明确工作责任，将项目预算执行情况与年终考核挂钩，提升工作积极性，从而促进项目预算的有序进行。</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eastAsia="zh-CN"/>
        </w:rPr>
        <w:t>五、</w:t>
      </w:r>
      <w:r>
        <w:rPr>
          <w:rFonts w:hint="eastAsia" w:ascii="仿宋" w:hAnsi="仿宋" w:eastAsia="仿宋" w:cs="仿宋_GB2312"/>
          <w:sz w:val="32"/>
          <w:szCs w:val="40"/>
        </w:rPr>
        <w:t>绩效自评结果拟应用和公开情况</w:t>
      </w:r>
    </w:p>
    <w:p>
      <w:pPr>
        <w:ind w:firstLine="960" w:firstLineChars="300"/>
        <w:rPr>
          <w:rFonts w:hint="eastAsia" w:ascii="仿宋_GB2312" w:hAnsi="仿宋_GB2312" w:eastAsia="仿宋_GB2312" w:cs="仿宋_GB2312"/>
          <w:color w:val="FF0000"/>
          <w:kern w:val="0"/>
          <w:sz w:val="32"/>
          <w:szCs w:val="32"/>
        </w:rPr>
      </w:pPr>
      <w:r>
        <w:rPr>
          <w:rFonts w:hint="eastAsia" w:ascii="仿宋" w:hAnsi="仿宋" w:eastAsia="仿宋" w:cs="仿宋"/>
          <w:b w:val="0"/>
          <w:bCs w:val="0"/>
          <w:i w:val="0"/>
          <w:iCs w:val="0"/>
          <w:caps w:val="0"/>
          <w:color w:val="000000"/>
          <w:spacing w:val="0"/>
          <w:sz w:val="32"/>
          <w:szCs w:val="32"/>
          <w:shd w:val="clear" w:color="auto" w:fill="FFFFFF"/>
          <w:lang w:val="en-US" w:eastAsia="zh-CN"/>
        </w:rPr>
        <w:t>绩效评价结果将作为以后年度昌江区城市管理局</w:t>
      </w:r>
      <w:r>
        <w:rPr>
          <w:rFonts w:ascii="仿宋" w:hAnsi="仿宋" w:eastAsia="仿宋" w:cs="仿宋"/>
          <w:b w:val="0"/>
          <w:bCs w:val="0"/>
          <w:i w:val="0"/>
          <w:iCs w:val="0"/>
          <w:caps w:val="0"/>
          <w:color w:val="000000"/>
          <w:spacing w:val="0"/>
          <w:sz w:val="32"/>
          <w:szCs w:val="32"/>
          <w:shd w:val="clear" w:color="auto" w:fill="FFFFFF"/>
        </w:rPr>
        <w:t>资金分配的重要依据，并作为</w:t>
      </w:r>
      <w:r>
        <w:rPr>
          <w:rFonts w:hint="eastAsia" w:ascii="仿宋" w:hAnsi="仿宋" w:eastAsia="仿宋" w:cs="仿宋"/>
          <w:b w:val="0"/>
          <w:bCs w:val="0"/>
          <w:i w:val="0"/>
          <w:iCs w:val="0"/>
          <w:caps w:val="0"/>
          <w:color w:val="000000"/>
          <w:spacing w:val="0"/>
          <w:sz w:val="32"/>
          <w:szCs w:val="32"/>
          <w:shd w:val="clear" w:color="auto" w:fill="FFFFFF"/>
          <w:lang w:eastAsia="zh-CN"/>
        </w:rPr>
        <w:t>本中心</w:t>
      </w:r>
      <w:r>
        <w:rPr>
          <w:rFonts w:ascii="仿宋" w:hAnsi="仿宋" w:eastAsia="仿宋" w:cs="仿宋"/>
          <w:b w:val="0"/>
          <w:bCs w:val="0"/>
          <w:i w:val="0"/>
          <w:iCs w:val="0"/>
          <w:caps w:val="0"/>
          <w:color w:val="000000"/>
          <w:spacing w:val="0"/>
          <w:sz w:val="32"/>
          <w:szCs w:val="32"/>
          <w:shd w:val="clear" w:color="auto" w:fill="FFFFFF"/>
        </w:rPr>
        <w:t>认可的其他有关工作的参考依据。绩效评价的结果将按照财政有关要求在指定信息平台进行公布。</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eastAsia="zh-CN"/>
        </w:rPr>
        <w:t>打击两违</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垃圾分类工作经费</w:t>
      </w:r>
      <w:r>
        <w:rPr>
          <w:rFonts w:hint="eastAsia" w:ascii="仿宋_GB2312" w:hAnsi="仿宋_GB2312" w:eastAsia="仿宋_GB2312" w:cs="仿宋_GB2312"/>
          <w:kern w:val="0"/>
          <w:sz w:val="32"/>
          <w:szCs w:val="32"/>
        </w:rPr>
        <w:t xml:space="preserve"> ” 项目支出绩效自评结果如下：</w:t>
      </w:r>
    </w:p>
    <w:tbl>
      <w:tblPr>
        <w:tblStyle w:val="6"/>
        <w:tblW w:w="10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70"/>
        <w:gridCol w:w="593"/>
        <w:gridCol w:w="1594"/>
        <w:gridCol w:w="1363"/>
        <w:gridCol w:w="602"/>
        <w:gridCol w:w="848"/>
        <w:gridCol w:w="1136"/>
        <w:gridCol w:w="554"/>
        <w:gridCol w:w="619"/>
        <w:gridCol w:w="766"/>
        <w:gridCol w:w="614"/>
        <w:gridCol w:w="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 w:type="dxa"/>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打击两违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5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大力打击区域“两违”行为，有效维护城市规划和城市建设秩序。</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混凝土结构件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拆除违法违建（平方米）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违法建筑拆除验收合格率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违法建筑拆除及时率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安全隐患排查数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 w:type="dxa"/>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03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3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垃圾分类工作经费1(昌府办抄字〔2023〕84号)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84.94</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33.97562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84.94</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基础设施，推动实施生活垃圾分类制度，为实现生活垃圾减量化、资源化无害化处理提供基础。通过广泛宣传，形成浓厚的社会氛围，提供市民对生活垃圾分类工作的知晓率、认同和参与度，引导居民群众建立垃圾分类意识，树立环保低碳理念。</w:t>
            </w:r>
          </w:p>
        </w:tc>
        <w:tc>
          <w:tcPr>
            <w:tcW w:w="36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垃圾分类督导员培训费用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四分类垃圾桶费用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户外大型立体宣传栏费用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宣传喇叭费用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不锈钢宣传栏费用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草地宣传标语牌费用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宣传帆布袋费用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宣传单页费用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宣传册（条例条规）费用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新闻媒体报道宣传费用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宣传视频制作费用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垃圾分类亭费用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四分类垃圾桶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垃圾分类督导员培训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＝10座</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户外大型立体宣传栏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宣传单页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宣传视频制作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宣传喇叭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草地宣传标语牌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宣传帆布袋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新闻媒体报道宣传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不锈钢宣传栏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采购垃圾分类亭合格率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民众知晓率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采购垃圾桶合格率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垃圾分类知识知晓率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垃圾污染率降低</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＞92百分率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rPr>
          <w:rFonts w:hint="eastAsia" w:ascii="仿宋_GB2312" w:hAnsi="仿宋_GB2312" w:eastAsia="仿宋_GB2312"/>
          <w:color w:val="FF0000"/>
          <w:kern w:val="0"/>
          <w:sz w:val="32"/>
          <w:szCs w:val="32"/>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w:t>
      </w:r>
      <w:r>
        <w:rPr>
          <w:rFonts w:hint="eastAsia" w:ascii="仿宋" w:hAnsi="仿宋" w:eastAsia="仿宋" w:cs="仿宋"/>
          <w:b w:val="0"/>
          <w:i w:val="0"/>
          <w:caps w:val="0"/>
          <w:color w:val="000000"/>
          <w:spacing w:val="0"/>
          <w:sz w:val="30"/>
          <w:szCs w:val="30"/>
          <w:shd w:val="clear" w:color="auto" w:fill="FFFFFF"/>
          <w:lang w:eastAsia="zh-CN"/>
        </w:rPr>
        <w:t>城乡社区</w:t>
      </w:r>
      <w:r>
        <w:rPr>
          <w:rFonts w:hint="eastAsia" w:ascii="仿宋" w:hAnsi="仿宋" w:eastAsia="仿宋" w:cs="仿宋"/>
          <w:b w:val="0"/>
          <w:i w:val="0"/>
          <w:caps w:val="0"/>
          <w:color w:val="000000"/>
          <w:spacing w:val="0"/>
          <w:sz w:val="30"/>
          <w:szCs w:val="30"/>
          <w:shd w:val="clear" w:color="auto" w:fill="FFFFFF"/>
        </w:rPr>
        <w:t>支出：指</w:t>
      </w:r>
      <w:r>
        <w:rPr>
          <w:rFonts w:hint="eastAsia" w:ascii="仿宋" w:hAnsi="仿宋" w:eastAsia="仿宋" w:cs="仿宋"/>
          <w:b w:val="0"/>
          <w:i w:val="0"/>
          <w:caps w:val="0"/>
          <w:color w:val="000000"/>
          <w:spacing w:val="0"/>
          <w:sz w:val="30"/>
          <w:szCs w:val="30"/>
          <w:shd w:val="clear" w:color="auto" w:fill="FFFFFF"/>
          <w:lang w:eastAsia="zh-CN"/>
        </w:rPr>
        <w:t>城管局</w:t>
      </w:r>
      <w:r>
        <w:rPr>
          <w:rFonts w:hint="eastAsia" w:ascii="仿宋" w:hAnsi="仿宋" w:eastAsia="仿宋" w:cs="仿宋"/>
          <w:b w:val="0"/>
          <w:i w:val="0"/>
          <w:caps w:val="0"/>
          <w:color w:val="000000"/>
          <w:spacing w:val="0"/>
          <w:sz w:val="30"/>
          <w:szCs w:val="30"/>
          <w:shd w:val="clear" w:color="auto" w:fill="FFFFFF"/>
        </w:rPr>
        <w:t>用于</w:t>
      </w:r>
      <w:r>
        <w:rPr>
          <w:rFonts w:hint="eastAsia" w:ascii="仿宋" w:hAnsi="仿宋" w:eastAsia="仿宋" w:cs="仿宋"/>
          <w:b w:val="0"/>
          <w:i w:val="0"/>
          <w:caps w:val="0"/>
          <w:color w:val="000000"/>
          <w:spacing w:val="0"/>
          <w:sz w:val="30"/>
          <w:szCs w:val="30"/>
          <w:shd w:val="clear" w:color="auto" w:fill="FFFFFF"/>
          <w:lang w:eastAsia="zh-CN"/>
        </w:rPr>
        <w:t>城市管理综合行政执法、加强城市市容和环境卫生管理等方面</w:t>
      </w:r>
      <w:r>
        <w:rPr>
          <w:rFonts w:hint="eastAsia" w:ascii="仿宋" w:hAnsi="仿宋" w:eastAsia="仿宋" w:cs="仿宋"/>
          <w:b w:val="0"/>
          <w:i w:val="0"/>
          <w:caps w:val="0"/>
          <w:color w:val="000000"/>
          <w:spacing w:val="0"/>
          <w:sz w:val="30"/>
          <w:szCs w:val="30"/>
          <w:shd w:val="clear" w:color="auto" w:fill="FFFFFF"/>
        </w:rPr>
        <w:t>的支出。</w:t>
      </w:r>
    </w:p>
    <w:p>
      <w:pPr>
        <w:pStyle w:val="19"/>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w:t>
      </w:r>
      <w:r>
        <w:rPr>
          <w:rFonts w:hint="eastAsia" w:ascii="仿宋" w:hAnsi="仿宋" w:eastAsia="仿宋" w:cs="仿宋"/>
          <w:sz w:val="30"/>
          <w:szCs w:val="30"/>
        </w:rPr>
        <w:t>反映</w:t>
      </w:r>
      <w:r>
        <w:rPr>
          <w:rFonts w:hint="eastAsia" w:ascii="仿宋" w:hAnsi="仿宋" w:eastAsia="仿宋" w:cs="仿宋"/>
          <w:sz w:val="30"/>
          <w:szCs w:val="30"/>
          <w:lang w:eastAsia="zh-CN"/>
        </w:rPr>
        <w:t>城管</w:t>
      </w:r>
      <w:r>
        <w:rPr>
          <w:rFonts w:hint="eastAsia" w:ascii="仿宋" w:hAnsi="仿宋" w:eastAsia="仿宋" w:cs="仿宋"/>
          <w:sz w:val="30"/>
          <w:szCs w:val="30"/>
        </w:rPr>
        <w:t xml:space="preserve">局用于未归口管理的行政事业单位离退休经费开支，机关事业单位实施养老保险制度由单位缴纳的基本养老保险费支出。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）卫生和健康支出：指</w:t>
      </w:r>
      <w:r>
        <w:rPr>
          <w:rFonts w:hint="eastAsia" w:ascii="仿宋" w:hAnsi="仿宋" w:eastAsia="仿宋" w:cs="仿宋"/>
          <w:b w:val="0"/>
          <w:i w:val="0"/>
          <w:caps w:val="0"/>
          <w:color w:val="000000"/>
          <w:spacing w:val="0"/>
          <w:sz w:val="30"/>
          <w:szCs w:val="30"/>
          <w:shd w:val="clear" w:color="auto" w:fill="FFFFFF"/>
          <w:lang w:eastAsia="zh-CN"/>
        </w:rPr>
        <w:t>城管局</w:t>
      </w:r>
      <w:r>
        <w:rPr>
          <w:rFonts w:hint="eastAsia" w:ascii="仿宋" w:hAnsi="仿宋" w:eastAsia="仿宋" w:cs="仿宋"/>
          <w:b w:val="0"/>
          <w:i w:val="0"/>
          <w:caps w:val="0"/>
          <w:color w:val="000000"/>
          <w:spacing w:val="0"/>
          <w:sz w:val="30"/>
          <w:szCs w:val="30"/>
          <w:shd w:val="clear" w:color="auto" w:fill="FFFFFF"/>
        </w:rPr>
        <w:t>用于缴交职工基本医疗保险的补助支出。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firstLineChars="200"/>
        <w:jc w:val="left"/>
        <w:rPr>
          <w:rFonts w:hint="eastAsia" w:ascii="微软雅黑" w:hAnsi="微软雅黑" w:eastAsia="仿宋" w:cs="微软雅黑"/>
          <w:b w:val="0"/>
          <w:i w:val="0"/>
          <w:caps w:val="0"/>
          <w:color w:val="333333"/>
          <w:spacing w:val="0"/>
          <w:sz w:val="21"/>
          <w:szCs w:val="21"/>
          <w:lang w:eastAsia="zh-CN"/>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）住房保障支出：指</w:t>
      </w:r>
      <w:r>
        <w:rPr>
          <w:rFonts w:hint="eastAsia" w:ascii="仿宋" w:hAnsi="仿宋" w:eastAsia="仿宋" w:cs="仿宋"/>
          <w:b w:val="0"/>
          <w:i w:val="0"/>
          <w:caps w:val="0"/>
          <w:color w:val="000000"/>
          <w:spacing w:val="0"/>
          <w:sz w:val="30"/>
          <w:szCs w:val="30"/>
          <w:shd w:val="clear" w:color="auto" w:fill="FFFFFF"/>
          <w:lang w:eastAsia="zh-CN"/>
        </w:rPr>
        <w:t>城管局</w:t>
      </w:r>
      <w:r>
        <w:rPr>
          <w:rFonts w:hint="eastAsia" w:ascii="仿宋" w:hAnsi="仿宋" w:eastAsia="仿宋" w:cs="仿宋"/>
          <w:b w:val="0"/>
          <w:i w:val="0"/>
          <w:caps w:val="0"/>
          <w:color w:val="000000"/>
          <w:spacing w:val="0"/>
          <w:sz w:val="30"/>
          <w:szCs w:val="30"/>
          <w:shd w:val="clear" w:color="auto" w:fill="FFFFFF"/>
        </w:rPr>
        <w:t>及所属单位按照国家政策规定，对无房和住房未达标职工发放的住房货币化改革补贴资</w:t>
      </w:r>
      <w:r>
        <w:rPr>
          <w:rFonts w:hint="eastAsia" w:ascii="仿宋" w:hAnsi="仿宋" w:eastAsia="仿宋" w:cs="仿宋"/>
          <w:b w:val="0"/>
          <w:i w:val="0"/>
          <w:caps w:val="0"/>
          <w:color w:val="000000"/>
          <w:spacing w:val="0"/>
          <w:sz w:val="30"/>
          <w:szCs w:val="30"/>
          <w:shd w:val="clear" w:color="auto" w:fill="FFFFFF"/>
          <w:lang w:eastAsia="zh-CN"/>
        </w:rPr>
        <w:t>。</w:t>
      </w:r>
    </w:p>
    <w:p>
      <w:pPr>
        <w:ind w:firstLine="640" w:firstLineChars="200"/>
        <w:rPr>
          <w:rFonts w:hint="eastAsia" w:ascii="仿宋_GB2312" w:hAnsi="仿宋_GB2312" w:eastAsia="仿宋_GB2312"/>
          <w:color w:val="FF0000"/>
          <w:kern w:val="0"/>
          <w:sz w:val="32"/>
          <w:szCs w:val="32"/>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ind w:firstLine="720" w:firstLineChars="200"/>
        <w:jc w:val="center"/>
        <w:rPr>
          <w:rFonts w:hint="eastAsia" w:ascii="方正大标宋简体" w:hAnsi="Arial" w:eastAsia="方正大标宋简体" w:cs="Arial"/>
          <w:bCs/>
          <w:sz w:val="36"/>
          <w:szCs w:val="36"/>
        </w:rPr>
      </w:pPr>
      <w:r>
        <w:rPr>
          <w:rFonts w:hint="eastAsia" w:ascii="方正大标宋简体" w:hAnsi="宋体" w:eastAsia="方正大标宋简体" w:cs="Arial"/>
          <w:bCs/>
          <w:sz w:val="36"/>
          <w:szCs w:val="36"/>
          <w:lang w:val="en-US" w:eastAsia="zh-CN"/>
        </w:rPr>
        <w:t>2023年打击两违专项经费项目支出绩效</w:t>
      </w:r>
      <w:r>
        <w:rPr>
          <w:rFonts w:hint="eastAsia" w:ascii="方正小标宋简体" w:hAnsi="方正小标宋简体" w:eastAsia="方正小标宋简体" w:cs="方正小标宋简体"/>
          <w:sz w:val="36"/>
          <w:szCs w:val="36"/>
        </w:rPr>
        <w:t>评价报告</w:t>
      </w:r>
    </w:p>
    <w:p>
      <w:pPr>
        <w:numPr>
          <w:ilvl w:val="0"/>
          <w:numId w:val="2"/>
        </w:numPr>
        <w:jc w:val="left"/>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项目概况。</w:t>
      </w:r>
    </w:p>
    <w:p>
      <w:pPr>
        <w:spacing w:line="600" w:lineRule="exact"/>
        <w:ind w:firstLine="960" w:firstLineChars="300"/>
        <w:outlineLvl w:val="0"/>
        <w:rPr>
          <w:rFonts w:hint="default" w:ascii="仿宋" w:hAnsi="仿宋" w:eastAsia="仿宋" w:cs="Times New Roman"/>
          <w:sz w:val="32"/>
          <w:szCs w:val="32"/>
          <w:lang w:val="en-US" w:eastAsia="zh-CN"/>
        </w:rPr>
      </w:pPr>
      <w:r>
        <w:rPr>
          <w:rFonts w:hint="eastAsia" w:ascii="仿宋" w:hAnsi="仿宋" w:eastAsia="仿宋" w:cs="Times New Roman"/>
          <w:sz w:val="32"/>
          <w:szCs w:val="32"/>
        </w:rPr>
        <w:t>我局依据市、区打击“两违”工作</w:t>
      </w:r>
      <w:r>
        <w:rPr>
          <w:rFonts w:hint="eastAsia" w:ascii="仿宋" w:hAnsi="仿宋" w:eastAsia="仿宋" w:cs="Times New Roman"/>
          <w:sz w:val="32"/>
          <w:szCs w:val="32"/>
          <w:lang w:val="en-US" w:eastAsia="zh-CN"/>
        </w:rPr>
        <w:t>相关</w:t>
      </w:r>
      <w:r>
        <w:rPr>
          <w:rFonts w:hint="eastAsia" w:ascii="仿宋" w:hAnsi="仿宋" w:eastAsia="仿宋" w:cs="Times New Roman"/>
          <w:sz w:val="32"/>
          <w:szCs w:val="32"/>
        </w:rPr>
        <w:t>要求，大力打击区域“两违”行为，</w:t>
      </w:r>
      <w:r>
        <w:rPr>
          <w:rFonts w:hint="eastAsia" w:ascii="仿宋" w:hAnsi="仿宋" w:eastAsia="仿宋" w:cs="Times New Roman"/>
          <w:sz w:val="32"/>
          <w:szCs w:val="32"/>
          <w:lang w:val="en-US" w:eastAsia="zh-CN"/>
        </w:rPr>
        <w:t>坚持抓细、抓早、抓了，将违建苗头控制在萌芽；坚持控增量，去存量，违法建设大幅度减少。</w:t>
      </w:r>
      <w:r>
        <w:rPr>
          <w:rFonts w:hint="eastAsia" w:ascii="仿宋" w:hAnsi="仿宋" w:eastAsia="仿宋" w:cs="Times New Roman"/>
          <w:sz w:val="32"/>
          <w:szCs w:val="32"/>
        </w:rPr>
        <w:t>有效地维护城市规划和城市建设秩序。</w:t>
      </w:r>
      <w:r>
        <w:rPr>
          <w:rFonts w:hint="eastAsia" w:ascii="仿宋" w:hAnsi="仿宋" w:eastAsia="仿宋" w:cs="Times New Roman"/>
          <w:sz w:val="32"/>
          <w:szCs w:val="32"/>
          <w:lang w:val="en-US" w:eastAsia="zh-CN"/>
        </w:rPr>
        <w:t>针对市打违办遥感监测图斑信息表，积极对辖区内的疑似“两违”建筑进行全面摸排，确认为“两违”建筑的坚决予以打击。打击两违专项经费主要用于控建拆违的执法经费支出。</w:t>
      </w:r>
      <w:r>
        <w:rPr>
          <w:rFonts w:hint="eastAsia" w:ascii="仿宋" w:hAnsi="仿宋" w:eastAsia="仿宋" w:cs="Times New Roman"/>
          <w:sz w:val="32"/>
          <w:szCs w:val="32"/>
        </w:rPr>
        <w:t>经费由</w:t>
      </w:r>
      <w:r>
        <w:rPr>
          <w:rFonts w:hint="eastAsia" w:ascii="仿宋" w:hAnsi="仿宋" w:eastAsia="仿宋" w:cs="Times New Roman"/>
          <w:sz w:val="32"/>
          <w:szCs w:val="32"/>
          <w:lang w:eastAsia="zh-CN"/>
        </w:rPr>
        <w:t>区</w:t>
      </w:r>
      <w:r>
        <w:rPr>
          <w:rFonts w:hint="eastAsia" w:ascii="仿宋" w:hAnsi="仿宋" w:eastAsia="仿宋" w:cs="Times New Roman"/>
          <w:sz w:val="32"/>
          <w:szCs w:val="32"/>
        </w:rPr>
        <w:t>财政拨付，专款专用。为全面完成好上级下达的各项工作指标任务，</w:t>
      </w:r>
      <w:r>
        <w:rPr>
          <w:rFonts w:hint="eastAsia" w:ascii="仿宋" w:hAnsi="仿宋" w:eastAsia="仿宋" w:cs="Times New Roman"/>
          <w:sz w:val="32"/>
          <w:szCs w:val="32"/>
          <w:lang w:eastAsia="zh-CN"/>
        </w:rPr>
        <w:t>昌江区</w:t>
      </w:r>
      <w:r>
        <w:rPr>
          <w:rFonts w:hint="eastAsia" w:ascii="仿宋" w:hAnsi="仿宋" w:eastAsia="仿宋" w:cs="Times New Roman"/>
          <w:sz w:val="32"/>
          <w:szCs w:val="32"/>
        </w:rPr>
        <w:t>财政局在20</w:t>
      </w:r>
      <w:r>
        <w:rPr>
          <w:rFonts w:hint="eastAsia" w:ascii="仿宋" w:hAnsi="仿宋" w:eastAsia="仿宋" w:cs="Times New Roman"/>
          <w:sz w:val="32"/>
          <w:szCs w:val="32"/>
          <w:lang w:val="en-US" w:eastAsia="zh-CN"/>
        </w:rPr>
        <w:t>23</w:t>
      </w:r>
      <w:r>
        <w:rPr>
          <w:rFonts w:hint="eastAsia" w:ascii="仿宋" w:hAnsi="仿宋" w:eastAsia="仿宋" w:cs="Times New Roman"/>
          <w:sz w:val="32"/>
          <w:szCs w:val="32"/>
        </w:rPr>
        <w:t>年财政预算中安排</w:t>
      </w:r>
      <w:r>
        <w:rPr>
          <w:rFonts w:hint="eastAsia" w:ascii="仿宋" w:hAnsi="仿宋" w:eastAsia="仿宋" w:cs="Times New Roman"/>
          <w:sz w:val="32"/>
          <w:szCs w:val="32"/>
          <w:lang w:eastAsia="zh-CN"/>
        </w:rPr>
        <w:t>打击两违专项经费</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pPr>
        <w:numPr>
          <w:ilvl w:val="0"/>
          <w:numId w:val="0"/>
        </w:numPr>
        <w:spacing w:line="600" w:lineRule="exact"/>
        <w:ind w:firstLine="840" w:firstLineChars="400"/>
        <w:rPr>
          <w:rFonts w:hint="eastAsia" w:ascii="仿宋" w:hAnsi="仿宋" w:eastAsia="仿宋" w:cs="Times New Roman"/>
          <w:sz w:val="32"/>
          <w:szCs w:val="32"/>
        </w:rPr>
      </w:pPr>
      <w:r>
        <w:rPr>
          <w:rFonts w:hint="eastAsia" w:ascii="仿宋_GB2312"/>
          <w:lang w:val="en-US" w:eastAsia="zh-CN"/>
        </w:rPr>
        <w:t xml:space="preserve"> </w:t>
      </w:r>
      <w:r>
        <w:rPr>
          <w:rFonts w:hint="eastAsia" w:ascii="仿宋" w:hAnsi="仿宋" w:eastAsia="仿宋" w:cs="Times New Roman"/>
          <w:sz w:val="32"/>
          <w:szCs w:val="32"/>
        </w:rPr>
        <w:t>切实做好城市规划控制区范围内的日常巡查执法工作，实行责任分区，加强日常巡查和监管，确保违法建设举报电话</w:t>
      </w:r>
      <w:r>
        <w:rPr>
          <w:rFonts w:hint="default" w:ascii="仿宋" w:hAnsi="仿宋" w:eastAsia="仿宋" w:cs="Times New Roman"/>
          <w:sz w:val="32"/>
          <w:szCs w:val="32"/>
        </w:rPr>
        <w:t>24</w:t>
      </w:r>
      <w:r>
        <w:rPr>
          <w:rFonts w:hint="eastAsia" w:ascii="仿宋" w:hAnsi="仿宋" w:eastAsia="仿宋" w:cs="Times New Roman"/>
          <w:sz w:val="32"/>
          <w:szCs w:val="32"/>
        </w:rPr>
        <w:t>小时通畅，建立执法台账资料，实现违法建设发现率</w:t>
      </w:r>
      <w:r>
        <w:rPr>
          <w:rFonts w:hint="default" w:ascii="仿宋" w:hAnsi="仿宋" w:eastAsia="仿宋" w:cs="Times New Roman"/>
          <w:sz w:val="32"/>
          <w:szCs w:val="32"/>
        </w:rPr>
        <w:t>100%</w:t>
      </w:r>
      <w:r>
        <w:rPr>
          <w:rFonts w:hint="eastAsia" w:ascii="仿宋" w:hAnsi="仿宋" w:eastAsia="仿宋" w:cs="Times New Roman"/>
          <w:sz w:val="32"/>
          <w:szCs w:val="32"/>
        </w:rPr>
        <w:t>，查处率</w:t>
      </w:r>
      <w:r>
        <w:rPr>
          <w:rFonts w:hint="default" w:ascii="仿宋" w:hAnsi="仿宋" w:eastAsia="仿宋" w:cs="Times New Roman"/>
          <w:sz w:val="32"/>
          <w:szCs w:val="32"/>
        </w:rPr>
        <w:t>100%</w:t>
      </w:r>
      <w:r>
        <w:rPr>
          <w:rFonts w:hint="eastAsia" w:ascii="仿宋" w:hAnsi="仿宋" w:eastAsia="仿宋" w:cs="Times New Roman"/>
          <w:sz w:val="32"/>
          <w:szCs w:val="32"/>
        </w:rPr>
        <w:t>，实现新增违法建筑零增长，存量违法建设负增长。对城市规划区内违法建设行为进行调查和认定，做好强制拆除的具体执行工作；做好重点监管区域乡（镇）、村（社区）和相关部门控建拆违的基础考核工作；做好控建拆违工作的信息资料报送及宣传报道工作。严格依法开展批后监管，实施监督检查，及时发现查处违反审批要求建设的行为，建立监督检查台帐，依法公开违法建设处理情况。</w:t>
      </w:r>
    </w:p>
    <w:p>
      <w:pPr>
        <w:numPr>
          <w:ilvl w:val="0"/>
          <w:numId w:val="0"/>
        </w:numPr>
        <w:ind w:left="420" w:leftChars="0"/>
        <w:jc w:val="left"/>
        <w:rPr>
          <w:rFonts w:hint="default"/>
          <w:lang w:val="en-US" w:eastAsia="zh-CN"/>
        </w:rPr>
      </w:pPr>
      <w:r>
        <w:rPr>
          <w:rFonts w:hint="eastAsia" w:ascii="仿宋" w:hAnsi="仿宋" w:eastAsia="仿宋" w:cs="仿宋_GB2312"/>
          <w:sz w:val="32"/>
          <w:szCs w:val="40"/>
          <w:lang w:val="en-US" w:eastAsia="zh-CN"/>
        </w:rPr>
        <w:t xml:space="preserve">         </w:t>
      </w:r>
    </w:p>
    <w:p>
      <w:pPr>
        <w:numPr>
          <w:ilvl w:val="0"/>
          <w:numId w:val="2"/>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pPr>
        <w:numPr>
          <w:ilvl w:val="0"/>
          <w:numId w:val="4"/>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绩效评价目的、对象和范围</w:t>
      </w:r>
    </w:p>
    <w:p>
      <w:pPr>
        <w:spacing w:line="600" w:lineRule="exact"/>
        <w:ind w:firstLine="960" w:firstLineChars="300"/>
        <w:rPr>
          <w:rFonts w:hint="default" w:ascii="仿宋_GB2312" w:hAnsi="Times New Roman" w:eastAsia="仿宋_GB2312" w:cs="Times New Roman"/>
          <w:kern w:val="2"/>
          <w:sz w:val="30"/>
          <w:szCs w:val="24"/>
          <w:lang w:val="en-US" w:eastAsia="zh-CN" w:bidi="ar-SA"/>
        </w:rPr>
      </w:pPr>
      <w:r>
        <w:rPr>
          <w:rFonts w:hint="eastAsia" w:ascii="仿宋" w:hAnsi="仿宋" w:eastAsia="仿宋" w:cs="仿宋_GB2312"/>
          <w:sz w:val="32"/>
          <w:szCs w:val="40"/>
          <w:lang w:val="en-US" w:eastAsia="zh-CN"/>
        </w:rPr>
        <w:t xml:space="preserve"> </w:t>
      </w:r>
      <w:r>
        <w:rPr>
          <w:rFonts w:hint="eastAsia" w:ascii="仿宋_GB2312" w:hAnsi="Times New Roman" w:eastAsia="仿宋_GB2312" w:cs="Times New Roman"/>
          <w:kern w:val="2"/>
          <w:sz w:val="30"/>
          <w:szCs w:val="24"/>
          <w:lang w:val="en-US" w:eastAsia="zh-CN" w:bidi="ar-SA"/>
        </w:rPr>
        <w:t>1</w:t>
      </w:r>
      <w:r>
        <w:rPr>
          <w:rFonts w:hint="default" w:ascii="仿宋_GB2312" w:hAnsi="Times New Roman" w:eastAsia="仿宋_GB2312" w:cs="Times New Roman"/>
          <w:kern w:val="2"/>
          <w:sz w:val="30"/>
          <w:szCs w:val="24"/>
          <w:lang w:val="en-US" w:eastAsia="zh-CN" w:bidi="ar-SA"/>
        </w:rPr>
        <w:t>、绩效评价目的：严格落实《预算法》及绩效管理工作的有关规定，进一步规范财政资金的管理，强化财政支出绩效理念，提升部门责任意识，提高资金使用效益，促进政务服务事业的发展。</w:t>
      </w:r>
    </w:p>
    <w:p>
      <w:pPr>
        <w:spacing w:line="600" w:lineRule="exact"/>
        <w:ind w:firstLine="900" w:firstLineChars="300"/>
        <w:rPr>
          <w:rFonts w:hint="default" w:ascii="仿宋_GB2312" w:hAnsi="Times New Roman" w:eastAsia="仿宋_GB2312" w:cs="Times New Roman"/>
          <w:kern w:val="2"/>
          <w:sz w:val="30"/>
          <w:szCs w:val="24"/>
          <w:lang w:val="en-US" w:eastAsia="zh-CN" w:bidi="ar-SA"/>
        </w:rPr>
      </w:pPr>
      <w:r>
        <w:rPr>
          <w:rFonts w:hint="default" w:ascii="仿宋_GB2312" w:hAnsi="Times New Roman" w:eastAsia="仿宋_GB2312" w:cs="Times New Roman"/>
          <w:kern w:val="2"/>
          <w:sz w:val="30"/>
          <w:szCs w:val="24"/>
          <w:lang w:val="en-US" w:eastAsia="zh-CN" w:bidi="ar-SA"/>
        </w:rPr>
        <w:t>2、绩效评价对象：纳入预算管理的资金。</w:t>
      </w:r>
    </w:p>
    <w:p>
      <w:pPr>
        <w:spacing w:line="600" w:lineRule="exact"/>
        <w:ind w:firstLine="900" w:firstLineChars="300"/>
        <w:rPr>
          <w:rFonts w:hint="default"/>
          <w:lang w:val="en-US" w:eastAsia="zh-CN"/>
        </w:rPr>
      </w:pPr>
      <w:r>
        <w:rPr>
          <w:rFonts w:hint="default" w:ascii="仿宋_GB2312" w:hAnsi="Times New Roman" w:eastAsia="仿宋_GB2312" w:cs="Times New Roman"/>
          <w:kern w:val="2"/>
          <w:sz w:val="30"/>
          <w:szCs w:val="24"/>
          <w:lang w:val="en-US" w:eastAsia="zh-CN" w:bidi="ar-SA"/>
        </w:rPr>
        <w:t>3、绩效评价范围：</w:t>
      </w:r>
      <w:r>
        <w:rPr>
          <w:rFonts w:hint="eastAsia" w:ascii="仿宋_GB2312" w:hAnsi="Times New Roman" w:eastAsia="仿宋_GB2312" w:cs="Times New Roman"/>
          <w:kern w:val="2"/>
          <w:sz w:val="30"/>
          <w:szCs w:val="24"/>
          <w:lang w:val="en-US" w:eastAsia="zh-CN" w:bidi="ar-SA"/>
        </w:rPr>
        <w:t>昌江区城市管理局</w:t>
      </w:r>
      <w:r>
        <w:rPr>
          <w:rFonts w:hint="default" w:ascii="仿宋_GB2312" w:hAnsi="Times New Roman" w:eastAsia="仿宋_GB2312" w:cs="Times New Roman"/>
          <w:kern w:val="2"/>
          <w:sz w:val="30"/>
          <w:szCs w:val="24"/>
          <w:lang w:val="en-US" w:eastAsia="zh-CN" w:bidi="ar-SA"/>
        </w:rPr>
        <w:t>申请安排的20</w:t>
      </w:r>
      <w:r>
        <w:rPr>
          <w:rFonts w:hint="eastAsia" w:ascii="仿宋_GB2312" w:cs="Times New Roman"/>
          <w:kern w:val="2"/>
          <w:sz w:val="30"/>
          <w:szCs w:val="24"/>
          <w:lang w:val="en-US" w:eastAsia="zh-CN" w:bidi="ar-SA"/>
        </w:rPr>
        <w:t>23</w:t>
      </w:r>
      <w:r>
        <w:rPr>
          <w:rFonts w:hint="default" w:ascii="仿宋_GB2312" w:hAnsi="Times New Roman" w:eastAsia="仿宋_GB2312" w:cs="Times New Roman"/>
          <w:kern w:val="2"/>
          <w:sz w:val="30"/>
          <w:szCs w:val="24"/>
          <w:lang w:val="en-US" w:eastAsia="zh-CN" w:bidi="ar-SA"/>
        </w:rPr>
        <w:t>年度所有财政项目资金</w:t>
      </w:r>
      <w:r>
        <w:rPr>
          <w:rFonts w:hint="eastAsia" w:ascii="仿宋_GB2312" w:hAnsi="Times New Roman" w:cs="Times New Roman"/>
          <w:kern w:val="2"/>
          <w:sz w:val="30"/>
          <w:szCs w:val="24"/>
          <w:lang w:val="en-US" w:eastAsia="zh-CN" w:bidi="ar-SA"/>
        </w:rPr>
        <w:t>。</w:t>
      </w:r>
    </w:p>
    <w:p>
      <w:pPr>
        <w:numPr>
          <w:ilvl w:val="0"/>
          <w:numId w:val="4"/>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pPr>
        <w:numPr>
          <w:ilvl w:val="0"/>
          <w:numId w:val="0"/>
        </w:numPr>
        <w:spacing w:line="600" w:lineRule="exact"/>
        <w:ind w:firstLine="640" w:firstLineChars="200"/>
        <w:rPr>
          <w:rFonts w:hint="eastAsia" w:ascii="仿宋_GB2312" w:hAnsi="Times New Roman" w:cs="Times New Roman"/>
          <w:lang w:val="en-US" w:eastAsia="zh-CN"/>
        </w:rPr>
      </w:pPr>
      <w:r>
        <w:rPr>
          <w:rFonts w:hint="eastAsia" w:ascii="仿宋" w:hAnsi="仿宋" w:eastAsia="仿宋" w:cs="仿宋_GB2312"/>
          <w:sz w:val="32"/>
          <w:szCs w:val="40"/>
          <w:lang w:val="en-US" w:eastAsia="zh-CN"/>
        </w:rPr>
        <w:t>1、</w:t>
      </w:r>
      <w:r>
        <w:rPr>
          <w:rFonts w:hint="default" w:ascii="仿宋" w:hAnsi="仿宋" w:eastAsia="仿宋" w:cs="仿宋_GB2312"/>
          <w:sz w:val="32"/>
          <w:szCs w:val="40"/>
          <w:lang w:val="en-US" w:eastAsia="zh-C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 w:hAnsi="仿宋" w:eastAsia="仿宋" w:cs="仿宋_GB2312"/>
          <w:sz w:val="32"/>
          <w:szCs w:val="40"/>
          <w:lang w:val="en-US" w:eastAsia="zh-CN"/>
        </w:rPr>
        <w:t xml:space="preserve">   </w:t>
      </w:r>
      <w:r>
        <w:rPr>
          <w:rFonts w:hint="eastAsia" w:ascii="仿宋_GB2312" w:hAnsi="Times New Roman" w:cs="Times New Roman"/>
          <w:lang w:val="en-US" w:eastAsia="zh-CN"/>
        </w:rPr>
        <w:t xml:space="preserve"> </w:t>
      </w:r>
    </w:p>
    <w:p>
      <w:pPr>
        <w:numPr>
          <w:ilvl w:val="0"/>
          <w:numId w:val="0"/>
        </w:numPr>
        <w:spacing w:line="600" w:lineRule="exact"/>
        <w:ind w:firstLine="640" w:firstLineChars="200"/>
        <w:rPr>
          <w:rFonts w:hint="default" w:ascii="仿宋_GB2312" w:hAnsi="Times New Roman" w:cs="Times New Roman"/>
        </w:rPr>
      </w:pPr>
      <w:r>
        <w:rPr>
          <w:rFonts w:hint="default" w:ascii="仿宋" w:hAnsi="仿宋" w:eastAsia="仿宋" w:cs="仿宋_GB2312"/>
          <w:sz w:val="32"/>
          <w:szCs w:val="40"/>
          <w:lang w:val="en-US" w:eastAsia="zh-CN"/>
        </w:rPr>
        <w:t>2、评价指标体系：详见附</w:t>
      </w:r>
      <w:r>
        <w:rPr>
          <w:rFonts w:hint="eastAsia" w:ascii="仿宋" w:hAnsi="仿宋" w:eastAsia="仿宋" w:cs="仿宋_GB2312"/>
          <w:sz w:val="32"/>
          <w:szCs w:val="40"/>
          <w:lang w:val="en-US" w:eastAsia="zh-CN"/>
        </w:rPr>
        <w:t>表</w:t>
      </w:r>
      <w:r>
        <w:rPr>
          <w:rFonts w:hint="default" w:ascii="仿宋" w:hAnsi="仿宋" w:eastAsia="仿宋" w:cs="仿宋_GB2312"/>
          <w:sz w:val="32"/>
          <w:szCs w:val="40"/>
          <w:lang w:val="en-US" w:eastAsia="zh-CN"/>
        </w:rPr>
        <w:t>中绩效指标栏。</w:t>
      </w:r>
    </w:p>
    <w:p>
      <w:pPr>
        <w:pStyle w:val="2"/>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20"/>
        <w:tblpPr w:leftFromText="180" w:rightFromText="180" w:vertAnchor="text" w:horzAnchor="page" w:tblpX="677" w:tblpY="216"/>
        <w:tblOverlap w:val="never"/>
        <w:tblW w:w="13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10"/>
        <w:gridCol w:w="1091"/>
        <w:gridCol w:w="462"/>
        <w:gridCol w:w="2499"/>
        <w:gridCol w:w="4445"/>
        <w:gridCol w:w="1184"/>
        <w:gridCol w:w="1225"/>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18" w:type="dxa"/>
            <w:noWrap w:val="0"/>
            <w:vAlign w:val="top"/>
          </w:tcPr>
          <w:p>
            <w:pPr>
              <w:spacing w:before="38" w:line="228" w:lineRule="auto"/>
              <w:ind w:firstLine="264"/>
              <w:rPr>
                <w:rFonts w:ascii="新宋体" w:hAnsi="新宋体" w:eastAsia="新宋体" w:cs="新宋体"/>
                <w:spacing w:val="-5"/>
                <w:sz w:val="15"/>
                <w:szCs w:val="15"/>
              </w:rPr>
            </w:pPr>
          </w:p>
          <w:p>
            <w:pPr>
              <w:spacing w:before="38"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3"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0" w:type="dxa"/>
            <w:noWrap w:val="0"/>
            <w:vAlign w:val="top"/>
          </w:tcPr>
          <w:p>
            <w:pPr>
              <w:spacing w:before="129" w:line="184" w:lineRule="auto"/>
              <w:ind w:firstLine="109"/>
              <w:rPr>
                <w:rFonts w:ascii="新宋体" w:hAnsi="新宋体" w:eastAsia="新宋体" w:cs="新宋体"/>
                <w:spacing w:val="-3"/>
                <w:sz w:val="15"/>
                <w:szCs w:val="15"/>
              </w:rPr>
            </w:pPr>
          </w:p>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pPr>
              <w:spacing w:before="129" w:line="184" w:lineRule="auto"/>
              <w:ind w:firstLine="247"/>
              <w:rPr>
                <w:rFonts w:ascii="新宋体" w:hAnsi="新宋体" w:eastAsia="新宋体" w:cs="新宋体"/>
                <w:spacing w:val="-3"/>
                <w:sz w:val="15"/>
                <w:szCs w:val="15"/>
              </w:rPr>
            </w:pPr>
          </w:p>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62" w:type="dxa"/>
            <w:noWrap w:val="0"/>
            <w:vAlign w:val="top"/>
          </w:tcPr>
          <w:p>
            <w:pPr>
              <w:spacing w:before="129" w:line="184" w:lineRule="auto"/>
              <w:jc w:val="center"/>
              <w:rPr>
                <w:rFonts w:hint="eastAsia" w:ascii="新宋体" w:hAnsi="新宋体" w:eastAsia="新宋体" w:cs="新宋体"/>
                <w:spacing w:val="-3"/>
                <w:sz w:val="15"/>
                <w:szCs w:val="15"/>
                <w:lang w:eastAsia="zh-CN"/>
              </w:rPr>
            </w:pPr>
          </w:p>
          <w:p>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99" w:type="dxa"/>
            <w:noWrap w:val="0"/>
            <w:vAlign w:val="top"/>
          </w:tcPr>
          <w:p>
            <w:pPr>
              <w:spacing w:before="129" w:line="184" w:lineRule="auto"/>
              <w:ind w:firstLine="772"/>
              <w:jc w:val="center"/>
              <w:rPr>
                <w:rFonts w:ascii="新宋体" w:hAnsi="新宋体" w:eastAsia="新宋体" w:cs="新宋体"/>
                <w:spacing w:val="-3"/>
                <w:sz w:val="15"/>
                <w:szCs w:val="15"/>
              </w:rPr>
            </w:pPr>
          </w:p>
          <w:p>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pPr>
              <w:spacing w:before="129" w:line="184" w:lineRule="auto"/>
              <w:ind w:left="3000" w:right="3572" w:rightChars="1701" w:hanging="3000" w:hangingChars="2000"/>
              <w:jc w:val="both"/>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w:t>
            </w:r>
          </w:p>
          <w:p>
            <w:pPr>
              <w:spacing w:before="129" w:line="184" w:lineRule="auto"/>
              <w:ind w:left="2995" w:leftChars="355" w:right="3572" w:rightChars="1701" w:hanging="2250" w:hangingChars="1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评分标准</w:t>
            </w:r>
          </w:p>
        </w:tc>
        <w:tc>
          <w:tcPr>
            <w:tcW w:w="1184" w:type="dxa"/>
            <w:noWrap w:val="0"/>
            <w:vAlign w:val="top"/>
          </w:tcPr>
          <w:p>
            <w:pPr>
              <w:spacing w:before="129" w:line="184" w:lineRule="auto"/>
              <w:ind w:firstLine="35"/>
              <w:jc w:val="center"/>
              <w:rPr>
                <w:rFonts w:ascii="新宋体" w:hAnsi="新宋体" w:eastAsia="新宋体" w:cs="新宋体"/>
                <w:spacing w:val="-4"/>
                <w:sz w:val="15"/>
                <w:szCs w:val="15"/>
              </w:rPr>
            </w:pPr>
          </w:p>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c>
          <w:tcPr>
            <w:tcW w:w="1225" w:type="dxa"/>
            <w:noWrap w:val="0"/>
            <w:vAlign w:val="top"/>
          </w:tcPr>
          <w:p>
            <w:pPr>
              <w:spacing w:before="129" w:line="184" w:lineRule="auto"/>
              <w:ind w:firstLine="35"/>
              <w:jc w:val="center"/>
              <w:rPr>
                <w:rFonts w:ascii="新宋体" w:hAnsi="新宋体" w:eastAsia="新宋体" w:cs="新宋体"/>
                <w:spacing w:val="-4"/>
                <w:sz w:val="15"/>
                <w:szCs w:val="15"/>
              </w:rPr>
            </w:pPr>
          </w:p>
        </w:tc>
        <w:tc>
          <w:tcPr>
            <w:tcW w:w="1225" w:type="dxa"/>
            <w:noWrap w:val="0"/>
            <w:vAlign w:val="top"/>
          </w:tcPr>
          <w:p>
            <w:pPr>
              <w:spacing w:before="129" w:line="184" w:lineRule="auto"/>
              <w:ind w:firstLine="35"/>
              <w:jc w:val="center"/>
              <w:rPr>
                <w:rFonts w:ascii="新宋体" w:hAnsi="新宋体" w:eastAsia="新宋体" w:cs="新宋体"/>
                <w:spacing w:val="-4"/>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818" w:type="dxa"/>
            <w:vMerge w:val="restart"/>
            <w:tcBorders>
              <w:bottom w:val="nil"/>
            </w:tcBorders>
            <w:noWrap w:val="0"/>
            <w:vAlign w:val="top"/>
          </w:tcPr>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58" w:line="182" w:lineRule="auto"/>
              <w:ind w:firstLine="242"/>
              <w:rPr>
                <w:rFonts w:hint="eastAsia" w:ascii="新宋体" w:hAnsi="新宋体" w:eastAsia="新宋体" w:cs="新宋体"/>
                <w:sz w:val="18"/>
                <w:szCs w:val="18"/>
                <w:lang w:eastAsia="zh-CN"/>
              </w:rPr>
            </w:pPr>
            <w:r>
              <w:rPr>
                <w:rFonts w:ascii="新宋体" w:hAnsi="新宋体" w:eastAsia="新宋体" w:cs="新宋体"/>
                <w:spacing w:val="-8"/>
                <w:sz w:val="18"/>
                <w:szCs w:val="18"/>
              </w:rPr>
              <w:t>决策</w:t>
            </w:r>
            <w:r>
              <w:rPr>
                <w:rFonts w:hint="eastAsia" w:ascii="新宋体" w:hAnsi="新宋体" w:eastAsia="新宋体" w:cs="新宋体"/>
                <w:spacing w:val="-8"/>
                <w:sz w:val="18"/>
                <w:szCs w:val="18"/>
                <w:lang w:eastAsia="zh-CN"/>
              </w:rPr>
              <w:t>（</w:t>
            </w:r>
            <w:r>
              <w:rPr>
                <w:rFonts w:hint="eastAsia" w:ascii="新宋体" w:hAnsi="新宋体" w:eastAsia="新宋体" w:cs="新宋体"/>
                <w:spacing w:val="-8"/>
                <w:sz w:val="18"/>
                <w:szCs w:val="18"/>
                <w:lang w:val="en-US" w:eastAsia="zh-CN"/>
              </w:rPr>
              <w:t>18分</w:t>
            </w:r>
            <w:r>
              <w:rPr>
                <w:rFonts w:hint="eastAsia" w:ascii="新宋体" w:hAnsi="新宋体" w:eastAsia="新宋体" w:cs="新宋体"/>
                <w:spacing w:val="-8"/>
                <w:sz w:val="18"/>
                <w:szCs w:val="18"/>
                <w:lang w:eastAsia="zh-CN"/>
              </w:rPr>
              <w:t>）</w:t>
            </w:r>
          </w:p>
        </w:tc>
        <w:tc>
          <w:tcPr>
            <w:tcW w:w="810" w:type="dxa"/>
            <w:vMerge w:val="restart"/>
            <w:tcBorders>
              <w:bottom w:val="nil"/>
            </w:tcBorders>
            <w:noWrap w:val="0"/>
            <w:vAlign w:val="top"/>
          </w:tcPr>
          <w:p>
            <w:pPr>
              <w:spacing w:line="270" w:lineRule="auto"/>
              <w:rPr>
                <w:rFonts w:ascii="宋体"/>
                <w:sz w:val="21"/>
              </w:rPr>
            </w:pPr>
          </w:p>
          <w:p>
            <w:pPr>
              <w:spacing w:line="270" w:lineRule="auto"/>
              <w:rPr>
                <w:rFonts w:ascii="宋体"/>
                <w:sz w:val="21"/>
              </w:rPr>
            </w:pPr>
          </w:p>
          <w:p>
            <w:pPr>
              <w:spacing w:line="271" w:lineRule="auto"/>
              <w:rPr>
                <w:rFonts w:ascii="宋体"/>
                <w:sz w:val="21"/>
              </w:rPr>
            </w:pPr>
          </w:p>
          <w:p>
            <w:pPr>
              <w:spacing w:line="271" w:lineRule="auto"/>
              <w:rPr>
                <w:rFonts w:ascii="宋体"/>
                <w:sz w:val="21"/>
              </w:rPr>
            </w:pPr>
          </w:p>
          <w:p>
            <w:pPr>
              <w:spacing w:before="49"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项目立项</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91" w:type="dxa"/>
            <w:noWrap w:val="0"/>
            <w:vAlign w:val="top"/>
          </w:tcPr>
          <w:p>
            <w:pPr>
              <w:spacing w:line="469" w:lineRule="auto"/>
              <w:rPr>
                <w:rFonts w:ascii="宋体"/>
                <w:sz w:val="21"/>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z w:val="15"/>
                <w:szCs w:val="15"/>
              </w:rPr>
            </w:pPr>
            <w:r>
              <w:rPr>
                <w:rFonts w:ascii="新宋体" w:hAnsi="新宋体" w:eastAsia="新宋体" w:cs="新宋体"/>
                <w:spacing w:val="-3"/>
                <w:sz w:val="15"/>
                <w:szCs w:val="15"/>
              </w:rPr>
              <w:t>立项依据</w:t>
            </w:r>
          </w:p>
          <w:p>
            <w:pPr>
              <w:spacing w:line="204" w:lineRule="auto"/>
              <w:ind w:firstLine="323"/>
              <w:rPr>
                <w:rFonts w:ascii="新宋体" w:hAnsi="新宋体" w:eastAsia="新宋体" w:cs="新宋体"/>
                <w:sz w:val="15"/>
                <w:szCs w:val="15"/>
              </w:rPr>
            </w:pPr>
            <w:r>
              <w:rPr>
                <w:rFonts w:ascii="新宋体" w:hAnsi="新宋体" w:eastAsia="新宋体" w:cs="新宋体"/>
                <w:spacing w:val="-4"/>
                <w:sz w:val="15"/>
                <w:szCs w:val="15"/>
              </w:rPr>
              <w:t>充分性</w:t>
            </w:r>
          </w:p>
        </w:tc>
        <w:tc>
          <w:tcPr>
            <w:tcW w:w="462" w:type="dxa"/>
            <w:noWrap w:val="0"/>
            <w:vAlign w:val="top"/>
          </w:tcPr>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pPr>
              <w:spacing w:line="305" w:lineRule="auto"/>
              <w:rPr>
                <w:rFonts w:ascii="宋体"/>
                <w:sz w:val="21"/>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项目立项是否符合法律法规、</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相关政策、发展规划以及部门</w:t>
            </w:r>
            <w:r>
              <w:rPr>
                <w:rFonts w:ascii="新宋体" w:hAnsi="新宋体" w:eastAsia="新宋体" w:cs="新宋体"/>
                <w:spacing w:val="8"/>
                <w:sz w:val="15"/>
                <w:szCs w:val="15"/>
              </w:rPr>
              <w:t xml:space="preserve"> </w:t>
            </w:r>
            <w:r>
              <w:rPr>
                <w:rFonts w:ascii="新宋体" w:hAnsi="新宋体" w:eastAsia="新宋体" w:cs="新宋体"/>
                <w:spacing w:val="-1"/>
                <w:sz w:val="15"/>
                <w:szCs w:val="15"/>
              </w:rPr>
              <w:t>职责，用以反映和考核项目立</w:t>
            </w:r>
            <w:r>
              <w:rPr>
                <w:rFonts w:ascii="新宋体" w:hAnsi="新宋体" w:eastAsia="新宋体" w:cs="新宋体"/>
                <w:spacing w:val="4"/>
                <w:sz w:val="15"/>
                <w:szCs w:val="15"/>
              </w:rPr>
              <w:t xml:space="preserve"> </w:t>
            </w:r>
            <w:r>
              <w:rPr>
                <w:rFonts w:ascii="新宋体" w:hAnsi="新宋体" w:eastAsia="新宋体" w:cs="新宋体"/>
                <w:sz w:val="15"/>
                <w:szCs w:val="15"/>
              </w:rPr>
              <w:t>项依据情况。</w:t>
            </w:r>
          </w:p>
        </w:tc>
        <w:tc>
          <w:tcPr>
            <w:tcW w:w="4445" w:type="dxa"/>
            <w:noWrap w:val="0"/>
            <w:vAlign w:val="top"/>
          </w:tcPr>
          <w:p>
            <w:pPr>
              <w:spacing w:before="304" w:line="228" w:lineRule="auto"/>
              <w:ind w:right="130"/>
              <w:rPr>
                <w:rFonts w:ascii="新宋体" w:hAnsi="新宋体" w:eastAsia="新宋体" w:cs="新宋体"/>
                <w:spacing w:val="57"/>
                <w:w w:val="101"/>
                <w:sz w:val="15"/>
                <w:szCs w:val="15"/>
              </w:rPr>
            </w:pPr>
            <w:r>
              <w:rPr>
                <w:rFonts w:ascii="新宋体" w:hAnsi="新宋体" w:eastAsia="新宋体" w:cs="新宋体"/>
                <w:spacing w:val="-5"/>
                <w:sz w:val="15"/>
                <w:szCs w:val="15"/>
              </w:rPr>
              <w:t>①项目立项是否符合国家法律法规</w:t>
            </w:r>
            <w:r>
              <w:rPr>
                <w:rFonts w:ascii="新宋体" w:hAnsi="新宋体" w:eastAsia="新宋体" w:cs="新宋体"/>
                <w:spacing w:val="-29"/>
                <w:sz w:val="15"/>
                <w:szCs w:val="15"/>
              </w:rPr>
              <w:t xml:space="preserve"> </w:t>
            </w:r>
            <w:r>
              <w:rPr>
                <w:rFonts w:ascii="新宋体" w:hAnsi="新宋体" w:eastAsia="新宋体" w:cs="新宋体"/>
                <w:spacing w:val="-5"/>
                <w:sz w:val="15"/>
                <w:szCs w:val="15"/>
              </w:rPr>
              <w:t>、国民经济发展规划和相关政</w:t>
            </w:r>
            <w:r>
              <w:rPr>
                <w:rFonts w:ascii="新宋体" w:hAnsi="新宋体" w:eastAsia="新宋体" w:cs="新宋体"/>
                <w:sz w:val="15"/>
                <w:szCs w:val="15"/>
              </w:rPr>
              <w:t xml:space="preserve"> </w:t>
            </w:r>
            <w:r>
              <w:rPr>
                <w:rFonts w:ascii="新宋体" w:hAnsi="新宋体" w:eastAsia="新宋体" w:cs="新宋体"/>
                <w:spacing w:val="-5"/>
                <w:sz w:val="15"/>
                <w:szCs w:val="15"/>
              </w:rPr>
              <w:t>策；</w:t>
            </w:r>
            <w:r>
              <w:rPr>
                <w:rFonts w:ascii="新宋体" w:hAnsi="新宋体" w:eastAsia="新宋体" w:cs="新宋体"/>
                <w:spacing w:val="57"/>
                <w:w w:val="101"/>
                <w:sz w:val="15"/>
                <w:szCs w:val="15"/>
              </w:rPr>
              <w:t xml:space="preserve"> </w:t>
            </w:r>
          </w:p>
          <w:p>
            <w:pPr>
              <w:spacing w:before="304" w:line="228" w:lineRule="auto"/>
              <w:ind w:right="130"/>
              <w:rPr>
                <w:rFonts w:ascii="新宋体" w:hAnsi="新宋体" w:eastAsia="新宋体" w:cs="新宋体"/>
                <w:spacing w:val="-5"/>
                <w:sz w:val="15"/>
                <w:szCs w:val="15"/>
              </w:rPr>
            </w:pPr>
            <w:r>
              <w:rPr>
                <w:rFonts w:ascii="新宋体" w:hAnsi="新宋体" w:eastAsia="新宋体" w:cs="新宋体"/>
                <w:spacing w:val="-5"/>
                <w:sz w:val="15"/>
                <w:szCs w:val="15"/>
              </w:rPr>
              <w:t>②项目立项是否符合行业发展规划和政策要求</w:t>
            </w:r>
            <w:r>
              <w:rPr>
                <w:rFonts w:ascii="新宋体" w:hAnsi="新宋体" w:eastAsia="新宋体" w:cs="新宋体"/>
                <w:spacing w:val="-19"/>
                <w:sz w:val="15"/>
                <w:szCs w:val="15"/>
              </w:rPr>
              <w:t xml:space="preserve"> </w:t>
            </w:r>
            <w:r>
              <w:rPr>
                <w:rFonts w:ascii="新宋体" w:hAnsi="新宋体" w:eastAsia="新宋体" w:cs="新宋体"/>
                <w:spacing w:val="-5"/>
                <w:sz w:val="15"/>
                <w:szCs w:val="15"/>
              </w:rPr>
              <w:t>；</w:t>
            </w:r>
          </w:p>
          <w:p>
            <w:pPr>
              <w:spacing w:before="304" w:line="228" w:lineRule="auto"/>
              <w:ind w:right="130"/>
              <w:rPr>
                <w:rFonts w:ascii="新宋体" w:hAnsi="新宋体" w:eastAsia="新宋体" w:cs="新宋体"/>
                <w:spacing w:val="53"/>
                <w:sz w:val="15"/>
                <w:szCs w:val="15"/>
              </w:rPr>
            </w:pPr>
            <w:r>
              <w:rPr>
                <w:rFonts w:ascii="新宋体" w:hAnsi="新宋体" w:eastAsia="新宋体" w:cs="新宋体"/>
                <w:spacing w:val="-5"/>
                <w:sz w:val="15"/>
                <w:szCs w:val="15"/>
              </w:rPr>
              <w:t>③项目立项是否与部门</w:t>
            </w:r>
            <w:r>
              <w:rPr>
                <w:rFonts w:ascii="新宋体" w:hAnsi="新宋体" w:eastAsia="新宋体" w:cs="新宋体"/>
                <w:sz w:val="15"/>
                <w:szCs w:val="15"/>
              </w:rPr>
              <w:t xml:space="preserve"> </w:t>
            </w:r>
            <w:r>
              <w:rPr>
                <w:rFonts w:ascii="新宋体" w:hAnsi="新宋体" w:eastAsia="新宋体" w:cs="新宋体"/>
                <w:spacing w:val="-4"/>
                <w:sz w:val="15"/>
                <w:szCs w:val="15"/>
              </w:rPr>
              <w:t>职责范围相符，属于部门履职所需；</w:t>
            </w:r>
            <w:r>
              <w:rPr>
                <w:rFonts w:ascii="新宋体" w:hAnsi="新宋体" w:eastAsia="新宋体" w:cs="新宋体"/>
                <w:spacing w:val="53"/>
                <w:sz w:val="15"/>
                <w:szCs w:val="15"/>
              </w:rPr>
              <w:t xml:space="preserve"> </w:t>
            </w:r>
          </w:p>
          <w:p>
            <w:pPr>
              <w:spacing w:before="304" w:line="228" w:lineRule="auto"/>
              <w:ind w:right="130"/>
              <w:rPr>
                <w:rFonts w:ascii="新宋体" w:hAnsi="新宋体" w:eastAsia="新宋体" w:cs="新宋体"/>
                <w:spacing w:val="-1"/>
                <w:sz w:val="15"/>
                <w:szCs w:val="15"/>
              </w:rPr>
            </w:pPr>
            <w:r>
              <w:rPr>
                <w:rFonts w:ascii="新宋体" w:hAnsi="新宋体" w:eastAsia="新宋体" w:cs="新宋体"/>
                <w:spacing w:val="-4"/>
                <w:sz w:val="15"/>
                <w:szCs w:val="15"/>
              </w:rPr>
              <w:t>④项目是否属于公共财政支持范围</w:t>
            </w:r>
            <w:r>
              <w:rPr>
                <w:rFonts w:ascii="新宋体" w:hAnsi="新宋体" w:eastAsia="新宋体" w:cs="新宋体"/>
                <w:spacing w:val="-31"/>
                <w:sz w:val="15"/>
                <w:szCs w:val="15"/>
              </w:rPr>
              <w:t xml:space="preserve"> </w:t>
            </w:r>
            <w:r>
              <w:rPr>
                <w:rFonts w:ascii="新宋体" w:hAnsi="新宋体" w:eastAsia="新宋体" w:cs="新宋体"/>
                <w:spacing w:val="-4"/>
                <w:sz w:val="15"/>
                <w:szCs w:val="15"/>
              </w:rPr>
              <w:t>，是</w:t>
            </w:r>
            <w:r>
              <w:rPr>
                <w:rFonts w:ascii="新宋体" w:hAnsi="新宋体" w:eastAsia="新宋体" w:cs="新宋体"/>
                <w:sz w:val="15"/>
                <w:szCs w:val="15"/>
              </w:rPr>
              <w:t xml:space="preserve"> </w:t>
            </w:r>
            <w:r>
              <w:rPr>
                <w:rFonts w:ascii="新宋体" w:hAnsi="新宋体" w:eastAsia="新宋体" w:cs="新宋体"/>
                <w:spacing w:val="-1"/>
                <w:sz w:val="15"/>
                <w:szCs w:val="15"/>
              </w:rPr>
              <w:t>否符合中央、地方事权支出责任划分原则</w:t>
            </w:r>
            <w:r>
              <w:rPr>
                <w:rFonts w:ascii="新宋体" w:hAnsi="新宋体" w:eastAsia="新宋体" w:cs="新宋体"/>
                <w:spacing w:val="-26"/>
                <w:sz w:val="15"/>
                <w:szCs w:val="15"/>
              </w:rPr>
              <w:t xml:space="preserve"> </w:t>
            </w:r>
            <w:r>
              <w:rPr>
                <w:rFonts w:ascii="新宋体" w:hAnsi="新宋体" w:eastAsia="新宋体" w:cs="新宋体"/>
                <w:spacing w:val="-1"/>
                <w:sz w:val="15"/>
                <w:szCs w:val="15"/>
              </w:rPr>
              <w:t>；</w:t>
            </w:r>
          </w:p>
          <w:p>
            <w:pPr>
              <w:spacing w:before="304" w:line="228" w:lineRule="auto"/>
              <w:ind w:right="130"/>
              <w:rPr>
                <w:rFonts w:ascii="新宋体" w:hAnsi="新宋体" w:eastAsia="新宋体" w:cs="新宋体"/>
                <w:sz w:val="15"/>
                <w:szCs w:val="15"/>
              </w:rPr>
            </w:pPr>
            <w:r>
              <w:rPr>
                <w:rFonts w:ascii="新宋体" w:hAnsi="新宋体" w:eastAsia="新宋体" w:cs="新宋体"/>
                <w:spacing w:val="-1"/>
                <w:sz w:val="15"/>
                <w:szCs w:val="15"/>
              </w:rPr>
              <w:t>⑤项目是否与相关部门同类项目</w:t>
            </w:r>
            <w:r>
              <w:rPr>
                <w:rFonts w:ascii="新宋体" w:hAnsi="新宋体" w:eastAsia="新宋体" w:cs="新宋体"/>
                <w:w w:val="101"/>
                <w:sz w:val="15"/>
                <w:szCs w:val="15"/>
              </w:rPr>
              <w:t xml:space="preserve"> </w:t>
            </w:r>
            <w:r>
              <w:rPr>
                <w:rFonts w:ascii="新宋体" w:hAnsi="新宋体" w:eastAsia="新宋体" w:cs="新宋体"/>
                <w:sz w:val="15"/>
                <w:szCs w:val="15"/>
              </w:rPr>
              <w:t>或部门内部相关项目重复。</w:t>
            </w:r>
          </w:p>
          <w:p>
            <w:pPr>
              <w:spacing w:before="304" w:line="228" w:lineRule="auto"/>
              <w:ind w:right="130" w:firstLine="300" w:firstLineChars="200"/>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5项各占1/5权重分，有一项不满足，则扣除相应权重分。</w:t>
            </w:r>
          </w:p>
        </w:tc>
        <w:tc>
          <w:tcPr>
            <w:tcW w:w="1184" w:type="dxa"/>
            <w:noWrap w:val="0"/>
            <w:vAlign w:val="top"/>
          </w:tcPr>
          <w:p>
            <w:pPr>
              <w:spacing w:line="275" w:lineRule="auto"/>
              <w:jc w:val="center"/>
              <w:rPr>
                <w:rFonts w:ascii="宋体"/>
                <w:sz w:val="21"/>
              </w:rPr>
            </w:pPr>
          </w:p>
          <w:p>
            <w:pPr>
              <w:spacing w:line="276" w:lineRule="auto"/>
              <w:jc w:val="center"/>
              <w:rPr>
                <w:rFonts w:ascii="宋体"/>
                <w:sz w:val="21"/>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z w:val="15"/>
                <w:szCs w:val="15"/>
              </w:rPr>
            </w:pPr>
            <w:r>
              <w:rPr>
                <w:rFonts w:ascii="新宋体" w:hAnsi="新宋体" w:eastAsia="新宋体" w:cs="新宋体"/>
                <w:spacing w:val="-5"/>
                <w:sz w:val="15"/>
                <w:szCs w:val="15"/>
              </w:rPr>
              <w:t>5分</w:t>
            </w:r>
          </w:p>
        </w:tc>
        <w:tc>
          <w:tcPr>
            <w:tcW w:w="1225" w:type="dxa"/>
            <w:noWrap w:val="0"/>
            <w:vAlign w:val="top"/>
          </w:tcPr>
          <w:p>
            <w:pPr>
              <w:spacing w:before="49" w:line="184" w:lineRule="auto"/>
              <w:ind w:firstLine="37"/>
              <w:jc w:val="center"/>
              <w:rPr>
                <w:rFonts w:ascii="新宋体" w:hAnsi="新宋体" w:eastAsia="新宋体" w:cs="新宋体"/>
                <w:spacing w:val="-5"/>
                <w:sz w:val="15"/>
                <w:szCs w:val="15"/>
              </w:rPr>
            </w:pPr>
          </w:p>
        </w:tc>
        <w:tc>
          <w:tcPr>
            <w:tcW w:w="1225" w:type="dxa"/>
            <w:noWrap w:val="0"/>
            <w:vAlign w:val="top"/>
          </w:tcPr>
          <w:p>
            <w:pPr>
              <w:spacing w:before="49" w:line="184" w:lineRule="auto"/>
              <w:ind w:firstLine="37"/>
              <w:jc w:val="center"/>
              <w:rPr>
                <w:rFonts w:ascii="新宋体" w:hAnsi="新宋体" w:eastAsia="新宋体" w:cs="新宋体"/>
                <w:spacing w:val="-5"/>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18" w:type="dxa"/>
            <w:vMerge w:val="continue"/>
            <w:tcBorders>
              <w:top w:val="nil"/>
              <w:bottom w:val="nil"/>
            </w:tcBorders>
            <w:noWrap w:val="0"/>
            <w:vAlign w:val="top"/>
          </w:tcPr>
          <w:p>
            <w:pPr>
              <w:rPr>
                <w:rFonts w:ascii="宋体"/>
                <w:sz w:val="21"/>
              </w:rPr>
            </w:pPr>
          </w:p>
        </w:tc>
        <w:tc>
          <w:tcPr>
            <w:tcW w:w="810" w:type="dxa"/>
            <w:vMerge w:val="continue"/>
            <w:tcBorders>
              <w:top w:val="nil"/>
            </w:tcBorders>
            <w:noWrap w:val="0"/>
            <w:vAlign w:val="top"/>
          </w:tcPr>
          <w:p>
            <w:pPr>
              <w:rPr>
                <w:rFonts w:ascii="宋体"/>
                <w:sz w:val="21"/>
              </w:rPr>
            </w:pPr>
          </w:p>
        </w:tc>
        <w:tc>
          <w:tcPr>
            <w:tcW w:w="1091" w:type="dxa"/>
            <w:noWrap w:val="0"/>
            <w:vAlign w:val="top"/>
          </w:tcPr>
          <w:p>
            <w:pPr>
              <w:spacing w:line="346" w:lineRule="auto"/>
              <w:rPr>
                <w:rFonts w:ascii="宋体"/>
                <w:sz w:val="21"/>
              </w:rPr>
            </w:pPr>
          </w:p>
          <w:p>
            <w:pPr>
              <w:spacing w:before="49" w:line="230" w:lineRule="auto"/>
              <w:ind w:firstLine="247"/>
              <w:rPr>
                <w:rFonts w:ascii="新宋体" w:hAnsi="新宋体" w:eastAsia="新宋体" w:cs="新宋体"/>
                <w:sz w:val="15"/>
                <w:szCs w:val="15"/>
              </w:rPr>
            </w:pPr>
            <w:r>
              <w:rPr>
                <w:rFonts w:ascii="新宋体" w:hAnsi="新宋体" w:eastAsia="新宋体" w:cs="新宋体"/>
                <w:spacing w:val="-3"/>
                <w:sz w:val="15"/>
                <w:szCs w:val="15"/>
              </w:rPr>
              <w:t>立项程序</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规范性</w:t>
            </w:r>
          </w:p>
        </w:tc>
        <w:tc>
          <w:tcPr>
            <w:tcW w:w="462" w:type="dxa"/>
            <w:noWrap w:val="0"/>
            <w:vAlign w:val="top"/>
          </w:tcPr>
          <w:p>
            <w:pPr>
              <w:spacing w:before="49" w:line="228" w:lineRule="auto"/>
              <w:ind w:left="29" w:right="151" w:firstLine="2"/>
              <w:rPr>
                <w:rFonts w:hint="eastAsia" w:ascii="新宋体" w:hAnsi="新宋体" w:eastAsia="新宋体" w:cs="新宋体"/>
                <w:spacing w:val="-1"/>
                <w:sz w:val="15"/>
                <w:szCs w:val="15"/>
                <w:lang w:val="en-US" w:eastAsia="zh-CN"/>
              </w:rPr>
            </w:pPr>
          </w:p>
          <w:p>
            <w:pPr>
              <w:spacing w:before="49" w:line="228" w:lineRule="auto"/>
              <w:ind w:left="29" w:right="151" w:firstLine="2"/>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pPr>
              <w:spacing w:line="265" w:lineRule="auto"/>
              <w:rPr>
                <w:rFonts w:ascii="宋体"/>
                <w:sz w:val="21"/>
              </w:rPr>
            </w:pPr>
          </w:p>
          <w:p>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项目申请、设立过程是否符合</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相关要求，用以反映和考核项</w:t>
            </w:r>
            <w:r>
              <w:rPr>
                <w:rFonts w:ascii="新宋体" w:hAnsi="新宋体" w:eastAsia="新宋体" w:cs="新宋体"/>
                <w:spacing w:val="8"/>
                <w:sz w:val="15"/>
                <w:szCs w:val="15"/>
              </w:rPr>
              <w:t xml:space="preserve"> </w:t>
            </w:r>
            <w:r>
              <w:rPr>
                <w:rFonts w:ascii="新宋体" w:hAnsi="新宋体" w:eastAsia="新宋体" w:cs="新宋体"/>
                <w:sz w:val="15"/>
                <w:szCs w:val="15"/>
              </w:rPr>
              <w:t>目立项的规范情况。</w:t>
            </w:r>
          </w:p>
        </w:tc>
        <w:tc>
          <w:tcPr>
            <w:tcW w:w="4445" w:type="dxa"/>
            <w:noWrap w:val="0"/>
            <w:vAlign w:val="top"/>
          </w:tcPr>
          <w:p>
            <w:pPr>
              <w:spacing w:before="49" w:line="228" w:lineRule="auto"/>
              <w:ind w:right="137"/>
              <w:rPr>
                <w:rFonts w:ascii="新宋体" w:hAnsi="新宋体" w:eastAsia="新宋体" w:cs="新宋体"/>
                <w:spacing w:val="-4"/>
                <w:sz w:val="15"/>
                <w:szCs w:val="15"/>
              </w:rPr>
            </w:pPr>
            <w:r>
              <w:rPr>
                <w:rFonts w:ascii="新宋体" w:hAnsi="新宋体" w:eastAsia="新宋体" w:cs="新宋体"/>
                <w:spacing w:val="-4"/>
                <w:sz w:val="15"/>
                <w:szCs w:val="15"/>
              </w:rPr>
              <w:t>①项目是否按照规定的程序申请设立</w:t>
            </w:r>
            <w:r>
              <w:rPr>
                <w:rFonts w:ascii="新宋体" w:hAnsi="新宋体" w:eastAsia="新宋体" w:cs="新宋体"/>
                <w:spacing w:val="-25"/>
                <w:sz w:val="15"/>
                <w:szCs w:val="15"/>
              </w:rPr>
              <w:t xml:space="preserve"> </w:t>
            </w:r>
            <w:r>
              <w:rPr>
                <w:rFonts w:ascii="新宋体" w:hAnsi="新宋体" w:eastAsia="新宋体" w:cs="新宋体"/>
                <w:spacing w:val="-4"/>
                <w:sz w:val="15"/>
                <w:szCs w:val="15"/>
              </w:rPr>
              <w:t>；</w:t>
            </w:r>
          </w:p>
          <w:p>
            <w:pPr>
              <w:spacing w:before="49" w:line="228" w:lineRule="auto"/>
              <w:ind w:right="137"/>
              <w:rPr>
                <w:rFonts w:ascii="新宋体" w:hAnsi="新宋体" w:eastAsia="新宋体" w:cs="新宋体"/>
                <w:spacing w:val="42"/>
                <w:w w:val="101"/>
                <w:sz w:val="15"/>
                <w:szCs w:val="15"/>
              </w:rPr>
            </w:pPr>
            <w:r>
              <w:rPr>
                <w:rFonts w:ascii="新宋体" w:hAnsi="新宋体" w:eastAsia="新宋体" w:cs="新宋体"/>
                <w:spacing w:val="-4"/>
                <w:sz w:val="15"/>
                <w:szCs w:val="15"/>
              </w:rPr>
              <w:t>②审批文件、材料是否符</w:t>
            </w:r>
            <w:r>
              <w:rPr>
                <w:rFonts w:ascii="新宋体" w:hAnsi="新宋体" w:eastAsia="新宋体" w:cs="新宋体"/>
                <w:sz w:val="15"/>
                <w:szCs w:val="15"/>
              </w:rPr>
              <w:t xml:space="preserve"> </w:t>
            </w:r>
            <w:r>
              <w:rPr>
                <w:rFonts w:ascii="新宋体" w:hAnsi="新宋体" w:eastAsia="新宋体" w:cs="新宋体"/>
                <w:spacing w:val="-4"/>
                <w:sz w:val="15"/>
                <w:szCs w:val="15"/>
              </w:rPr>
              <w:t>合相关要求；</w:t>
            </w:r>
            <w:r>
              <w:rPr>
                <w:rFonts w:ascii="新宋体" w:hAnsi="新宋体" w:eastAsia="新宋体" w:cs="新宋体"/>
                <w:spacing w:val="42"/>
                <w:w w:val="101"/>
                <w:sz w:val="15"/>
                <w:szCs w:val="15"/>
              </w:rPr>
              <w:t xml:space="preserve"> </w:t>
            </w:r>
          </w:p>
          <w:p>
            <w:pPr>
              <w:spacing w:before="49" w:line="228" w:lineRule="auto"/>
              <w:ind w:right="137"/>
              <w:rPr>
                <w:rFonts w:ascii="新宋体" w:hAnsi="新宋体" w:eastAsia="新宋体" w:cs="新宋体"/>
                <w:sz w:val="15"/>
                <w:szCs w:val="15"/>
              </w:rPr>
            </w:pPr>
            <w:r>
              <w:rPr>
                <w:rFonts w:ascii="新宋体" w:hAnsi="新宋体" w:eastAsia="新宋体" w:cs="新宋体"/>
                <w:spacing w:val="-4"/>
                <w:sz w:val="15"/>
                <w:szCs w:val="15"/>
              </w:rPr>
              <w:t>③事前是否己经过必要的可行性研究</w:t>
            </w:r>
            <w:r>
              <w:rPr>
                <w:rFonts w:ascii="新宋体" w:hAnsi="新宋体" w:eastAsia="新宋体" w:cs="新宋体"/>
                <w:spacing w:val="-28"/>
                <w:sz w:val="15"/>
                <w:szCs w:val="15"/>
              </w:rPr>
              <w:t xml:space="preserve"> </w:t>
            </w:r>
            <w:r>
              <w:rPr>
                <w:rFonts w:ascii="新宋体" w:hAnsi="新宋体" w:eastAsia="新宋体" w:cs="新宋体"/>
                <w:spacing w:val="-4"/>
                <w:sz w:val="15"/>
                <w:szCs w:val="15"/>
              </w:rPr>
              <w:t>、专家论证、风险评估、</w:t>
            </w:r>
            <w:r>
              <w:rPr>
                <w:rFonts w:ascii="新宋体" w:hAnsi="新宋体" w:eastAsia="新宋体" w:cs="新宋体"/>
                <w:sz w:val="15"/>
                <w:szCs w:val="15"/>
              </w:rPr>
              <w:t xml:space="preserve"> 绩效评估、集体决策。</w:t>
            </w:r>
          </w:p>
          <w:p>
            <w:pPr>
              <w:spacing w:before="49" w:line="228" w:lineRule="auto"/>
              <w:ind w:right="137" w:firstLine="300" w:firstLineChars="200"/>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pPr>
              <w:spacing w:line="428" w:lineRule="auto"/>
              <w:jc w:val="center"/>
              <w:rPr>
                <w:rFonts w:ascii="宋体"/>
                <w:sz w:val="21"/>
              </w:rPr>
            </w:pPr>
          </w:p>
          <w:p>
            <w:pPr>
              <w:spacing w:before="49"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5</w:t>
            </w:r>
            <w:r>
              <w:rPr>
                <w:rFonts w:ascii="新宋体" w:hAnsi="新宋体" w:eastAsia="新宋体" w:cs="新宋体"/>
                <w:spacing w:val="-5"/>
                <w:sz w:val="15"/>
                <w:szCs w:val="15"/>
              </w:rPr>
              <w:t>分</w:t>
            </w:r>
          </w:p>
        </w:tc>
        <w:tc>
          <w:tcPr>
            <w:tcW w:w="1225" w:type="dxa"/>
            <w:noWrap w:val="0"/>
            <w:vAlign w:val="top"/>
          </w:tcPr>
          <w:p>
            <w:pPr>
              <w:spacing w:before="49"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pPr>
              <w:spacing w:before="49" w:line="184" w:lineRule="auto"/>
              <w:ind w:firstLine="37"/>
              <w:jc w:val="center"/>
              <w:rPr>
                <w:rFonts w:hint="eastAsia" w:ascii="新宋体" w:hAnsi="新宋体" w:eastAsia="新宋体" w:cs="新宋体"/>
                <w:spacing w:val="-5"/>
                <w:sz w:val="15"/>
                <w:szCs w:val="15"/>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18" w:type="dxa"/>
            <w:vMerge w:val="continue"/>
            <w:tcBorders>
              <w:top w:val="nil"/>
              <w:bottom w:val="nil"/>
            </w:tcBorders>
            <w:noWrap w:val="0"/>
            <w:vAlign w:val="top"/>
          </w:tcPr>
          <w:p>
            <w:pPr>
              <w:rPr>
                <w:rFonts w:ascii="宋体"/>
                <w:sz w:val="21"/>
              </w:rPr>
            </w:pPr>
          </w:p>
        </w:tc>
        <w:tc>
          <w:tcPr>
            <w:tcW w:w="810" w:type="dxa"/>
            <w:noWrap w:val="0"/>
            <w:vAlign w:val="top"/>
          </w:tcPr>
          <w:p>
            <w:pPr>
              <w:spacing w:line="459" w:lineRule="auto"/>
              <w:rPr>
                <w:rFonts w:ascii="宋体"/>
                <w:sz w:val="21"/>
              </w:rPr>
            </w:pPr>
          </w:p>
          <w:p>
            <w:pPr>
              <w:spacing w:before="48"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91" w:type="dxa"/>
            <w:noWrap w:val="0"/>
            <w:vAlign w:val="top"/>
          </w:tcPr>
          <w:p>
            <w:pPr>
              <w:spacing w:line="377" w:lineRule="auto"/>
              <w:rPr>
                <w:rFonts w:ascii="宋体"/>
                <w:sz w:val="21"/>
              </w:rPr>
            </w:pPr>
          </w:p>
          <w:p>
            <w:pPr>
              <w:spacing w:before="49" w:line="227" w:lineRule="auto"/>
              <w:ind w:firstLine="249"/>
              <w:rPr>
                <w:rFonts w:ascii="新宋体" w:hAnsi="新宋体" w:eastAsia="新宋体" w:cs="新宋体"/>
                <w:sz w:val="15"/>
                <w:szCs w:val="15"/>
              </w:rPr>
            </w:pPr>
            <w:r>
              <w:rPr>
                <w:rFonts w:ascii="新宋体" w:hAnsi="新宋体" w:eastAsia="新宋体" w:cs="新宋体"/>
                <w:spacing w:val="-3"/>
                <w:sz w:val="15"/>
                <w:szCs w:val="15"/>
              </w:rPr>
              <w:t>绩效目标</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pPr>
              <w:spacing w:before="294" w:line="227" w:lineRule="auto"/>
              <w:ind w:left="29" w:right="16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294" w:line="227" w:lineRule="auto"/>
              <w:ind w:left="29" w:right="160" w:firstLine="2"/>
              <w:rPr>
                <w:rFonts w:ascii="新宋体" w:hAnsi="新宋体" w:eastAsia="新宋体" w:cs="新宋体"/>
                <w:sz w:val="15"/>
                <w:szCs w:val="15"/>
              </w:rPr>
            </w:pPr>
            <w:r>
              <w:rPr>
                <w:rFonts w:ascii="新宋体" w:hAnsi="新宋体" w:eastAsia="新宋体" w:cs="新宋体"/>
                <w:spacing w:val="-2"/>
                <w:sz w:val="15"/>
                <w:szCs w:val="15"/>
              </w:rPr>
              <w:t>项目所设定的绩效目标是否依</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据充分，是否符合客观实际，</w:t>
            </w:r>
            <w:r>
              <w:rPr>
                <w:rFonts w:ascii="新宋体" w:hAnsi="新宋体" w:eastAsia="新宋体" w:cs="新宋体"/>
                <w:sz w:val="15"/>
                <w:szCs w:val="15"/>
              </w:rPr>
              <w:t xml:space="preserve"> </w:t>
            </w:r>
            <w:r>
              <w:rPr>
                <w:rFonts w:ascii="新宋体" w:hAnsi="新宋体" w:eastAsia="新宋体" w:cs="新宋体"/>
                <w:spacing w:val="-1"/>
                <w:sz w:val="15"/>
                <w:szCs w:val="15"/>
              </w:rPr>
              <w:t>用以反映和考核项目绩效目标</w:t>
            </w:r>
            <w:r>
              <w:rPr>
                <w:rFonts w:ascii="新宋体" w:hAnsi="新宋体" w:eastAsia="新宋体" w:cs="新宋体"/>
                <w:sz w:val="15"/>
                <w:szCs w:val="15"/>
              </w:rPr>
              <w:t xml:space="preserve"> 与项目实施的相符情况。</w:t>
            </w:r>
          </w:p>
        </w:tc>
        <w:tc>
          <w:tcPr>
            <w:tcW w:w="4445" w:type="dxa"/>
            <w:noWrap w:val="0"/>
            <w:vAlign w:val="top"/>
          </w:tcPr>
          <w:p>
            <w:pPr>
              <w:spacing w:before="36" w:line="227" w:lineRule="auto"/>
              <w:ind w:right="132"/>
              <w:rPr>
                <w:rFonts w:ascii="新宋体" w:hAnsi="新宋体" w:eastAsia="新宋体" w:cs="新宋体"/>
                <w:spacing w:val="34"/>
                <w:sz w:val="15"/>
                <w:szCs w:val="15"/>
              </w:rPr>
            </w:pPr>
            <w:r>
              <w:rPr>
                <w:rFonts w:ascii="新宋体" w:hAnsi="新宋体" w:eastAsia="新宋体" w:cs="新宋体"/>
                <w:spacing w:val="-1"/>
                <w:sz w:val="15"/>
                <w:szCs w:val="15"/>
              </w:rPr>
              <w:t>①项目</w:t>
            </w:r>
            <w:r>
              <w:rPr>
                <w:rFonts w:ascii="新宋体" w:hAnsi="新宋体" w:eastAsia="新宋体" w:cs="新宋体"/>
                <w:spacing w:val="-4"/>
                <w:sz w:val="15"/>
                <w:szCs w:val="15"/>
              </w:rPr>
              <w:t>是否有绩效目标；</w:t>
            </w:r>
            <w:r>
              <w:rPr>
                <w:rFonts w:ascii="新宋体" w:hAnsi="新宋体" w:eastAsia="新宋体" w:cs="新宋体"/>
                <w:spacing w:val="34"/>
                <w:sz w:val="15"/>
                <w:szCs w:val="15"/>
              </w:rPr>
              <w:t xml:space="preserve"> </w:t>
            </w:r>
          </w:p>
          <w:p>
            <w:pPr>
              <w:spacing w:before="36" w:line="227" w:lineRule="auto"/>
              <w:ind w:right="132"/>
              <w:rPr>
                <w:rFonts w:ascii="新宋体" w:hAnsi="新宋体" w:eastAsia="新宋体" w:cs="新宋体"/>
                <w:spacing w:val="-4"/>
                <w:sz w:val="15"/>
                <w:szCs w:val="15"/>
              </w:rPr>
            </w:pPr>
            <w:r>
              <w:rPr>
                <w:rFonts w:ascii="新宋体" w:hAnsi="新宋体" w:eastAsia="新宋体" w:cs="新宋体"/>
                <w:spacing w:val="-4"/>
                <w:sz w:val="15"/>
                <w:szCs w:val="15"/>
              </w:rPr>
              <w:t>②项目绩效目标与实际工作内容是否具有相关性</w:t>
            </w:r>
            <w:r>
              <w:rPr>
                <w:rFonts w:ascii="新宋体" w:hAnsi="新宋体" w:eastAsia="新宋体" w:cs="新宋体"/>
                <w:spacing w:val="-16"/>
                <w:sz w:val="15"/>
                <w:szCs w:val="15"/>
              </w:rPr>
              <w:t xml:space="preserve"> </w:t>
            </w:r>
            <w:r>
              <w:rPr>
                <w:rFonts w:ascii="新宋体" w:hAnsi="新宋体" w:eastAsia="新宋体" w:cs="新宋体"/>
                <w:spacing w:val="-4"/>
                <w:sz w:val="15"/>
                <w:szCs w:val="15"/>
              </w:rPr>
              <w:t>；</w:t>
            </w:r>
          </w:p>
          <w:p>
            <w:pPr>
              <w:spacing w:before="36" w:line="227" w:lineRule="auto"/>
              <w:ind w:right="132"/>
              <w:rPr>
                <w:rFonts w:ascii="新宋体" w:hAnsi="新宋体" w:eastAsia="新宋体" w:cs="新宋体"/>
                <w:spacing w:val="-2"/>
                <w:sz w:val="15"/>
                <w:szCs w:val="15"/>
              </w:rPr>
            </w:pPr>
            <w:r>
              <w:rPr>
                <w:rFonts w:ascii="新宋体" w:hAnsi="新宋体" w:eastAsia="新宋体" w:cs="新宋体"/>
                <w:spacing w:val="-4"/>
                <w:sz w:val="15"/>
                <w:szCs w:val="15"/>
              </w:rPr>
              <w:t>③项目</w:t>
            </w:r>
            <w:r>
              <w:rPr>
                <w:rFonts w:ascii="新宋体" w:hAnsi="新宋体" w:eastAsia="新宋体" w:cs="新宋体"/>
                <w:sz w:val="15"/>
                <w:szCs w:val="15"/>
              </w:rPr>
              <w:t xml:space="preserve"> </w:t>
            </w:r>
            <w:r>
              <w:rPr>
                <w:rFonts w:ascii="新宋体" w:hAnsi="新宋体" w:eastAsia="新宋体" w:cs="新宋体"/>
                <w:spacing w:val="-2"/>
                <w:sz w:val="15"/>
                <w:szCs w:val="15"/>
              </w:rPr>
              <w:t>预期产出效益和效果是否符合正常的业绩水平</w:t>
            </w:r>
            <w:r>
              <w:rPr>
                <w:rFonts w:ascii="新宋体" w:hAnsi="新宋体" w:eastAsia="新宋体" w:cs="新宋体"/>
                <w:spacing w:val="10"/>
                <w:sz w:val="15"/>
                <w:szCs w:val="15"/>
              </w:rPr>
              <w:t xml:space="preserve"> </w:t>
            </w:r>
            <w:r>
              <w:rPr>
                <w:rFonts w:ascii="新宋体" w:hAnsi="新宋体" w:eastAsia="新宋体" w:cs="新宋体"/>
                <w:spacing w:val="-2"/>
                <w:sz w:val="15"/>
                <w:szCs w:val="15"/>
              </w:rPr>
              <w:t>；</w:t>
            </w:r>
          </w:p>
          <w:p>
            <w:pPr>
              <w:spacing w:before="36" w:line="227" w:lineRule="auto"/>
              <w:ind w:right="132"/>
              <w:rPr>
                <w:rFonts w:ascii="新宋体" w:hAnsi="新宋体" w:eastAsia="新宋体" w:cs="新宋体"/>
                <w:sz w:val="15"/>
                <w:szCs w:val="15"/>
              </w:rPr>
            </w:pPr>
            <w:r>
              <w:rPr>
                <w:rFonts w:ascii="新宋体" w:hAnsi="新宋体" w:eastAsia="新宋体" w:cs="新宋体"/>
                <w:spacing w:val="-2"/>
                <w:sz w:val="15"/>
                <w:szCs w:val="15"/>
              </w:rPr>
              <w:t>④是否与预算确定的项目投</w:t>
            </w:r>
            <w:r>
              <w:rPr>
                <w:rFonts w:ascii="新宋体" w:hAnsi="新宋体" w:eastAsia="新宋体" w:cs="新宋体"/>
                <w:sz w:val="15"/>
                <w:szCs w:val="15"/>
              </w:rPr>
              <w:t xml:space="preserve"> 资额或资金量相匹配。</w:t>
            </w:r>
          </w:p>
          <w:p>
            <w:pPr>
              <w:spacing w:before="36" w:line="227" w:lineRule="auto"/>
              <w:ind w:right="132"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pPr>
              <w:spacing w:line="459" w:lineRule="auto"/>
              <w:jc w:val="center"/>
              <w:rPr>
                <w:rFonts w:ascii="宋体"/>
                <w:sz w:val="21"/>
              </w:rPr>
            </w:pPr>
          </w:p>
          <w:p>
            <w:pPr>
              <w:spacing w:before="4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pPr>
              <w:spacing w:before="48" w:line="184" w:lineRule="auto"/>
              <w:ind w:firstLine="34"/>
              <w:jc w:val="center"/>
              <w:rPr>
                <w:rFonts w:ascii="新宋体" w:hAnsi="新宋体" w:eastAsia="新宋体" w:cs="新宋体"/>
                <w:spacing w:val="-3"/>
                <w:sz w:val="15"/>
                <w:szCs w:val="15"/>
              </w:rPr>
            </w:pPr>
          </w:p>
        </w:tc>
        <w:tc>
          <w:tcPr>
            <w:tcW w:w="1225" w:type="dxa"/>
            <w:noWrap w:val="0"/>
            <w:vAlign w:val="top"/>
          </w:tcPr>
          <w:p>
            <w:pPr>
              <w:spacing w:before="48" w:line="184" w:lineRule="auto"/>
              <w:ind w:firstLine="34"/>
              <w:jc w:val="center"/>
              <w:rPr>
                <w:rFonts w:ascii="新宋体" w:hAnsi="新宋体" w:eastAsia="新宋体" w:cs="新宋体"/>
                <w:spacing w:val="-3"/>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8" w:type="dxa"/>
            <w:vMerge w:val="continue"/>
            <w:tcBorders>
              <w:top w:val="nil"/>
            </w:tcBorders>
            <w:noWrap w:val="0"/>
            <w:vAlign w:val="top"/>
          </w:tcPr>
          <w:p>
            <w:pPr>
              <w:rPr>
                <w:rFonts w:ascii="宋体"/>
                <w:sz w:val="21"/>
              </w:rPr>
            </w:pPr>
          </w:p>
        </w:tc>
        <w:tc>
          <w:tcPr>
            <w:tcW w:w="810" w:type="dxa"/>
            <w:noWrap w:val="0"/>
            <w:vAlign w:val="top"/>
          </w:tcPr>
          <w:p>
            <w:pPr>
              <w:spacing w:line="419" w:lineRule="auto"/>
              <w:rPr>
                <w:rFonts w:ascii="宋体"/>
                <w:sz w:val="21"/>
              </w:rPr>
            </w:pPr>
          </w:p>
          <w:p>
            <w:pPr>
              <w:spacing w:before="48" w:line="184" w:lineRule="auto"/>
              <w:ind w:firstLine="109"/>
              <w:rPr>
                <w:rFonts w:hint="default" w:ascii="新宋体" w:hAnsi="新宋体" w:eastAsia="新宋体" w:cs="新宋体"/>
                <w:sz w:val="15"/>
                <w:szCs w:val="15"/>
                <w:lang w:val="en-US"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val="en-US" w:eastAsia="zh-CN"/>
              </w:rPr>
              <w:t>(4分）</w:t>
            </w:r>
          </w:p>
        </w:tc>
        <w:tc>
          <w:tcPr>
            <w:tcW w:w="1091" w:type="dxa"/>
            <w:noWrap w:val="0"/>
            <w:vAlign w:val="top"/>
          </w:tcPr>
          <w:p>
            <w:pPr>
              <w:spacing w:line="338" w:lineRule="auto"/>
              <w:rPr>
                <w:rFonts w:ascii="宋体"/>
                <w:sz w:val="21"/>
              </w:rPr>
            </w:pPr>
          </w:p>
          <w:p>
            <w:pPr>
              <w:spacing w:before="49" w:line="228" w:lineRule="auto"/>
              <w:ind w:firstLine="249"/>
              <w:rPr>
                <w:rFonts w:ascii="新宋体" w:hAnsi="新宋体" w:eastAsia="新宋体" w:cs="新宋体"/>
                <w:sz w:val="15"/>
                <w:szCs w:val="15"/>
              </w:rPr>
            </w:pPr>
            <w:r>
              <w:rPr>
                <w:rFonts w:ascii="新宋体" w:hAnsi="新宋体" w:eastAsia="新宋体" w:cs="新宋体"/>
                <w:spacing w:val="-3"/>
                <w:sz w:val="15"/>
                <w:szCs w:val="15"/>
              </w:rPr>
              <w:t>绩效指标</w:t>
            </w:r>
          </w:p>
          <w:p>
            <w:pPr>
              <w:spacing w:line="204" w:lineRule="auto"/>
              <w:ind w:firstLine="335"/>
              <w:rPr>
                <w:rFonts w:ascii="新宋体" w:hAnsi="新宋体" w:eastAsia="新宋体" w:cs="新宋体"/>
                <w:sz w:val="15"/>
                <w:szCs w:val="15"/>
              </w:rPr>
            </w:pPr>
            <w:r>
              <w:rPr>
                <w:rFonts w:ascii="新宋体" w:hAnsi="新宋体" w:eastAsia="新宋体" w:cs="新宋体"/>
                <w:spacing w:val="-8"/>
                <w:sz w:val="15"/>
                <w:szCs w:val="15"/>
              </w:rPr>
              <w:t>明确性</w:t>
            </w:r>
          </w:p>
        </w:tc>
        <w:tc>
          <w:tcPr>
            <w:tcW w:w="462" w:type="dxa"/>
            <w:noWrap w:val="0"/>
            <w:vAlign w:val="top"/>
          </w:tcPr>
          <w:p>
            <w:pPr>
              <w:spacing w:before="248" w:line="228" w:lineRule="auto"/>
              <w:ind w:left="31" w:right="160"/>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248" w:line="228" w:lineRule="auto"/>
              <w:ind w:left="31" w:right="160"/>
              <w:rPr>
                <w:rFonts w:ascii="新宋体" w:hAnsi="新宋体" w:eastAsia="新宋体" w:cs="新宋体"/>
                <w:sz w:val="15"/>
                <w:szCs w:val="15"/>
              </w:rPr>
            </w:pPr>
            <w:r>
              <w:rPr>
                <w:rFonts w:ascii="新宋体" w:hAnsi="新宋体" w:eastAsia="新宋体" w:cs="新宋体"/>
                <w:spacing w:val="-2"/>
                <w:sz w:val="15"/>
                <w:szCs w:val="15"/>
              </w:rPr>
              <w:t>依据绩效目标设定的绩效指标</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是否清晰、细化、可衡量等，</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用以反映和考核项目绩效目标</w:t>
            </w:r>
            <w:r>
              <w:rPr>
                <w:rFonts w:ascii="新宋体" w:hAnsi="新宋体" w:eastAsia="新宋体" w:cs="新宋体"/>
                <w:spacing w:val="11"/>
                <w:sz w:val="15"/>
                <w:szCs w:val="15"/>
              </w:rPr>
              <w:t xml:space="preserve"> </w:t>
            </w:r>
            <w:r>
              <w:rPr>
                <w:rFonts w:ascii="新宋体" w:hAnsi="新宋体" w:eastAsia="新宋体" w:cs="新宋体"/>
                <w:spacing w:val="-1"/>
                <w:sz w:val="15"/>
                <w:szCs w:val="15"/>
              </w:rPr>
              <w:t>的明细化情况。</w:t>
            </w:r>
          </w:p>
        </w:tc>
        <w:tc>
          <w:tcPr>
            <w:tcW w:w="4445" w:type="dxa"/>
            <w:noWrap w:val="0"/>
            <w:vAlign w:val="top"/>
          </w:tcPr>
          <w:p>
            <w:pPr>
              <w:numPr>
                <w:ilvl w:val="0"/>
                <w:numId w:val="5"/>
              </w:numPr>
              <w:spacing w:before="49" w:line="227" w:lineRule="auto"/>
              <w:ind w:left="115" w:leftChars="0" w:right="134" w:firstLine="0" w:firstLineChars="0"/>
              <w:rPr>
                <w:rFonts w:ascii="新宋体" w:hAnsi="新宋体" w:eastAsia="新宋体" w:cs="新宋体"/>
                <w:spacing w:val="-5"/>
                <w:sz w:val="15"/>
                <w:szCs w:val="15"/>
              </w:rPr>
            </w:pPr>
            <w:r>
              <w:rPr>
                <w:rFonts w:ascii="新宋体" w:hAnsi="新宋体" w:eastAsia="新宋体" w:cs="新宋体"/>
                <w:spacing w:val="-5"/>
                <w:sz w:val="15"/>
                <w:szCs w:val="15"/>
              </w:rPr>
              <w:t>是否将项目绩效目标细化分解为具体的绩效指标</w:t>
            </w:r>
            <w:r>
              <w:rPr>
                <w:rFonts w:ascii="新宋体" w:hAnsi="新宋体" w:eastAsia="新宋体" w:cs="新宋体"/>
                <w:spacing w:val="-15"/>
                <w:sz w:val="15"/>
                <w:szCs w:val="15"/>
              </w:rPr>
              <w:t xml:space="preserve"> </w:t>
            </w:r>
            <w:r>
              <w:rPr>
                <w:rFonts w:ascii="新宋体" w:hAnsi="新宋体" w:eastAsia="新宋体" w:cs="新宋体"/>
                <w:spacing w:val="-5"/>
                <w:sz w:val="15"/>
                <w:szCs w:val="15"/>
              </w:rPr>
              <w:t>；</w:t>
            </w:r>
          </w:p>
          <w:p>
            <w:pPr>
              <w:numPr>
                <w:ilvl w:val="0"/>
                <w:numId w:val="5"/>
              </w:numPr>
              <w:spacing w:before="49" w:line="227" w:lineRule="auto"/>
              <w:ind w:left="115" w:leftChars="0" w:right="134" w:rightChars="0" w:firstLine="0" w:firstLineChars="0"/>
              <w:rPr>
                <w:rFonts w:ascii="新宋体" w:hAnsi="新宋体" w:eastAsia="新宋体" w:cs="新宋体"/>
                <w:spacing w:val="36"/>
                <w:sz w:val="15"/>
                <w:szCs w:val="15"/>
              </w:rPr>
            </w:pPr>
            <w:r>
              <w:rPr>
                <w:rFonts w:ascii="新宋体" w:hAnsi="新宋体" w:eastAsia="新宋体" w:cs="新宋体"/>
                <w:spacing w:val="-5"/>
                <w:sz w:val="15"/>
                <w:szCs w:val="15"/>
              </w:rPr>
              <w:t>是否通</w:t>
            </w:r>
            <w:r>
              <w:rPr>
                <w:rFonts w:ascii="新宋体" w:hAnsi="新宋体" w:eastAsia="新宋体" w:cs="新宋体"/>
                <w:sz w:val="15"/>
                <w:szCs w:val="15"/>
              </w:rPr>
              <w:t xml:space="preserve"> </w:t>
            </w:r>
            <w:r>
              <w:rPr>
                <w:rFonts w:ascii="新宋体" w:hAnsi="新宋体" w:eastAsia="新宋体" w:cs="新宋体"/>
                <w:spacing w:val="-3"/>
                <w:sz w:val="15"/>
                <w:szCs w:val="15"/>
              </w:rPr>
              <w:t>过清晰、可衡量的指标值予以体现；</w:t>
            </w:r>
            <w:r>
              <w:rPr>
                <w:rFonts w:ascii="新宋体" w:hAnsi="新宋体" w:eastAsia="新宋体" w:cs="新宋体"/>
                <w:spacing w:val="36"/>
                <w:sz w:val="15"/>
                <w:szCs w:val="15"/>
              </w:rPr>
              <w:t xml:space="preserve"> </w:t>
            </w:r>
          </w:p>
          <w:p>
            <w:pPr>
              <w:numPr>
                <w:ilvl w:val="0"/>
                <w:numId w:val="5"/>
              </w:numPr>
              <w:spacing w:before="49" w:line="227" w:lineRule="auto"/>
              <w:ind w:left="115" w:leftChars="0" w:right="134" w:rightChars="0" w:firstLine="0" w:firstLineChars="0"/>
              <w:rPr>
                <w:rFonts w:ascii="新宋体" w:hAnsi="新宋体" w:eastAsia="新宋体" w:cs="新宋体"/>
                <w:sz w:val="15"/>
                <w:szCs w:val="15"/>
              </w:rPr>
            </w:pPr>
            <w:r>
              <w:rPr>
                <w:rFonts w:ascii="新宋体" w:hAnsi="新宋体" w:eastAsia="新宋体" w:cs="新宋体"/>
                <w:spacing w:val="-3"/>
                <w:sz w:val="15"/>
                <w:szCs w:val="15"/>
              </w:rPr>
              <w:t>③是否与项目目标任务数或计划数相对</w:t>
            </w:r>
            <w:r>
              <w:rPr>
                <w:rFonts w:ascii="新宋体" w:hAnsi="新宋体" w:eastAsia="新宋体" w:cs="新宋体"/>
                <w:sz w:val="15"/>
                <w:szCs w:val="15"/>
              </w:rPr>
              <w:t xml:space="preserve"> </w:t>
            </w:r>
            <w:r>
              <w:rPr>
                <w:rFonts w:ascii="新宋体" w:hAnsi="新宋体" w:eastAsia="新宋体" w:cs="新宋体"/>
                <w:spacing w:val="-2"/>
                <w:sz w:val="15"/>
                <w:szCs w:val="15"/>
              </w:rPr>
              <w:t>应。</w:t>
            </w:r>
          </w:p>
          <w:p>
            <w:pPr>
              <w:numPr>
                <w:ilvl w:val="0"/>
                <w:numId w:val="0"/>
              </w:numPr>
              <w:spacing w:before="49" w:line="227" w:lineRule="auto"/>
              <w:ind w:left="115" w:leftChars="0" w:right="134" w:rightChars="0"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pPr>
              <w:spacing w:line="419" w:lineRule="auto"/>
              <w:jc w:val="center"/>
              <w:rPr>
                <w:rFonts w:ascii="宋体"/>
                <w:sz w:val="21"/>
              </w:rPr>
            </w:pPr>
          </w:p>
          <w:p>
            <w:pPr>
              <w:spacing w:before="48"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4</w:t>
            </w:r>
            <w:r>
              <w:rPr>
                <w:rFonts w:ascii="新宋体" w:hAnsi="新宋体" w:eastAsia="新宋体" w:cs="新宋体"/>
                <w:spacing w:val="-5"/>
                <w:sz w:val="15"/>
                <w:szCs w:val="15"/>
              </w:rPr>
              <w:t>分</w:t>
            </w:r>
          </w:p>
        </w:tc>
        <w:tc>
          <w:tcPr>
            <w:tcW w:w="1225" w:type="dxa"/>
            <w:noWrap w:val="0"/>
            <w:vAlign w:val="top"/>
          </w:tcPr>
          <w:p>
            <w:pPr>
              <w:spacing w:before="48"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pPr>
              <w:spacing w:before="48" w:line="184" w:lineRule="auto"/>
              <w:ind w:firstLine="37"/>
              <w:jc w:val="center"/>
              <w:rPr>
                <w:rFonts w:hint="eastAsia" w:ascii="新宋体" w:hAnsi="新宋体" w:eastAsia="新宋体" w:cs="新宋体"/>
                <w:spacing w:val="-5"/>
                <w:sz w:val="15"/>
                <w:szCs w:val="15"/>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8" w:type="dxa"/>
            <w:vMerge w:val="restart"/>
            <w:tcBorders>
              <w:bottom w:val="nil"/>
            </w:tcBorders>
            <w:noWrap w:val="0"/>
            <w:vAlign w:val="top"/>
          </w:tcPr>
          <w:p>
            <w:pPr>
              <w:spacing w:line="319" w:lineRule="auto"/>
              <w:rPr>
                <w:rFonts w:ascii="宋体"/>
                <w:sz w:val="21"/>
              </w:rPr>
            </w:pPr>
          </w:p>
          <w:p>
            <w:pPr>
              <w:spacing w:line="319" w:lineRule="auto"/>
              <w:rPr>
                <w:rFonts w:ascii="宋体"/>
                <w:sz w:val="21"/>
              </w:rPr>
            </w:pPr>
          </w:p>
          <w:p>
            <w:pPr>
              <w:spacing w:line="320" w:lineRule="auto"/>
              <w:rPr>
                <w:rFonts w:ascii="宋体"/>
                <w:sz w:val="21"/>
              </w:rPr>
            </w:pPr>
          </w:p>
          <w:p>
            <w:pPr>
              <w:spacing w:before="59" w:line="182" w:lineRule="auto"/>
              <w:ind w:firstLine="242"/>
              <w:rPr>
                <w:rFonts w:ascii="新宋体" w:hAnsi="新宋体" w:eastAsia="新宋体" w:cs="新宋体"/>
                <w:sz w:val="18"/>
                <w:szCs w:val="18"/>
              </w:rPr>
            </w:pPr>
            <w:r>
              <w:rPr>
                <w:rFonts w:ascii="新宋体" w:hAnsi="新宋体" w:eastAsia="新宋体" w:cs="新宋体"/>
                <w:spacing w:val="-8"/>
                <w:sz w:val="18"/>
                <w:szCs w:val="18"/>
              </w:rPr>
              <w:t>决策</w:t>
            </w:r>
          </w:p>
        </w:tc>
        <w:tc>
          <w:tcPr>
            <w:tcW w:w="810" w:type="dxa"/>
            <w:vMerge w:val="restart"/>
            <w:tcBorders>
              <w:bottom w:val="nil"/>
            </w:tcBorders>
            <w:noWrap w:val="0"/>
            <w:vAlign w:val="top"/>
          </w:tcPr>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4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资金投入</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8分</w:t>
            </w:r>
            <w:r>
              <w:rPr>
                <w:rFonts w:hint="eastAsia" w:ascii="新宋体" w:hAnsi="新宋体" w:eastAsia="新宋体" w:cs="新宋体"/>
                <w:spacing w:val="-4"/>
                <w:sz w:val="15"/>
                <w:szCs w:val="15"/>
                <w:lang w:eastAsia="zh-CN"/>
              </w:rPr>
              <w:t>）</w:t>
            </w:r>
          </w:p>
        </w:tc>
        <w:tc>
          <w:tcPr>
            <w:tcW w:w="1091" w:type="dxa"/>
            <w:noWrap w:val="0"/>
            <w:vAlign w:val="top"/>
          </w:tcPr>
          <w:p>
            <w:pPr>
              <w:spacing w:line="366" w:lineRule="auto"/>
              <w:rPr>
                <w:rFonts w:ascii="宋体"/>
                <w:sz w:val="21"/>
              </w:rPr>
            </w:pPr>
          </w:p>
          <w:p>
            <w:pPr>
              <w:spacing w:before="48" w:line="230" w:lineRule="auto"/>
              <w:ind w:firstLine="248"/>
              <w:rPr>
                <w:rFonts w:ascii="新宋体" w:hAnsi="新宋体" w:eastAsia="新宋体" w:cs="新宋体"/>
                <w:sz w:val="15"/>
                <w:szCs w:val="15"/>
              </w:rPr>
            </w:pPr>
            <w:r>
              <w:rPr>
                <w:rFonts w:ascii="新宋体" w:hAnsi="新宋体" w:eastAsia="新宋体" w:cs="新宋体"/>
                <w:spacing w:val="-3"/>
                <w:sz w:val="15"/>
                <w:szCs w:val="15"/>
              </w:rPr>
              <w:t>预算编制</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科学性</w:t>
            </w:r>
          </w:p>
        </w:tc>
        <w:tc>
          <w:tcPr>
            <w:tcW w:w="462" w:type="dxa"/>
            <w:noWrap w:val="0"/>
            <w:vAlign w:val="top"/>
          </w:tcPr>
          <w:p>
            <w:pPr>
              <w:spacing w:before="189" w:line="228" w:lineRule="auto"/>
              <w:ind w:left="29" w:right="14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189" w:line="228" w:lineRule="auto"/>
              <w:ind w:left="29" w:right="140" w:firstLine="2"/>
              <w:rPr>
                <w:rFonts w:ascii="新宋体" w:hAnsi="新宋体" w:eastAsia="新宋体" w:cs="新宋体"/>
                <w:sz w:val="15"/>
                <w:szCs w:val="15"/>
              </w:rPr>
            </w:pPr>
            <w:r>
              <w:rPr>
                <w:rFonts w:ascii="新宋体" w:hAnsi="新宋体" w:eastAsia="新宋体" w:cs="新宋体"/>
                <w:spacing w:val="-2"/>
                <w:sz w:val="15"/>
                <w:szCs w:val="15"/>
              </w:rPr>
              <w:t>项目预算编制是否经过科学论</w:t>
            </w:r>
            <w:r>
              <w:rPr>
                <w:rFonts w:ascii="新宋体" w:hAnsi="新宋体" w:eastAsia="新宋体" w:cs="新宋体"/>
                <w:spacing w:val="10"/>
                <w:sz w:val="15"/>
                <w:szCs w:val="15"/>
              </w:rPr>
              <w:t xml:space="preserve"> </w:t>
            </w:r>
            <w:r>
              <w:rPr>
                <w:rFonts w:ascii="新宋体" w:hAnsi="新宋体" w:eastAsia="新宋体" w:cs="新宋体"/>
                <w:sz w:val="15"/>
                <w:szCs w:val="15"/>
              </w:rPr>
              <w:t>证、有明确标准，资金额度与</w:t>
            </w:r>
            <w:r>
              <w:rPr>
                <w:rFonts w:ascii="新宋体" w:hAnsi="新宋体" w:eastAsia="新宋体" w:cs="新宋体"/>
                <w:spacing w:val="2"/>
                <w:w w:val="101"/>
                <w:sz w:val="15"/>
                <w:szCs w:val="15"/>
              </w:rPr>
              <w:t xml:space="preserve"> </w:t>
            </w:r>
            <w:r>
              <w:rPr>
                <w:rFonts w:ascii="新宋体" w:hAnsi="新宋体" w:eastAsia="新宋体" w:cs="新宋体"/>
                <w:spacing w:val="-3"/>
                <w:sz w:val="15"/>
                <w:szCs w:val="15"/>
              </w:rPr>
              <w:t>年度目标是否相适应</w:t>
            </w:r>
            <w:r>
              <w:rPr>
                <w:rFonts w:ascii="新宋体" w:hAnsi="新宋体" w:eastAsia="新宋体" w:cs="新宋体"/>
                <w:spacing w:val="-30"/>
                <w:sz w:val="15"/>
                <w:szCs w:val="15"/>
              </w:rPr>
              <w:t xml:space="preserve"> </w:t>
            </w:r>
            <w:r>
              <w:rPr>
                <w:rFonts w:ascii="新宋体" w:hAnsi="新宋体" w:eastAsia="新宋体" w:cs="新宋体"/>
                <w:spacing w:val="-3"/>
                <w:sz w:val="15"/>
                <w:szCs w:val="15"/>
              </w:rPr>
              <w:t>，用以反</w:t>
            </w:r>
            <w:r>
              <w:rPr>
                <w:rFonts w:ascii="新宋体" w:hAnsi="新宋体" w:eastAsia="新宋体" w:cs="新宋体"/>
                <w:sz w:val="15"/>
                <w:szCs w:val="15"/>
              </w:rPr>
              <w:t xml:space="preserve"> </w:t>
            </w:r>
            <w:r>
              <w:rPr>
                <w:rFonts w:ascii="新宋体" w:hAnsi="新宋体" w:eastAsia="新宋体" w:cs="新宋体"/>
                <w:spacing w:val="-2"/>
                <w:sz w:val="15"/>
                <w:szCs w:val="15"/>
              </w:rPr>
              <w:t>映和考核项目预算编制的科学</w:t>
            </w:r>
            <w:r>
              <w:rPr>
                <w:rFonts w:ascii="新宋体" w:hAnsi="新宋体" w:eastAsia="新宋体" w:cs="新宋体"/>
                <w:spacing w:val="12"/>
                <w:sz w:val="15"/>
                <w:szCs w:val="15"/>
              </w:rPr>
              <w:t xml:space="preserve"> </w:t>
            </w:r>
            <w:r>
              <w:rPr>
                <w:rFonts w:ascii="新宋体" w:hAnsi="新宋体" w:eastAsia="新宋体" w:cs="新宋体"/>
                <w:sz w:val="15"/>
                <w:szCs w:val="15"/>
              </w:rPr>
              <w:t>性、合理性情况。</w:t>
            </w:r>
          </w:p>
        </w:tc>
        <w:tc>
          <w:tcPr>
            <w:tcW w:w="4445" w:type="dxa"/>
            <w:noWrap w:val="0"/>
            <w:vAlign w:val="top"/>
          </w:tcPr>
          <w:p>
            <w:pPr>
              <w:spacing w:before="49" w:line="228" w:lineRule="auto"/>
              <w:ind w:right="140"/>
              <w:rPr>
                <w:rFonts w:ascii="新宋体" w:hAnsi="新宋体" w:eastAsia="新宋体" w:cs="新宋体"/>
                <w:spacing w:val="-5"/>
                <w:sz w:val="15"/>
                <w:szCs w:val="15"/>
              </w:rPr>
            </w:pPr>
            <w:r>
              <w:rPr>
                <w:rFonts w:ascii="新宋体" w:hAnsi="新宋体" w:eastAsia="新宋体" w:cs="新宋体"/>
                <w:spacing w:val="-5"/>
                <w:sz w:val="15"/>
                <w:szCs w:val="15"/>
              </w:rPr>
              <w:t>①预算编制是否经过科学论证</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pPr>
              <w:spacing w:before="49" w:line="228" w:lineRule="auto"/>
              <w:ind w:right="140"/>
              <w:rPr>
                <w:rFonts w:ascii="新宋体" w:hAnsi="新宋体" w:eastAsia="新宋体" w:cs="新宋体"/>
                <w:spacing w:val="36"/>
                <w:w w:val="101"/>
                <w:sz w:val="15"/>
                <w:szCs w:val="15"/>
              </w:rPr>
            </w:pPr>
            <w:r>
              <w:rPr>
                <w:rFonts w:ascii="新宋体" w:hAnsi="新宋体" w:eastAsia="新宋体" w:cs="新宋体"/>
                <w:spacing w:val="-5"/>
                <w:sz w:val="15"/>
                <w:szCs w:val="15"/>
              </w:rPr>
              <w:t>②</w:t>
            </w:r>
            <w:r>
              <w:rPr>
                <w:rFonts w:ascii="新宋体" w:hAnsi="新宋体" w:eastAsia="新宋体" w:cs="新宋体"/>
                <w:spacing w:val="11"/>
                <w:w w:val="101"/>
                <w:sz w:val="15"/>
                <w:szCs w:val="15"/>
              </w:rPr>
              <w:t xml:space="preserve"> </w:t>
            </w:r>
            <w:r>
              <w:rPr>
                <w:rFonts w:ascii="新宋体" w:hAnsi="新宋体" w:eastAsia="新宋体" w:cs="新宋体"/>
                <w:spacing w:val="-5"/>
                <w:sz w:val="15"/>
                <w:szCs w:val="15"/>
              </w:rPr>
              <w:t>预算内容与项目内容是否匹</w:t>
            </w:r>
            <w:r>
              <w:rPr>
                <w:rFonts w:ascii="新宋体" w:hAnsi="新宋体" w:eastAsia="新宋体" w:cs="新宋体"/>
                <w:spacing w:val="-7"/>
                <w:sz w:val="15"/>
                <w:szCs w:val="15"/>
              </w:rPr>
              <w:t>配；</w:t>
            </w:r>
            <w:r>
              <w:rPr>
                <w:rFonts w:ascii="新宋体" w:hAnsi="新宋体" w:eastAsia="新宋体" w:cs="新宋体"/>
                <w:spacing w:val="36"/>
                <w:w w:val="101"/>
                <w:sz w:val="15"/>
                <w:szCs w:val="15"/>
              </w:rPr>
              <w:t xml:space="preserve"> </w:t>
            </w:r>
          </w:p>
          <w:p>
            <w:pPr>
              <w:spacing w:before="49" w:line="228" w:lineRule="auto"/>
              <w:ind w:right="140"/>
              <w:rPr>
                <w:rFonts w:ascii="新宋体" w:hAnsi="新宋体" w:eastAsia="新宋体" w:cs="新宋体"/>
                <w:spacing w:val="35"/>
                <w:sz w:val="15"/>
                <w:szCs w:val="15"/>
              </w:rPr>
            </w:pPr>
            <w:r>
              <w:rPr>
                <w:rFonts w:ascii="新宋体" w:hAnsi="新宋体" w:eastAsia="新宋体" w:cs="新宋体"/>
                <w:spacing w:val="-7"/>
                <w:sz w:val="15"/>
                <w:szCs w:val="15"/>
              </w:rPr>
              <w:t>③预算额度测算依据是否充分</w:t>
            </w:r>
            <w:r>
              <w:rPr>
                <w:rFonts w:ascii="新宋体" w:hAnsi="新宋体" w:eastAsia="新宋体" w:cs="新宋体"/>
                <w:spacing w:val="-36"/>
                <w:sz w:val="15"/>
                <w:szCs w:val="15"/>
              </w:rPr>
              <w:t xml:space="preserve"> </w:t>
            </w:r>
            <w:r>
              <w:rPr>
                <w:rFonts w:ascii="新宋体" w:hAnsi="新宋体" w:eastAsia="新宋体" w:cs="新宋体"/>
                <w:spacing w:val="-7"/>
                <w:sz w:val="15"/>
                <w:szCs w:val="15"/>
              </w:rPr>
              <w:t>，是否按照标准编制；</w:t>
            </w:r>
            <w:r>
              <w:rPr>
                <w:rFonts w:ascii="新宋体" w:hAnsi="新宋体" w:eastAsia="新宋体" w:cs="新宋体"/>
                <w:spacing w:val="35"/>
                <w:sz w:val="15"/>
                <w:szCs w:val="15"/>
              </w:rPr>
              <w:t xml:space="preserve"> </w:t>
            </w:r>
          </w:p>
          <w:p>
            <w:pPr>
              <w:spacing w:before="49" w:line="228" w:lineRule="auto"/>
              <w:ind w:right="140"/>
              <w:rPr>
                <w:rFonts w:ascii="新宋体" w:hAnsi="新宋体" w:eastAsia="新宋体" w:cs="新宋体"/>
                <w:spacing w:val="-1"/>
                <w:sz w:val="15"/>
                <w:szCs w:val="15"/>
              </w:rPr>
            </w:pPr>
            <w:r>
              <w:rPr>
                <w:rFonts w:ascii="新宋体" w:hAnsi="新宋体" w:eastAsia="新宋体" w:cs="新宋体"/>
                <w:spacing w:val="-7"/>
                <w:sz w:val="15"/>
                <w:szCs w:val="15"/>
              </w:rPr>
              <w:t>④预算确定的项目</w:t>
            </w:r>
            <w:r>
              <w:rPr>
                <w:rFonts w:ascii="新宋体" w:hAnsi="新宋体" w:eastAsia="新宋体" w:cs="新宋体"/>
                <w:sz w:val="15"/>
                <w:szCs w:val="15"/>
              </w:rPr>
              <w:t xml:space="preserve"> </w:t>
            </w:r>
            <w:r>
              <w:rPr>
                <w:rFonts w:ascii="新宋体" w:hAnsi="新宋体" w:eastAsia="新宋体" w:cs="新宋体"/>
                <w:spacing w:val="-1"/>
                <w:sz w:val="15"/>
                <w:szCs w:val="15"/>
              </w:rPr>
              <w:t>投资额或资金量是否与工作任务相匹配</w:t>
            </w:r>
            <w:r>
              <w:rPr>
                <w:rFonts w:ascii="新宋体" w:hAnsi="新宋体" w:eastAsia="新宋体" w:cs="新宋体"/>
                <w:spacing w:val="-36"/>
                <w:sz w:val="15"/>
                <w:szCs w:val="15"/>
              </w:rPr>
              <w:t xml:space="preserve"> </w:t>
            </w:r>
            <w:r>
              <w:rPr>
                <w:rFonts w:ascii="新宋体" w:hAnsi="新宋体" w:eastAsia="新宋体" w:cs="新宋体"/>
                <w:spacing w:val="-1"/>
                <w:sz w:val="15"/>
                <w:szCs w:val="15"/>
              </w:rPr>
              <w:t>。</w:t>
            </w:r>
          </w:p>
          <w:p>
            <w:pPr>
              <w:spacing w:before="49" w:line="228" w:lineRule="auto"/>
              <w:ind w:right="140" w:firstLine="450" w:firstLineChars="300"/>
              <w:rPr>
                <w:rFonts w:ascii="新宋体" w:hAnsi="新宋体" w:eastAsia="新宋体" w:cs="新宋体"/>
                <w:spacing w:val="-1"/>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pPr>
              <w:spacing w:line="447" w:lineRule="auto"/>
              <w:jc w:val="center"/>
              <w:rPr>
                <w:rFonts w:ascii="宋体"/>
                <w:sz w:val="21"/>
              </w:rPr>
            </w:pPr>
          </w:p>
          <w:p>
            <w:pPr>
              <w:spacing w:before="49"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pPr>
              <w:spacing w:before="49" w:line="184" w:lineRule="auto"/>
              <w:ind w:firstLine="34"/>
              <w:jc w:val="center"/>
              <w:rPr>
                <w:rFonts w:ascii="新宋体" w:hAnsi="新宋体" w:eastAsia="新宋体" w:cs="新宋体"/>
                <w:spacing w:val="-3"/>
                <w:sz w:val="15"/>
                <w:szCs w:val="15"/>
              </w:rPr>
            </w:pPr>
          </w:p>
        </w:tc>
        <w:tc>
          <w:tcPr>
            <w:tcW w:w="1225" w:type="dxa"/>
            <w:noWrap w:val="0"/>
            <w:vAlign w:val="top"/>
          </w:tcPr>
          <w:p>
            <w:pPr>
              <w:spacing w:before="49" w:line="184" w:lineRule="auto"/>
              <w:ind w:firstLine="34"/>
              <w:jc w:val="center"/>
              <w:rPr>
                <w:rFonts w:ascii="新宋体" w:hAnsi="新宋体" w:eastAsia="新宋体" w:cs="新宋体"/>
                <w:spacing w:val="-3"/>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18" w:type="dxa"/>
            <w:vMerge w:val="continue"/>
            <w:tcBorders>
              <w:top w:val="nil"/>
            </w:tcBorders>
            <w:noWrap w:val="0"/>
            <w:vAlign w:val="top"/>
          </w:tcPr>
          <w:p>
            <w:pPr>
              <w:rPr>
                <w:rFonts w:ascii="宋体"/>
                <w:sz w:val="21"/>
              </w:rPr>
            </w:pPr>
          </w:p>
        </w:tc>
        <w:tc>
          <w:tcPr>
            <w:tcW w:w="810" w:type="dxa"/>
            <w:vMerge w:val="continue"/>
            <w:tcBorders>
              <w:top w:val="nil"/>
            </w:tcBorders>
            <w:noWrap w:val="0"/>
            <w:vAlign w:val="top"/>
          </w:tcPr>
          <w:p>
            <w:pPr>
              <w:rPr>
                <w:rFonts w:ascii="宋体"/>
                <w:sz w:val="21"/>
              </w:rPr>
            </w:pPr>
          </w:p>
        </w:tc>
        <w:tc>
          <w:tcPr>
            <w:tcW w:w="1091" w:type="dxa"/>
            <w:noWrap w:val="0"/>
            <w:vAlign w:val="top"/>
          </w:tcPr>
          <w:p>
            <w:pPr>
              <w:spacing w:line="346" w:lineRule="auto"/>
              <w:rPr>
                <w:rFonts w:ascii="宋体"/>
                <w:sz w:val="21"/>
              </w:rPr>
            </w:pPr>
          </w:p>
          <w:p>
            <w:pPr>
              <w:spacing w:before="49" w:line="230" w:lineRule="auto"/>
              <w:ind w:firstLine="253"/>
              <w:rPr>
                <w:rFonts w:ascii="新宋体" w:hAnsi="新宋体" w:eastAsia="新宋体" w:cs="新宋体"/>
                <w:sz w:val="15"/>
                <w:szCs w:val="15"/>
              </w:rPr>
            </w:pPr>
            <w:r>
              <w:rPr>
                <w:rFonts w:ascii="新宋体" w:hAnsi="新宋体" w:eastAsia="新宋体" w:cs="新宋体"/>
                <w:spacing w:val="-4"/>
                <w:sz w:val="15"/>
                <w:szCs w:val="15"/>
              </w:rPr>
              <w:t>资金分配</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pPr>
              <w:spacing w:before="167" w:line="228" w:lineRule="auto"/>
              <w:ind w:left="30" w:right="150"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167" w:line="228" w:lineRule="auto"/>
              <w:ind w:left="30" w:right="150" w:firstLine="1"/>
              <w:rPr>
                <w:rFonts w:ascii="新宋体" w:hAnsi="新宋体" w:eastAsia="新宋体" w:cs="新宋体"/>
                <w:sz w:val="15"/>
                <w:szCs w:val="15"/>
              </w:rPr>
            </w:pPr>
            <w:r>
              <w:rPr>
                <w:rFonts w:ascii="新宋体" w:hAnsi="新宋体" w:eastAsia="新宋体" w:cs="新宋体"/>
                <w:spacing w:val="-2"/>
                <w:sz w:val="15"/>
                <w:szCs w:val="15"/>
              </w:rPr>
              <w:t>项目预算资金分配是否有测算</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依据，与补助单位或地方实际</w:t>
            </w:r>
            <w:r>
              <w:rPr>
                <w:rFonts w:ascii="新宋体" w:hAnsi="新宋体" w:eastAsia="新宋体" w:cs="新宋体"/>
                <w:spacing w:val="3"/>
                <w:sz w:val="15"/>
                <w:szCs w:val="15"/>
              </w:rPr>
              <w:t xml:space="preserve"> </w:t>
            </w:r>
            <w:r>
              <w:rPr>
                <w:rFonts w:ascii="新宋体" w:hAnsi="新宋体" w:eastAsia="新宋体" w:cs="新宋体"/>
                <w:spacing w:val="-1"/>
                <w:sz w:val="15"/>
                <w:szCs w:val="15"/>
              </w:rPr>
              <w:t>是否相适应，用以反映和考核</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项目预算资金分配的科学性、</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合理性情况。</w:t>
            </w:r>
          </w:p>
        </w:tc>
        <w:tc>
          <w:tcPr>
            <w:tcW w:w="4445" w:type="dxa"/>
            <w:noWrap w:val="0"/>
            <w:vAlign w:val="top"/>
          </w:tcPr>
          <w:p>
            <w:pPr>
              <w:spacing w:before="49" w:line="230" w:lineRule="auto"/>
              <w:ind w:right="132"/>
              <w:rPr>
                <w:rFonts w:ascii="新宋体" w:hAnsi="新宋体" w:eastAsia="新宋体" w:cs="新宋体"/>
                <w:spacing w:val="-5"/>
                <w:sz w:val="15"/>
                <w:szCs w:val="15"/>
              </w:rPr>
            </w:pPr>
            <w:r>
              <w:rPr>
                <w:rFonts w:ascii="新宋体" w:hAnsi="新宋体" w:eastAsia="新宋体" w:cs="新宋体"/>
                <w:spacing w:val="-5"/>
                <w:sz w:val="15"/>
                <w:szCs w:val="15"/>
              </w:rPr>
              <w:t>①预算资金分配依据是否充分</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pPr>
              <w:spacing w:before="49" w:line="230" w:lineRule="auto"/>
              <w:ind w:right="132"/>
              <w:rPr>
                <w:rFonts w:ascii="新宋体" w:hAnsi="新宋体" w:eastAsia="新宋体" w:cs="新宋体"/>
                <w:spacing w:val="-2"/>
                <w:sz w:val="15"/>
                <w:szCs w:val="15"/>
              </w:rPr>
            </w:pPr>
            <w:r>
              <w:rPr>
                <w:rFonts w:ascii="新宋体" w:hAnsi="新宋体" w:eastAsia="新宋体" w:cs="新宋体"/>
                <w:spacing w:val="-5"/>
                <w:sz w:val="15"/>
                <w:szCs w:val="15"/>
              </w:rPr>
              <w:t>②资金分配额度是否合理</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，与项</w:t>
            </w:r>
            <w:r>
              <w:rPr>
                <w:rFonts w:ascii="新宋体" w:hAnsi="新宋体" w:eastAsia="新宋体" w:cs="新宋体"/>
                <w:sz w:val="15"/>
                <w:szCs w:val="15"/>
              </w:rPr>
              <w:t xml:space="preserve"> </w:t>
            </w:r>
            <w:r>
              <w:rPr>
                <w:rFonts w:ascii="新宋体" w:hAnsi="新宋体" w:eastAsia="新宋体" w:cs="新宋体"/>
                <w:spacing w:val="-2"/>
                <w:sz w:val="15"/>
                <w:szCs w:val="15"/>
              </w:rPr>
              <w:t>目单位或地方实际是否相适应。</w:t>
            </w:r>
          </w:p>
          <w:p>
            <w:pPr>
              <w:spacing w:before="49" w:line="230" w:lineRule="auto"/>
              <w:ind w:right="132" w:firstLine="450" w:firstLineChars="3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4" w:type="dxa"/>
            <w:noWrap w:val="0"/>
            <w:vAlign w:val="top"/>
          </w:tcPr>
          <w:p>
            <w:pPr>
              <w:spacing w:line="428" w:lineRule="auto"/>
              <w:jc w:val="center"/>
              <w:rPr>
                <w:rFonts w:ascii="宋体"/>
                <w:sz w:val="21"/>
              </w:rPr>
            </w:pPr>
          </w:p>
          <w:p>
            <w:pPr>
              <w:spacing w:before="49" w:line="184" w:lineRule="auto"/>
              <w:ind w:firstLine="36"/>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4</w:t>
            </w:r>
            <w:r>
              <w:rPr>
                <w:rFonts w:ascii="新宋体" w:hAnsi="新宋体" w:eastAsia="新宋体" w:cs="新宋体"/>
                <w:spacing w:val="-4"/>
                <w:sz w:val="15"/>
                <w:szCs w:val="15"/>
              </w:rPr>
              <w:t>分</w:t>
            </w:r>
          </w:p>
        </w:tc>
        <w:tc>
          <w:tcPr>
            <w:tcW w:w="1225" w:type="dxa"/>
            <w:noWrap w:val="0"/>
            <w:vAlign w:val="top"/>
          </w:tcPr>
          <w:p>
            <w:pPr>
              <w:spacing w:before="49" w:line="184" w:lineRule="auto"/>
              <w:ind w:firstLine="36"/>
              <w:jc w:val="center"/>
              <w:rPr>
                <w:rFonts w:hint="eastAsia" w:ascii="新宋体" w:hAnsi="新宋体" w:eastAsia="新宋体" w:cs="新宋体"/>
                <w:spacing w:val="-4"/>
                <w:sz w:val="15"/>
                <w:szCs w:val="15"/>
                <w:lang w:val="en-US" w:eastAsia="zh-CN"/>
              </w:rPr>
            </w:pPr>
          </w:p>
        </w:tc>
        <w:tc>
          <w:tcPr>
            <w:tcW w:w="1225" w:type="dxa"/>
            <w:noWrap w:val="0"/>
            <w:vAlign w:val="top"/>
          </w:tcPr>
          <w:p>
            <w:pPr>
              <w:spacing w:before="49" w:line="184" w:lineRule="auto"/>
              <w:ind w:firstLine="36"/>
              <w:jc w:val="center"/>
              <w:rPr>
                <w:rFonts w:hint="eastAsia" w:ascii="新宋体" w:hAnsi="新宋体" w:eastAsia="新宋体" w:cs="新宋体"/>
                <w:spacing w:val="-4"/>
                <w:sz w:val="15"/>
                <w:szCs w:val="15"/>
                <w:lang w:val="en-US" w:eastAsia="zh-CN"/>
              </w:rPr>
            </w:pPr>
          </w:p>
        </w:tc>
      </w:tr>
    </w:tbl>
    <w:tbl>
      <w:tblPr>
        <w:tblStyle w:val="20"/>
        <w:tblpPr w:leftFromText="180" w:rightFromText="180" w:vertAnchor="text" w:horzAnchor="page" w:tblpX="664" w:tblpY="-9391"/>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18"/>
        <w:gridCol w:w="1077"/>
        <w:gridCol w:w="505"/>
        <w:gridCol w:w="2471"/>
        <w:gridCol w:w="4431"/>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822" w:type="dxa"/>
            <w:noWrap w:val="0"/>
            <w:vAlign w:val="top"/>
          </w:tcPr>
          <w:p>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4"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8" w:type="dxa"/>
            <w:noWrap w:val="0"/>
            <w:vAlign w:val="top"/>
          </w:tcPr>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77" w:type="dxa"/>
            <w:noWrap w:val="0"/>
            <w:vAlign w:val="top"/>
          </w:tcPr>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505" w:type="dxa"/>
            <w:noWrap w:val="0"/>
            <w:vAlign w:val="top"/>
          </w:tcPr>
          <w:p>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71" w:type="dxa"/>
            <w:noWrap w:val="0"/>
            <w:vAlign w:val="top"/>
          </w:tcPr>
          <w:p>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31" w:type="dxa"/>
            <w:noWrap w:val="0"/>
            <w:vAlign w:val="top"/>
          </w:tcPr>
          <w:p>
            <w:pPr>
              <w:spacing w:before="129" w:line="184" w:lineRule="auto"/>
              <w:ind w:firstLine="2288"/>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评分标准</w:t>
            </w:r>
          </w:p>
        </w:tc>
        <w:tc>
          <w:tcPr>
            <w:tcW w:w="1185" w:type="dxa"/>
            <w:noWrap w:val="0"/>
            <w:vAlign w:val="top"/>
          </w:tcPr>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22" w:type="dxa"/>
            <w:vMerge w:val="restart"/>
            <w:tcBorders>
              <w:bottom w:val="nil"/>
            </w:tcBorders>
            <w:noWrap w:val="0"/>
            <w:vAlign w:val="top"/>
          </w:tcPr>
          <w:p>
            <w:pPr>
              <w:spacing w:line="275" w:lineRule="auto"/>
              <w:rPr>
                <w:rFonts w:ascii="宋体"/>
                <w:sz w:val="21"/>
              </w:rPr>
            </w:pPr>
          </w:p>
          <w:p>
            <w:pPr>
              <w:spacing w:line="275"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58" w:line="182" w:lineRule="auto"/>
              <w:ind w:firstLine="237"/>
              <w:rPr>
                <w:rFonts w:hint="eastAsia" w:ascii="新宋体" w:hAnsi="新宋体" w:eastAsia="新宋体" w:cs="新宋体"/>
                <w:sz w:val="18"/>
                <w:szCs w:val="18"/>
                <w:lang w:eastAsia="zh-CN"/>
              </w:rPr>
            </w:pPr>
            <w:r>
              <w:rPr>
                <w:rFonts w:ascii="新宋体" w:hAnsi="新宋体" w:eastAsia="新宋体" w:cs="新宋体"/>
                <w:spacing w:val="-6"/>
                <w:sz w:val="18"/>
                <w:szCs w:val="18"/>
              </w:rPr>
              <w:t>过程</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22分</w:t>
            </w:r>
            <w:r>
              <w:rPr>
                <w:rFonts w:hint="eastAsia" w:ascii="新宋体" w:hAnsi="新宋体" w:eastAsia="新宋体" w:cs="新宋体"/>
                <w:spacing w:val="-6"/>
                <w:sz w:val="18"/>
                <w:szCs w:val="18"/>
                <w:lang w:eastAsia="zh-CN"/>
              </w:rPr>
              <w:t>）</w:t>
            </w:r>
          </w:p>
        </w:tc>
        <w:tc>
          <w:tcPr>
            <w:tcW w:w="818" w:type="dxa"/>
            <w:vMerge w:val="restart"/>
            <w:tcBorders>
              <w:bottom w:val="nil"/>
            </w:tcBorders>
            <w:noWrap w:val="0"/>
            <w:vAlign w:val="top"/>
          </w:tcPr>
          <w:p>
            <w:pPr>
              <w:spacing w:line="349" w:lineRule="auto"/>
              <w:rPr>
                <w:rFonts w:ascii="宋体"/>
                <w:sz w:val="21"/>
              </w:rPr>
            </w:pPr>
          </w:p>
          <w:p>
            <w:pPr>
              <w:spacing w:line="349" w:lineRule="auto"/>
              <w:rPr>
                <w:rFonts w:ascii="宋体"/>
                <w:sz w:val="21"/>
              </w:rPr>
            </w:pPr>
          </w:p>
          <w:p>
            <w:pPr>
              <w:spacing w:before="49"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6分</w:t>
            </w:r>
            <w:r>
              <w:rPr>
                <w:rFonts w:hint="eastAsia" w:ascii="新宋体" w:hAnsi="新宋体" w:eastAsia="新宋体" w:cs="新宋体"/>
                <w:spacing w:val="-4"/>
                <w:sz w:val="15"/>
                <w:szCs w:val="15"/>
                <w:lang w:eastAsia="zh-CN"/>
              </w:rPr>
              <w:t>）</w:t>
            </w:r>
          </w:p>
        </w:tc>
        <w:tc>
          <w:tcPr>
            <w:tcW w:w="1077" w:type="dxa"/>
            <w:noWrap w:val="0"/>
            <w:vAlign w:val="top"/>
          </w:tcPr>
          <w:p>
            <w:pPr>
              <w:spacing w:line="386" w:lineRule="auto"/>
              <w:jc w:val="center"/>
              <w:rPr>
                <w:rFonts w:ascii="宋体"/>
                <w:sz w:val="21"/>
              </w:rPr>
            </w:pPr>
          </w:p>
          <w:p>
            <w:pPr>
              <w:spacing w:before="49" w:line="184" w:lineRule="auto"/>
              <w:ind w:firstLine="179"/>
              <w:jc w:val="both"/>
              <w:rPr>
                <w:rFonts w:ascii="新宋体" w:hAnsi="新宋体" w:eastAsia="新宋体" w:cs="新宋体"/>
                <w:sz w:val="15"/>
                <w:szCs w:val="15"/>
              </w:rPr>
            </w:pPr>
            <w:r>
              <w:rPr>
                <w:rFonts w:ascii="新宋体" w:hAnsi="新宋体" w:eastAsia="新宋体" w:cs="新宋体"/>
                <w:spacing w:val="-4"/>
                <w:sz w:val="15"/>
                <w:szCs w:val="15"/>
              </w:rPr>
              <w:t>资金到位率</w:t>
            </w:r>
          </w:p>
        </w:tc>
        <w:tc>
          <w:tcPr>
            <w:tcW w:w="505" w:type="dxa"/>
            <w:noWrap w:val="0"/>
            <w:vAlign w:val="top"/>
          </w:tcPr>
          <w:p>
            <w:pPr>
              <w:spacing w:before="211" w:line="228" w:lineRule="auto"/>
              <w:ind w:left="28" w:right="157" w:firstLine="4"/>
              <w:jc w:val="both"/>
              <w:rPr>
                <w:rFonts w:hint="eastAsia" w:ascii="新宋体" w:hAnsi="新宋体" w:eastAsia="新宋体" w:cs="新宋体"/>
                <w:spacing w:val="-2"/>
                <w:sz w:val="15"/>
                <w:szCs w:val="15"/>
                <w:lang w:val="en-US" w:eastAsia="zh-CN"/>
              </w:rPr>
            </w:pPr>
          </w:p>
          <w:p>
            <w:pPr>
              <w:spacing w:before="211" w:line="228" w:lineRule="auto"/>
              <w:ind w:left="28" w:right="157" w:firstLine="4"/>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pPr>
              <w:spacing w:before="211" w:line="228" w:lineRule="auto"/>
              <w:ind w:left="28" w:right="157" w:firstLine="4"/>
              <w:jc w:val="center"/>
              <w:rPr>
                <w:rFonts w:ascii="新宋体" w:hAnsi="新宋体" w:eastAsia="新宋体" w:cs="新宋体"/>
                <w:sz w:val="15"/>
                <w:szCs w:val="15"/>
              </w:rPr>
            </w:pPr>
            <w:r>
              <w:rPr>
                <w:rFonts w:ascii="新宋体" w:hAnsi="新宋体" w:eastAsia="新宋体" w:cs="新宋体"/>
                <w:spacing w:val="-2"/>
                <w:sz w:val="15"/>
                <w:szCs w:val="15"/>
              </w:rPr>
              <w:t>实际到位资金与预算资金的比</w:t>
            </w:r>
            <w:r>
              <w:rPr>
                <w:rFonts w:ascii="新宋体" w:hAnsi="新宋体" w:eastAsia="新宋体" w:cs="新宋体"/>
                <w:spacing w:val="9"/>
                <w:sz w:val="15"/>
                <w:szCs w:val="15"/>
              </w:rPr>
              <w:t xml:space="preserve"> </w:t>
            </w:r>
            <w:r>
              <w:rPr>
                <w:rFonts w:ascii="新宋体" w:hAnsi="新宋体" w:eastAsia="新宋体" w:cs="新宋体"/>
                <w:spacing w:val="-1"/>
                <w:sz w:val="15"/>
                <w:szCs w:val="15"/>
              </w:rPr>
              <w:t>率，用以反映和考核资金落实</w:t>
            </w:r>
            <w:r>
              <w:rPr>
                <w:rFonts w:ascii="新宋体" w:hAnsi="新宋体" w:eastAsia="新宋体" w:cs="新宋体"/>
                <w:spacing w:val="4"/>
                <w:sz w:val="15"/>
                <w:szCs w:val="15"/>
              </w:rPr>
              <w:t xml:space="preserve"> </w:t>
            </w:r>
            <w:r>
              <w:rPr>
                <w:rFonts w:ascii="新宋体" w:hAnsi="新宋体" w:eastAsia="新宋体" w:cs="新宋体"/>
                <w:spacing w:val="-1"/>
                <w:sz w:val="15"/>
                <w:szCs w:val="15"/>
              </w:rPr>
              <w:t>情况对项目实施的总体保障程</w:t>
            </w:r>
            <w:r>
              <w:rPr>
                <w:rFonts w:ascii="新宋体" w:hAnsi="新宋体" w:eastAsia="新宋体" w:cs="新宋体"/>
                <w:w w:val="101"/>
                <w:sz w:val="15"/>
                <w:szCs w:val="15"/>
              </w:rPr>
              <w:t xml:space="preserve"> </w:t>
            </w:r>
            <w:r>
              <w:rPr>
                <w:rFonts w:ascii="新宋体" w:hAnsi="新宋体" w:eastAsia="新宋体" w:cs="新宋体"/>
                <w:spacing w:val="-3"/>
                <w:sz w:val="15"/>
                <w:szCs w:val="15"/>
              </w:rPr>
              <w:t>度。</w:t>
            </w:r>
          </w:p>
        </w:tc>
        <w:tc>
          <w:tcPr>
            <w:tcW w:w="4431" w:type="dxa"/>
            <w:noWrap w:val="0"/>
            <w:vAlign w:val="top"/>
          </w:tcPr>
          <w:p>
            <w:pPr>
              <w:spacing w:before="303" w:line="184" w:lineRule="auto"/>
              <w:ind w:firstLine="35"/>
              <w:rPr>
                <w:rFonts w:ascii="新宋体" w:hAnsi="新宋体" w:eastAsia="新宋体" w:cs="新宋体"/>
                <w:sz w:val="15"/>
                <w:szCs w:val="15"/>
              </w:rPr>
            </w:pPr>
            <w:r>
              <w:rPr>
                <w:rFonts w:ascii="新宋体" w:hAnsi="新宋体" w:eastAsia="新宋体" w:cs="新宋体"/>
                <w:spacing w:val="-3"/>
                <w:sz w:val="15"/>
                <w:szCs w:val="15"/>
              </w:rPr>
              <w:t>资金到位率=（实际到位资金/预算资金）</w:t>
            </w:r>
            <w:r>
              <w:rPr>
                <w:rFonts w:ascii="新宋体" w:hAnsi="新宋体" w:eastAsia="新宋体" w:cs="新宋体"/>
                <w:spacing w:val="11"/>
                <w:w w:val="101"/>
                <w:sz w:val="15"/>
                <w:szCs w:val="15"/>
              </w:rPr>
              <w:t xml:space="preserve"> </w:t>
            </w:r>
            <w:r>
              <w:rPr>
                <w:rFonts w:ascii="新宋体" w:hAnsi="新宋体" w:eastAsia="新宋体" w:cs="新宋体"/>
                <w:spacing w:val="-3"/>
                <w:sz w:val="15"/>
                <w:szCs w:val="15"/>
              </w:rPr>
              <w:t>X100%</w:t>
            </w:r>
          </w:p>
          <w:p>
            <w:pPr>
              <w:spacing w:before="35" w:line="228" w:lineRule="auto"/>
              <w:ind w:left="30" w:right="452" w:firstLine="2"/>
              <w:rPr>
                <w:rFonts w:ascii="新宋体" w:hAnsi="新宋体" w:eastAsia="新宋体" w:cs="新宋体"/>
                <w:spacing w:val="-5"/>
                <w:sz w:val="15"/>
                <w:szCs w:val="15"/>
              </w:rPr>
            </w:pPr>
            <w:r>
              <w:rPr>
                <w:rFonts w:ascii="新宋体" w:hAnsi="新宋体" w:eastAsia="新宋体" w:cs="新宋体"/>
                <w:spacing w:val="-5"/>
                <w:sz w:val="15"/>
                <w:szCs w:val="15"/>
              </w:rPr>
              <w:t>实际到位资金：</w:t>
            </w:r>
            <w:r>
              <w:rPr>
                <w:rFonts w:ascii="新宋体" w:hAnsi="新宋体" w:eastAsia="新宋体" w:cs="新宋体"/>
                <w:spacing w:val="57"/>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）内落实到具体项目的资金</w:t>
            </w:r>
            <w:r>
              <w:rPr>
                <w:rFonts w:ascii="新宋体" w:hAnsi="新宋体" w:eastAsia="新宋体" w:cs="新宋体"/>
                <w:w w:val="101"/>
                <w:sz w:val="15"/>
                <w:szCs w:val="15"/>
              </w:rPr>
              <w:t xml:space="preserve"> </w:t>
            </w:r>
            <w:r>
              <w:rPr>
                <w:rFonts w:ascii="新宋体" w:hAnsi="新宋体" w:eastAsia="新宋体" w:cs="新宋体"/>
                <w:spacing w:val="-5"/>
                <w:sz w:val="15"/>
                <w:szCs w:val="15"/>
              </w:rPr>
              <w:t>预算资金：</w:t>
            </w:r>
            <w:r>
              <w:rPr>
                <w:rFonts w:ascii="新宋体" w:hAnsi="新宋体" w:eastAsia="新宋体" w:cs="新宋体"/>
                <w:spacing w:val="58"/>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）内预算安排到具体项目的资金</w:t>
            </w:r>
          </w:p>
          <w:p>
            <w:pPr>
              <w:spacing w:before="35" w:line="228" w:lineRule="auto"/>
              <w:ind w:left="30" w:right="452" w:firstLine="980" w:firstLineChars="700"/>
              <w:rPr>
                <w:rFonts w:hint="default" w:ascii="新宋体" w:hAnsi="新宋体" w:eastAsia="新宋体" w:cs="新宋体"/>
                <w:spacing w:val="-5"/>
                <w:sz w:val="15"/>
                <w:szCs w:val="15"/>
                <w:lang w:val="en-US" w:eastAsia="zh-CN"/>
              </w:rPr>
            </w:pPr>
            <w:r>
              <w:rPr>
                <w:rFonts w:hint="eastAsia" w:ascii="新宋体" w:hAnsi="新宋体" w:eastAsia="新宋体" w:cs="新宋体"/>
                <w:spacing w:val="-5"/>
                <w:sz w:val="15"/>
                <w:szCs w:val="15"/>
                <w:lang w:eastAsia="zh-CN"/>
              </w:rPr>
              <w:t>资金到位率达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pPr>
              <w:tabs>
                <w:tab w:val="left" w:pos="772"/>
              </w:tabs>
              <w:spacing w:line="386" w:lineRule="auto"/>
              <w:ind w:left="199" w:leftChars="95" w:firstLine="0" w:firstLineChars="0"/>
              <w:jc w:val="center"/>
              <w:rPr>
                <w:rFonts w:hint="eastAsia" w:ascii="新宋体" w:hAnsi="新宋体" w:eastAsia="新宋体" w:cs="新宋体"/>
                <w:spacing w:val="-5"/>
                <w:sz w:val="15"/>
                <w:szCs w:val="15"/>
                <w:lang w:val="en-US" w:eastAsia="zh-CN"/>
              </w:rPr>
            </w:pPr>
          </w:p>
          <w:p>
            <w:pPr>
              <w:tabs>
                <w:tab w:val="left" w:pos="772"/>
              </w:tabs>
              <w:spacing w:line="386" w:lineRule="auto"/>
              <w:ind w:firstLine="420" w:firstLineChars="300"/>
              <w:jc w:val="both"/>
              <w:rPr>
                <w:rFonts w:hint="default" w:ascii="宋体" w:eastAsia="宋体"/>
                <w:sz w:val="21"/>
                <w:lang w:val="en-US" w:eastAsia="zh-CN"/>
              </w:rPr>
            </w:pPr>
            <w:r>
              <w:rPr>
                <w:rFonts w:hint="eastAsia" w:ascii="新宋体" w:hAnsi="新宋体" w:eastAsia="新宋体" w:cs="新宋体"/>
                <w:spacing w:val="-5"/>
                <w:sz w:val="15"/>
                <w:szCs w:val="15"/>
                <w:lang w:val="en-US" w:eastAsia="zh-CN"/>
              </w:rPr>
              <w:t>3分</w:t>
            </w:r>
          </w:p>
          <w:p>
            <w:pPr>
              <w:spacing w:before="129" w:line="184" w:lineRule="auto"/>
              <w:ind w:firstLine="35"/>
              <w:jc w:val="center"/>
              <w:rPr>
                <w:rFonts w:hint="default" w:ascii="新宋体" w:hAnsi="新宋体" w:eastAsia="新宋体" w:cs="新宋体"/>
                <w:spacing w:val="-4"/>
                <w:sz w:val="15"/>
                <w:szCs w:val="15"/>
                <w:lang w:val="en-US" w:eastAsia="zh-CN"/>
              </w:rPr>
            </w:pPr>
          </w:p>
          <w:p>
            <w:pPr>
              <w:spacing w:before="49" w:line="184" w:lineRule="auto"/>
              <w:ind w:left="-3138" w:leftChars="-2390" w:right="-454" w:rightChars="-216" w:hanging="1881" w:firstLineChars="0"/>
              <w:jc w:val="center"/>
              <w:rPr>
                <w:rFonts w:hint="eastAsia" w:ascii="新宋体" w:hAnsi="新宋体" w:eastAsia="新宋体" w:cs="新宋体"/>
                <w:sz w:val="15"/>
                <w:szCs w:val="15"/>
                <w:lang w:val="en-US" w:eastAsia="zh-CN"/>
              </w:rPr>
            </w:pPr>
            <w:r>
              <w:rPr>
                <w:rFonts w:hint="eastAsia" w:ascii="新宋体" w:hAnsi="新宋体" w:eastAsia="新宋体" w:cs="新宋体"/>
                <w:spacing w:val="-5"/>
                <w:sz w:val="15"/>
                <w:szCs w:val="15"/>
                <w:lang w:val="en-US" w:eastAsia="zh-CN"/>
              </w:rPr>
              <w:t>3</w:t>
            </w:r>
            <w:r>
              <w:rPr>
                <w:rFonts w:ascii="新宋体" w:hAnsi="新宋体" w:eastAsia="新宋体" w:cs="新宋体"/>
                <w:spacing w:val="-5"/>
                <w:sz w:val="15"/>
                <w:szCs w:val="15"/>
              </w:rPr>
              <w:t>分</w:t>
            </w:r>
            <w:r>
              <w:rPr>
                <w:rFonts w:hint="eastAsia" w:ascii="新宋体" w:hAnsi="新宋体" w:eastAsia="新宋体" w:cs="新宋体"/>
                <w:spacing w:val="-5"/>
                <w:sz w:val="15"/>
                <w:szCs w:val="15"/>
                <w:lang w:val="en-US" w:eastAsia="zh-CN"/>
              </w:rPr>
              <w:t>33</w:t>
            </w:r>
            <w:r>
              <w:rPr>
                <w:rFonts w:ascii="新宋体" w:hAnsi="新宋体" w:eastAsia="新宋体" w:cs="新宋体"/>
                <w:spacing w:val="-5"/>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22" w:type="dxa"/>
            <w:vMerge w:val="continue"/>
            <w:tcBorders>
              <w:top w:val="nil"/>
              <w:bottom w:val="nil"/>
            </w:tcBorders>
            <w:noWrap w:val="0"/>
            <w:vAlign w:val="top"/>
          </w:tcPr>
          <w:p>
            <w:pPr>
              <w:rPr>
                <w:rFonts w:ascii="宋体"/>
                <w:sz w:val="21"/>
              </w:rPr>
            </w:pPr>
          </w:p>
        </w:tc>
        <w:tc>
          <w:tcPr>
            <w:tcW w:w="818" w:type="dxa"/>
            <w:vMerge w:val="continue"/>
            <w:tcBorders>
              <w:top w:val="nil"/>
            </w:tcBorders>
            <w:noWrap w:val="0"/>
            <w:vAlign w:val="top"/>
          </w:tcPr>
          <w:p>
            <w:pPr>
              <w:rPr>
                <w:rFonts w:ascii="宋体"/>
                <w:sz w:val="21"/>
              </w:rPr>
            </w:pPr>
          </w:p>
        </w:tc>
        <w:tc>
          <w:tcPr>
            <w:tcW w:w="1077" w:type="dxa"/>
            <w:noWrap w:val="0"/>
            <w:vAlign w:val="top"/>
          </w:tcPr>
          <w:p>
            <w:pPr>
              <w:spacing w:before="283" w:line="184" w:lineRule="auto"/>
              <w:ind w:firstLine="174"/>
              <w:jc w:val="center"/>
              <w:rPr>
                <w:rFonts w:ascii="新宋体" w:hAnsi="新宋体" w:eastAsia="新宋体" w:cs="新宋体"/>
                <w:sz w:val="15"/>
                <w:szCs w:val="15"/>
              </w:rPr>
            </w:pPr>
            <w:r>
              <w:rPr>
                <w:rFonts w:ascii="新宋体" w:hAnsi="新宋体" w:eastAsia="新宋体" w:cs="新宋体"/>
                <w:spacing w:val="-2"/>
                <w:sz w:val="15"/>
                <w:szCs w:val="15"/>
              </w:rPr>
              <w:t>预算执行率</w:t>
            </w:r>
          </w:p>
        </w:tc>
        <w:tc>
          <w:tcPr>
            <w:tcW w:w="505" w:type="dxa"/>
            <w:noWrap w:val="0"/>
            <w:vAlign w:val="top"/>
          </w:tcPr>
          <w:p>
            <w:pPr>
              <w:spacing w:before="96" w:line="229" w:lineRule="auto"/>
              <w:ind w:left="29" w:right="157" w:firstLine="2"/>
              <w:jc w:val="both"/>
              <w:rPr>
                <w:rFonts w:hint="eastAsia" w:ascii="新宋体" w:hAnsi="新宋体" w:eastAsia="新宋体" w:cs="新宋体"/>
                <w:spacing w:val="-2"/>
                <w:sz w:val="15"/>
                <w:szCs w:val="15"/>
                <w:lang w:val="en-US" w:eastAsia="zh-CN"/>
              </w:rPr>
            </w:pPr>
          </w:p>
          <w:p>
            <w:pPr>
              <w:spacing w:before="96" w:line="229" w:lineRule="auto"/>
              <w:ind w:left="29" w:right="157" w:firstLine="2"/>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pPr>
              <w:spacing w:before="96" w:line="229" w:lineRule="auto"/>
              <w:ind w:left="29" w:right="157" w:firstLine="2"/>
              <w:rPr>
                <w:rFonts w:ascii="新宋体" w:hAnsi="新宋体" w:eastAsia="新宋体" w:cs="新宋体"/>
                <w:sz w:val="15"/>
                <w:szCs w:val="15"/>
              </w:rPr>
            </w:pPr>
            <w:r>
              <w:rPr>
                <w:rFonts w:ascii="新宋体" w:hAnsi="新宋体" w:eastAsia="新宋体" w:cs="新宋体"/>
                <w:spacing w:val="-2"/>
                <w:sz w:val="15"/>
                <w:szCs w:val="15"/>
              </w:rPr>
              <w:t>项目预算资金是否按照计划执</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行，用以反映或考核项目预算</w:t>
            </w:r>
            <w:r>
              <w:rPr>
                <w:rFonts w:ascii="新宋体" w:hAnsi="新宋体" w:eastAsia="新宋体" w:cs="新宋体"/>
                <w:spacing w:val="2"/>
                <w:w w:val="101"/>
                <w:sz w:val="15"/>
                <w:szCs w:val="15"/>
              </w:rPr>
              <w:t xml:space="preserve"> </w:t>
            </w:r>
            <w:r>
              <w:rPr>
                <w:rFonts w:ascii="新宋体" w:hAnsi="新宋体" w:eastAsia="新宋体" w:cs="新宋体"/>
                <w:spacing w:val="-1"/>
                <w:sz w:val="15"/>
                <w:szCs w:val="15"/>
              </w:rPr>
              <w:t>执行情况。</w:t>
            </w:r>
          </w:p>
        </w:tc>
        <w:tc>
          <w:tcPr>
            <w:tcW w:w="4431" w:type="dxa"/>
            <w:noWrap w:val="0"/>
            <w:vAlign w:val="top"/>
          </w:tcPr>
          <w:p>
            <w:pPr>
              <w:spacing w:before="189" w:line="184" w:lineRule="auto"/>
              <w:ind w:firstLine="30"/>
              <w:rPr>
                <w:rFonts w:ascii="新宋体" w:hAnsi="新宋体" w:eastAsia="新宋体" w:cs="新宋体"/>
                <w:sz w:val="15"/>
                <w:szCs w:val="15"/>
              </w:rPr>
            </w:pPr>
            <w:r>
              <w:rPr>
                <w:rFonts w:ascii="新宋体" w:hAnsi="新宋体" w:eastAsia="新宋体" w:cs="新宋体"/>
                <w:spacing w:val="-2"/>
                <w:sz w:val="15"/>
                <w:szCs w:val="15"/>
              </w:rPr>
              <w:t>预算执行率=（实际支出资金/实际到位资金）</w:t>
            </w:r>
            <w:r>
              <w:rPr>
                <w:rFonts w:ascii="新宋体" w:hAnsi="新宋体" w:eastAsia="新宋体" w:cs="新宋体"/>
                <w:spacing w:val="-1"/>
                <w:sz w:val="15"/>
                <w:szCs w:val="15"/>
              </w:rPr>
              <w:t xml:space="preserve"> </w:t>
            </w:r>
            <w:r>
              <w:rPr>
                <w:rFonts w:ascii="新宋体" w:hAnsi="新宋体" w:eastAsia="新宋体" w:cs="新宋体"/>
                <w:spacing w:val="-2"/>
                <w:sz w:val="15"/>
                <w:szCs w:val="15"/>
              </w:rPr>
              <w:t>X100%</w:t>
            </w:r>
          </w:p>
          <w:p>
            <w:pPr>
              <w:spacing w:before="34" w:line="184" w:lineRule="auto"/>
              <w:ind w:firstLine="32"/>
              <w:rPr>
                <w:rFonts w:ascii="新宋体" w:hAnsi="新宋体" w:eastAsia="新宋体" w:cs="新宋体"/>
                <w:spacing w:val="-5"/>
                <w:sz w:val="15"/>
                <w:szCs w:val="15"/>
              </w:rPr>
            </w:pPr>
            <w:r>
              <w:rPr>
                <w:rFonts w:ascii="新宋体" w:hAnsi="新宋体" w:eastAsia="新宋体" w:cs="新宋体"/>
                <w:spacing w:val="-5"/>
                <w:sz w:val="15"/>
                <w:szCs w:val="15"/>
              </w:rPr>
              <w:t>实际支出资金：</w:t>
            </w:r>
            <w:r>
              <w:rPr>
                <w:rFonts w:ascii="新宋体" w:hAnsi="新宋体" w:eastAsia="新宋体" w:cs="新宋体"/>
                <w:spacing w:val="53"/>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）内项目实际拨付的资金</w:t>
            </w:r>
          </w:p>
          <w:p>
            <w:pPr>
              <w:spacing w:before="34" w:line="184" w:lineRule="auto"/>
              <w:ind w:firstLine="980" w:firstLineChars="700"/>
              <w:rPr>
                <w:rFonts w:ascii="新宋体" w:hAnsi="新宋体" w:eastAsia="新宋体" w:cs="新宋体"/>
                <w:spacing w:val="-5"/>
                <w:sz w:val="15"/>
                <w:szCs w:val="15"/>
              </w:rPr>
            </w:pPr>
            <w:r>
              <w:rPr>
                <w:rFonts w:hint="eastAsia" w:ascii="新宋体" w:hAnsi="新宋体" w:eastAsia="新宋体" w:cs="新宋体"/>
                <w:spacing w:val="-5"/>
                <w:sz w:val="15"/>
                <w:szCs w:val="15"/>
                <w:lang w:eastAsia="zh-CN"/>
              </w:rPr>
              <w:t>预算执行率达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pPr>
              <w:spacing w:before="28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3</w:t>
            </w:r>
            <w:r>
              <w:rPr>
                <w:rFonts w:ascii="新宋体" w:hAnsi="新宋体" w:eastAsia="新宋体" w:cs="新宋体"/>
                <w:spacing w:val="-3"/>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before="29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4分</w:t>
            </w:r>
            <w:r>
              <w:rPr>
                <w:rFonts w:hint="eastAsia" w:ascii="新宋体" w:hAnsi="新宋体" w:eastAsia="新宋体" w:cs="新宋体"/>
                <w:spacing w:val="-4"/>
                <w:sz w:val="15"/>
                <w:szCs w:val="15"/>
                <w:lang w:eastAsia="zh-CN"/>
              </w:rPr>
              <w:t>）</w:t>
            </w:r>
          </w:p>
        </w:tc>
        <w:tc>
          <w:tcPr>
            <w:tcW w:w="1077" w:type="dxa"/>
            <w:noWrap w:val="0"/>
            <w:vAlign w:val="top"/>
          </w:tcPr>
          <w:p>
            <w:pPr>
              <w:spacing w:before="205" w:line="231" w:lineRule="auto"/>
              <w:ind w:firstLine="253"/>
              <w:jc w:val="center"/>
              <w:rPr>
                <w:rFonts w:ascii="新宋体" w:hAnsi="新宋体" w:eastAsia="新宋体" w:cs="新宋体"/>
                <w:sz w:val="15"/>
                <w:szCs w:val="15"/>
              </w:rPr>
            </w:pPr>
            <w:r>
              <w:rPr>
                <w:rFonts w:ascii="新宋体" w:hAnsi="新宋体" w:eastAsia="新宋体" w:cs="新宋体"/>
                <w:spacing w:val="-4"/>
                <w:sz w:val="15"/>
                <w:szCs w:val="15"/>
              </w:rPr>
              <w:t>资金使用</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合规性</w:t>
            </w:r>
          </w:p>
        </w:tc>
        <w:tc>
          <w:tcPr>
            <w:tcW w:w="505" w:type="dxa"/>
            <w:noWrap w:val="0"/>
            <w:vAlign w:val="top"/>
          </w:tcPr>
          <w:p>
            <w:pPr>
              <w:spacing w:before="21" w:line="217" w:lineRule="auto"/>
              <w:ind w:left="30" w:right="142" w:firstLine="1"/>
              <w:jc w:val="center"/>
              <w:rPr>
                <w:rFonts w:hint="eastAsia" w:ascii="新宋体" w:hAnsi="新宋体" w:eastAsia="新宋体" w:cs="新宋体"/>
                <w:spacing w:val="-2"/>
                <w:sz w:val="15"/>
                <w:szCs w:val="15"/>
                <w:lang w:val="en-US" w:eastAsia="zh-CN"/>
              </w:rPr>
            </w:pPr>
          </w:p>
          <w:p>
            <w:pPr>
              <w:spacing w:before="21" w:line="217" w:lineRule="auto"/>
              <w:ind w:left="30" w:right="142"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71" w:type="dxa"/>
            <w:noWrap w:val="0"/>
            <w:vAlign w:val="top"/>
          </w:tcPr>
          <w:p>
            <w:pPr>
              <w:spacing w:before="21" w:line="217" w:lineRule="auto"/>
              <w:ind w:left="30" w:right="142" w:firstLine="1"/>
              <w:rPr>
                <w:rFonts w:ascii="新宋体" w:hAnsi="新宋体" w:eastAsia="新宋体" w:cs="新宋体"/>
                <w:sz w:val="15"/>
                <w:szCs w:val="15"/>
              </w:rPr>
            </w:pPr>
            <w:r>
              <w:rPr>
                <w:rFonts w:ascii="新宋体" w:hAnsi="新宋体" w:eastAsia="新宋体" w:cs="新宋体"/>
                <w:spacing w:val="-2"/>
                <w:sz w:val="15"/>
                <w:szCs w:val="15"/>
              </w:rPr>
              <w:t>项目资金使用是否符合相关的</w:t>
            </w:r>
            <w:r>
              <w:rPr>
                <w:rFonts w:ascii="新宋体" w:hAnsi="新宋体" w:eastAsia="新宋体" w:cs="新宋体"/>
                <w:spacing w:val="10"/>
                <w:sz w:val="15"/>
                <w:szCs w:val="15"/>
              </w:rPr>
              <w:t xml:space="preserve"> </w:t>
            </w:r>
            <w:r>
              <w:rPr>
                <w:rFonts w:ascii="新宋体" w:hAnsi="新宋体" w:eastAsia="新宋体" w:cs="新宋体"/>
                <w:spacing w:val="-3"/>
                <w:sz w:val="15"/>
                <w:szCs w:val="15"/>
              </w:rPr>
              <w:t>财务管理制度规定</w:t>
            </w:r>
            <w:r>
              <w:rPr>
                <w:rFonts w:ascii="新宋体" w:hAnsi="新宋体" w:eastAsia="新宋体" w:cs="新宋体"/>
                <w:spacing w:val="-33"/>
                <w:sz w:val="15"/>
                <w:szCs w:val="15"/>
              </w:rPr>
              <w:t xml:space="preserve"> </w:t>
            </w:r>
            <w:r>
              <w:rPr>
                <w:rFonts w:ascii="新宋体" w:hAnsi="新宋体" w:eastAsia="新宋体" w:cs="新宋体"/>
                <w:spacing w:val="-3"/>
                <w:sz w:val="15"/>
                <w:szCs w:val="15"/>
              </w:rPr>
              <w:t>，用以反映</w:t>
            </w:r>
            <w:r>
              <w:rPr>
                <w:rFonts w:ascii="新宋体" w:hAnsi="新宋体" w:eastAsia="新宋体" w:cs="新宋体"/>
                <w:sz w:val="15"/>
                <w:szCs w:val="15"/>
              </w:rPr>
              <w:t xml:space="preserve"> </w:t>
            </w:r>
            <w:r>
              <w:rPr>
                <w:rFonts w:ascii="新宋体" w:hAnsi="新宋体" w:eastAsia="新宋体" w:cs="新宋体"/>
                <w:spacing w:val="-2"/>
                <w:sz w:val="15"/>
                <w:szCs w:val="15"/>
              </w:rPr>
              <w:t>和考核项目资金的规范运行情</w:t>
            </w:r>
            <w:r>
              <w:rPr>
                <w:rFonts w:ascii="新宋体" w:hAnsi="新宋体" w:eastAsia="新宋体" w:cs="新宋体"/>
                <w:spacing w:val="12"/>
                <w:sz w:val="15"/>
                <w:szCs w:val="15"/>
              </w:rPr>
              <w:t xml:space="preserve"> </w:t>
            </w:r>
            <w:r>
              <w:rPr>
                <w:rFonts w:ascii="新宋体" w:hAnsi="新宋体" w:eastAsia="新宋体" w:cs="新宋体"/>
                <w:spacing w:val="-3"/>
                <w:sz w:val="15"/>
                <w:szCs w:val="15"/>
              </w:rPr>
              <w:t>况。</w:t>
            </w:r>
          </w:p>
        </w:tc>
        <w:tc>
          <w:tcPr>
            <w:tcW w:w="4431" w:type="dxa"/>
            <w:noWrap w:val="0"/>
            <w:vAlign w:val="top"/>
          </w:tcPr>
          <w:p>
            <w:pPr>
              <w:spacing w:before="21" w:line="217" w:lineRule="auto"/>
              <w:ind w:left="29" w:right="138" w:hanging="1"/>
              <w:rPr>
                <w:rFonts w:ascii="新宋体" w:hAnsi="新宋体" w:eastAsia="新宋体" w:cs="新宋体"/>
                <w:spacing w:val="63"/>
                <w:w w:val="101"/>
                <w:sz w:val="15"/>
                <w:szCs w:val="15"/>
              </w:rPr>
            </w:pPr>
            <w:r>
              <w:rPr>
                <w:rFonts w:ascii="新宋体" w:hAnsi="新宋体" w:eastAsia="新宋体" w:cs="新宋体"/>
                <w:spacing w:val="-4"/>
                <w:sz w:val="15"/>
                <w:szCs w:val="15"/>
              </w:rPr>
              <w:t>①是否符合国家财经法规和财务管理制度以及有关专项资金管理</w:t>
            </w:r>
            <w:r>
              <w:rPr>
                <w:rFonts w:ascii="新宋体" w:hAnsi="新宋体" w:eastAsia="新宋体" w:cs="新宋体"/>
                <w:sz w:val="15"/>
                <w:szCs w:val="15"/>
              </w:rPr>
              <w:t xml:space="preserve"> </w:t>
            </w:r>
            <w:r>
              <w:rPr>
                <w:rFonts w:ascii="新宋体" w:hAnsi="新宋体" w:eastAsia="新宋体" w:cs="新宋体"/>
                <w:spacing w:val="-5"/>
                <w:sz w:val="15"/>
                <w:szCs w:val="15"/>
              </w:rPr>
              <w:t>办法的规定；</w:t>
            </w:r>
            <w:r>
              <w:rPr>
                <w:rFonts w:ascii="新宋体" w:hAnsi="新宋体" w:eastAsia="新宋体" w:cs="新宋体"/>
                <w:spacing w:val="63"/>
                <w:w w:val="101"/>
                <w:sz w:val="15"/>
                <w:szCs w:val="15"/>
              </w:rPr>
              <w:t xml:space="preserve"> </w:t>
            </w:r>
          </w:p>
          <w:p>
            <w:pPr>
              <w:spacing w:before="21" w:line="217" w:lineRule="auto"/>
              <w:ind w:left="29" w:right="138" w:hanging="1"/>
              <w:rPr>
                <w:rFonts w:ascii="新宋体" w:hAnsi="新宋体" w:eastAsia="新宋体" w:cs="新宋体"/>
                <w:spacing w:val="-5"/>
                <w:sz w:val="15"/>
                <w:szCs w:val="15"/>
              </w:rPr>
            </w:pPr>
            <w:r>
              <w:rPr>
                <w:rFonts w:ascii="新宋体" w:hAnsi="新宋体" w:eastAsia="新宋体" w:cs="新宋体"/>
                <w:spacing w:val="-5"/>
                <w:sz w:val="15"/>
                <w:szCs w:val="15"/>
              </w:rPr>
              <w:t>②资金的拨付是否有完整的审批程序和手续</w:t>
            </w:r>
            <w:r>
              <w:rPr>
                <w:rFonts w:ascii="新宋体" w:hAnsi="新宋体" w:eastAsia="新宋体" w:cs="新宋体"/>
                <w:spacing w:val="-18"/>
                <w:sz w:val="15"/>
                <w:szCs w:val="15"/>
              </w:rPr>
              <w:t xml:space="preserve"> </w:t>
            </w:r>
            <w:r>
              <w:rPr>
                <w:rFonts w:ascii="新宋体" w:hAnsi="新宋体" w:eastAsia="新宋体" w:cs="新宋体"/>
                <w:spacing w:val="-5"/>
                <w:sz w:val="15"/>
                <w:szCs w:val="15"/>
              </w:rPr>
              <w:t>；</w:t>
            </w:r>
          </w:p>
          <w:p>
            <w:pPr>
              <w:spacing w:before="21" w:line="217" w:lineRule="auto"/>
              <w:ind w:left="29" w:right="138" w:hanging="1"/>
              <w:rPr>
                <w:rFonts w:ascii="新宋体" w:hAnsi="新宋体" w:eastAsia="新宋体" w:cs="新宋体"/>
                <w:spacing w:val="55"/>
                <w:sz w:val="15"/>
                <w:szCs w:val="15"/>
              </w:rPr>
            </w:pPr>
            <w:r>
              <w:rPr>
                <w:rFonts w:ascii="新宋体" w:hAnsi="新宋体" w:eastAsia="新宋体" w:cs="新宋体"/>
                <w:spacing w:val="-5"/>
                <w:sz w:val="15"/>
                <w:szCs w:val="15"/>
              </w:rPr>
              <w:t>③是否符合项目</w:t>
            </w:r>
            <w:r>
              <w:rPr>
                <w:rFonts w:ascii="新宋体" w:hAnsi="新宋体" w:eastAsia="新宋体" w:cs="新宋体"/>
                <w:sz w:val="15"/>
                <w:szCs w:val="15"/>
              </w:rPr>
              <w:t xml:space="preserve"> </w:t>
            </w:r>
            <w:r>
              <w:rPr>
                <w:rFonts w:ascii="新宋体" w:hAnsi="新宋体" w:eastAsia="新宋体" w:cs="新宋体"/>
                <w:spacing w:val="-3"/>
                <w:sz w:val="15"/>
                <w:szCs w:val="15"/>
              </w:rPr>
              <w:t>预算批复或合同规定的用途；</w:t>
            </w:r>
            <w:r>
              <w:rPr>
                <w:rFonts w:ascii="新宋体" w:hAnsi="新宋体" w:eastAsia="新宋体" w:cs="新宋体"/>
                <w:spacing w:val="55"/>
                <w:sz w:val="15"/>
                <w:szCs w:val="15"/>
              </w:rPr>
              <w:t xml:space="preserve"> </w:t>
            </w:r>
          </w:p>
          <w:p>
            <w:pPr>
              <w:spacing w:before="21" w:line="217" w:lineRule="auto"/>
              <w:ind w:left="29" w:right="138" w:hanging="1"/>
              <w:rPr>
                <w:rFonts w:ascii="新宋体" w:hAnsi="新宋体" w:eastAsia="新宋体" w:cs="新宋体"/>
                <w:spacing w:val="-3"/>
                <w:sz w:val="15"/>
                <w:szCs w:val="15"/>
              </w:rPr>
            </w:pPr>
            <w:r>
              <w:rPr>
                <w:rFonts w:ascii="新宋体" w:hAnsi="新宋体" w:eastAsia="新宋体" w:cs="新宋体"/>
                <w:spacing w:val="-3"/>
                <w:sz w:val="15"/>
                <w:szCs w:val="15"/>
              </w:rPr>
              <w:t>④是否存在截留、挤占、挪用、虚列支出等情况。</w:t>
            </w:r>
          </w:p>
          <w:p>
            <w:pPr>
              <w:spacing w:before="21" w:line="217" w:lineRule="auto"/>
              <w:ind w:left="189" w:leftChars="90" w:right="138" w:firstLine="897" w:firstLineChars="598"/>
              <w:rPr>
                <w:rFonts w:ascii="新宋体" w:hAnsi="新宋体" w:eastAsia="新宋体" w:cs="新宋体"/>
                <w:spacing w:val="-3"/>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pPr>
              <w:spacing w:before="29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7" w:hRule="atLeast"/>
        </w:trPr>
        <w:tc>
          <w:tcPr>
            <w:tcW w:w="822" w:type="dxa"/>
            <w:vMerge w:val="continue"/>
            <w:tcBorders>
              <w:top w:val="nil"/>
              <w:bottom w:val="nil"/>
            </w:tcBorders>
            <w:noWrap w:val="0"/>
            <w:vAlign w:val="top"/>
          </w:tcPr>
          <w:p>
            <w:pPr>
              <w:rPr>
                <w:rFonts w:ascii="宋体"/>
                <w:sz w:val="21"/>
              </w:rPr>
            </w:pPr>
          </w:p>
        </w:tc>
        <w:tc>
          <w:tcPr>
            <w:tcW w:w="818" w:type="dxa"/>
            <w:vMerge w:val="restart"/>
            <w:tcBorders>
              <w:bottom w:val="nil"/>
            </w:tcBorders>
            <w:noWrap w:val="0"/>
            <w:vAlign w:val="top"/>
          </w:tcPr>
          <w:p>
            <w:pPr>
              <w:spacing w:line="273" w:lineRule="auto"/>
              <w:rPr>
                <w:rFonts w:ascii="宋体"/>
                <w:sz w:val="21"/>
              </w:rPr>
            </w:pPr>
          </w:p>
          <w:p>
            <w:pPr>
              <w:spacing w:line="273" w:lineRule="auto"/>
              <w:rPr>
                <w:rFonts w:ascii="宋体"/>
                <w:sz w:val="21"/>
              </w:rPr>
            </w:pPr>
          </w:p>
          <w:p>
            <w:pPr>
              <w:spacing w:before="49" w:line="184" w:lineRule="auto"/>
              <w:ind w:firstLine="108"/>
              <w:rPr>
                <w:rFonts w:hint="eastAsia" w:ascii="新宋体" w:hAnsi="新宋体" w:eastAsia="新宋体" w:cs="新宋体"/>
                <w:sz w:val="15"/>
                <w:szCs w:val="15"/>
                <w:lang w:eastAsia="zh-CN"/>
              </w:rPr>
            </w:pPr>
            <w:r>
              <w:rPr>
                <w:rFonts w:ascii="新宋体" w:hAnsi="新宋体" w:eastAsia="新宋体" w:cs="新宋体"/>
                <w:spacing w:val="-3"/>
                <w:sz w:val="15"/>
                <w:szCs w:val="15"/>
              </w:rPr>
              <w:t>组织实施</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77" w:type="dxa"/>
            <w:noWrap w:val="0"/>
            <w:vAlign w:val="top"/>
          </w:tcPr>
          <w:p>
            <w:pPr>
              <w:spacing w:before="207" w:line="230" w:lineRule="auto"/>
              <w:ind w:firstLine="250"/>
              <w:jc w:val="center"/>
              <w:rPr>
                <w:rFonts w:ascii="新宋体" w:hAnsi="新宋体" w:eastAsia="新宋体" w:cs="新宋体"/>
                <w:spacing w:val="-3"/>
                <w:sz w:val="15"/>
                <w:szCs w:val="15"/>
              </w:rPr>
            </w:pPr>
          </w:p>
          <w:p>
            <w:pPr>
              <w:spacing w:before="207" w:line="230" w:lineRule="auto"/>
              <w:ind w:firstLine="250"/>
              <w:jc w:val="center"/>
              <w:rPr>
                <w:rFonts w:ascii="新宋体" w:hAnsi="新宋体" w:eastAsia="新宋体" w:cs="新宋体"/>
                <w:sz w:val="15"/>
                <w:szCs w:val="15"/>
              </w:rPr>
            </w:pPr>
            <w:r>
              <w:rPr>
                <w:rFonts w:ascii="新宋体" w:hAnsi="新宋体" w:eastAsia="新宋体" w:cs="新宋体"/>
                <w:spacing w:val="-3"/>
                <w:sz w:val="15"/>
                <w:szCs w:val="15"/>
              </w:rPr>
              <w:t>管理制度</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健全性</w:t>
            </w:r>
          </w:p>
        </w:tc>
        <w:tc>
          <w:tcPr>
            <w:tcW w:w="505" w:type="dxa"/>
            <w:noWrap w:val="0"/>
            <w:vAlign w:val="top"/>
          </w:tcPr>
          <w:p>
            <w:pPr>
              <w:spacing w:before="25" w:line="216" w:lineRule="auto"/>
              <w:ind w:left="29" w:right="144" w:firstLine="2"/>
              <w:jc w:val="center"/>
              <w:rPr>
                <w:rFonts w:hint="eastAsia" w:ascii="新宋体" w:hAnsi="新宋体" w:eastAsia="新宋体" w:cs="新宋体"/>
                <w:spacing w:val="-2"/>
                <w:sz w:val="15"/>
                <w:szCs w:val="15"/>
                <w:lang w:val="en-US" w:eastAsia="zh-CN"/>
              </w:rPr>
            </w:pPr>
          </w:p>
          <w:p>
            <w:pPr>
              <w:spacing w:before="25" w:line="216" w:lineRule="auto"/>
              <w:ind w:left="29" w:right="144"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pPr>
              <w:spacing w:before="25" w:line="216" w:lineRule="auto"/>
              <w:ind w:left="29" w:right="144" w:firstLine="2"/>
              <w:rPr>
                <w:rFonts w:ascii="新宋体" w:hAnsi="新宋体" w:eastAsia="新宋体" w:cs="新宋体"/>
                <w:sz w:val="15"/>
                <w:szCs w:val="15"/>
              </w:rPr>
            </w:pPr>
            <w:r>
              <w:rPr>
                <w:rFonts w:ascii="新宋体" w:hAnsi="新宋体" w:eastAsia="新宋体" w:cs="新宋体"/>
                <w:spacing w:val="-2"/>
                <w:sz w:val="15"/>
                <w:szCs w:val="15"/>
              </w:rPr>
              <w:t>项目实施单位的财务和业务管</w:t>
            </w:r>
            <w:r>
              <w:rPr>
                <w:rFonts w:ascii="新宋体" w:hAnsi="新宋体" w:eastAsia="新宋体" w:cs="新宋体"/>
                <w:spacing w:val="10"/>
                <w:sz w:val="15"/>
                <w:szCs w:val="15"/>
              </w:rPr>
              <w:t xml:space="preserve"> </w:t>
            </w:r>
            <w:r>
              <w:rPr>
                <w:rFonts w:ascii="新宋体" w:hAnsi="新宋体" w:eastAsia="新宋体" w:cs="新宋体"/>
                <w:sz w:val="15"/>
                <w:szCs w:val="15"/>
              </w:rPr>
              <w:t>理制度是否健全，用以反映和</w:t>
            </w:r>
            <w:r>
              <w:rPr>
                <w:rFonts w:ascii="新宋体" w:hAnsi="新宋体" w:eastAsia="新宋体" w:cs="新宋体"/>
                <w:spacing w:val="2"/>
                <w:w w:val="101"/>
                <w:sz w:val="15"/>
                <w:szCs w:val="15"/>
              </w:rPr>
              <w:t xml:space="preserve"> </w:t>
            </w:r>
            <w:r>
              <w:rPr>
                <w:rFonts w:ascii="新宋体" w:hAnsi="新宋体" w:eastAsia="新宋体" w:cs="新宋体"/>
                <w:spacing w:val="-2"/>
                <w:sz w:val="15"/>
                <w:szCs w:val="15"/>
              </w:rPr>
              <w:t>考核财务和业务管理制度对项</w:t>
            </w:r>
            <w:r>
              <w:rPr>
                <w:rFonts w:ascii="新宋体" w:hAnsi="新宋体" w:eastAsia="新宋体" w:cs="新宋体"/>
                <w:spacing w:val="12"/>
                <w:sz w:val="15"/>
                <w:szCs w:val="15"/>
              </w:rPr>
              <w:t xml:space="preserve"> </w:t>
            </w:r>
            <w:r>
              <w:rPr>
                <w:rFonts w:ascii="新宋体" w:hAnsi="新宋体" w:eastAsia="新宋体" w:cs="新宋体"/>
                <w:sz w:val="15"/>
                <w:szCs w:val="15"/>
              </w:rPr>
              <w:t>目顺利实施的保障情况。</w:t>
            </w:r>
          </w:p>
        </w:tc>
        <w:tc>
          <w:tcPr>
            <w:tcW w:w="4431" w:type="dxa"/>
            <w:noWrap w:val="0"/>
            <w:vAlign w:val="top"/>
          </w:tcPr>
          <w:p>
            <w:pPr>
              <w:spacing w:before="207" w:line="230" w:lineRule="auto"/>
              <w:ind w:right="137"/>
              <w:rPr>
                <w:rFonts w:ascii="新宋体" w:hAnsi="新宋体" w:eastAsia="新宋体" w:cs="新宋体"/>
                <w:spacing w:val="-5"/>
                <w:sz w:val="15"/>
                <w:szCs w:val="15"/>
              </w:rPr>
            </w:pPr>
            <w:r>
              <w:rPr>
                <w:rFonts w:ascii="新宋体" w:hAnsi="新宋体" w:eastAsia="新宋体" w:cs="新宋体"/>
                <w:spacing w:val="-5"/>
                <w:sz w:val="15"/>
                <w:szCs w:val="15"/>
              </w:rPr>
              <w:t>①是否己制定或具有相应的财务和业务管理制度</w:t>
            </w:r>
            <w:r>
              <w:rPr>
                <w:rFonts w:ascii="新宋体" w:hAnsi="新宋体" w:eastAsia="新宋体" w:cs="新宋体"/>
                <w:spacing w:val="-14"/>
                <w:sz w:val="15"/>
                <w:szCs w:val="15"/>
              </w:rPr>
              <w:t xml:space="preserve"> </w:t>
            </w:r>
            <w:r>
              <w:rPr>
                <w:rFonts w:ascii="新宋体" w:hAnsi="新宋体" w:eastAsia="新宋体" w:cs="新宋体"/>
                <w:spacing w:val="-5"/>
                <w:sz w:val="15"/>
                <w:szCs w:val="15"/>
              </w:rPr>
              <w:t>；</w:t>
            </w:r>
          </w:p>
          <w:p>
            <w:pPr>
              <w:spacing w:before="207" w:line="230" w:lineRule="auto"/>
              <w:ind w:right="137"/>
              <w:rPr>
                <w:rFonts w:ascii="新宋体" w:hAnsi="新宋体" w:eastAsia="新宋体" w:cs="新宋体"/>
                <w:spacing w:val="-2"/>
                <w:sz w:val="15"/>
                <w:szCs w:val="15"/>
              </w:rPr>
            </w:pPr>
            <w:r>
              <w:rPr>
                <w:rFonts w:ascii="新宋体" w:hAnsi="新宋体" w:eastAsia="新宋体" w:cs="新宋体"/>
                <w:spacing w:val="-5"/>
                <w:sz w:val="15"/>
                <w:szCs w:val="15"/>
              </w:rPr>
              <w:t>②财务和业务</w:t>
            </w:r>
            <w:r>
              <w:rPr>
                <w:rFonts w:ascii="新宋体" w:hAnsi="新宋体" w:eastAsia="新宋体" w:cs="新宋体"/>
                <w:sz w:val="15"/>
                <w:szCs w:val="15"/>
              </w:rPr>
              <w:t xml:space="preserve"> </w:t>
            </w:r>
            <w:r>
              <w:rPr>
                <w:rFonts w:ascii="新宋体" w:hAnsi="新宋体" w:eastAsia="新宋体" w:cs="新宋体"/>
                <w:spacing w:val="-2"/>
                <w:sz w:val="15"/>
                <w:szCs w:val="15"/>
              </w:rPr>
              <w:t>管理制度是否合法</w:t>
            </w:r>
            <w:r>
              <w:rPr>
                <w:rFonts w:ascii="新宋体" w:hAnsi="新宋体" w:eastAsia="新宋体" w:cs="新宋体"/>
                <w:spacing w:val="-33"/>
                <w:sz w:val="15"/>
                <w:szCs w:val="15"/>
              </w:rPr>
              <w:t xml:space="preserve"> </w:t>
            </w:r>
            <w:r>
              <w:rPr>
                <w:rFonts w:ascii="新宋体" w:hAnsi="新宋体" w:eastAsia="新宋体" w:cs="新宋体"/>
                <w:spacing w:val="-2"/>
                <w:sz w:val="15"/>
                <w:szCs w:val="15"/>
              </w:rPr>
              <w:t>、合规、完整。</w:t>
            </w:r>
          </w:p>
          <w:p>
            <w:pPr>
              <w:spacing w:before="207" w:line="230" w:lineRule="auto"/>
              <w:ind w:right="137" w:firstLine="1200" w:firstLineChars="8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5" w:type="dxa"/>
            <w:noWrap w:val="0"/>
            <w:vAlign w:val="top"/>
          </w:tcPr>
          <w:p>
            <w:pPr>
              <w:spacing w:before="300" w:line="184" w:lineRule="auto"/>
              <w:ind w:firstLine="36"/>
              <w:jc w:val="center"/>
              <w:rPr>
                <w:rFonts w:ascii="新宋体" w:hAnsi="新宋体" w:eastAsia="新宋体" w:cs="新宋体"/>
                <w:sz w:val="15"/>
                <w:szCs w:val="15"/>
              </w:rPr>
            </w:pPr>
            <w:r>
              <w:rPr>
                <w:rFonts w:ascii="新宋体" w:hAnsi="新宋体" w:eastAsia="新宋体" w:cs="新宋体"/>
                <w:spacing w:val="-4"/>
                <w:sz w:val="15"/>
                <w:szCs w:val="15"/>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822" w:type="dxa"/>
            <w:vMerge w:val="continue"/>
            <w:tcBorders>
              <w:top w:val="nil"/>
            </w:tcBorders>
            <w:noWrap w:val="0"/>
            <w:vAlign w:val="top"/>
          </w:tcPr>
          <w:p>
            <w:pPr>
              <w:rPr>
                <w:rFonts w:ascii="宋体"/>
                <w:sz w:val="21"/>
              </w:rPr>
            </w:pPr>
          </w:p>
        </w:tc>
        <w:tc>
          <w:tcPr>
            <w:tcW w:w="818" w:type="dxa"/>
            <w:vMerge w:val="continue"/>
            <w:tcBorders>
              <w:top w:val="nil"/>
            </w:tcBorders>
            <w:noWrap w:val="0"/>
            <w:vAlign w:val="top"/>
          </w:tcPr>
          <w:p>
            <w:pPr>
              <w:rPr>
                <w:rFonts w:ascii="宋体"/>
                <w:sz w:val="21"/>
              </w:rPr>
            </w:pPr>
          </w:p>
        </w:tc>
        <w:tc>
          <w:tcPr>
            <w:tcW w:w="1077" w:type="dxa"/>
            <w:noWrap w:val="0"/>
            <w:vAlign w:val="top"/>
          </w:tcPr>
          <w:p>
            <w:pPr>
              <w:spacing w:before="209" w:line="228" w:lineRule="auto"/>
              <w:ind w:firstLine="247"/>
              <w:jc w:val="center"/>
              <w:rPr>
                <w:rFonts w:ascii="新宋体" w:hAnsi="新宋体" w:eastAsia="新宋体" w:cs="新宋体"/>
                <w:spacing w:val="-3"/>
                <w:sz w:val="15"/>
                <w:szCs w:val="15"/>
              </w:rPr>
            </w:pPr>
          </w:p>
          <w:p>
            <w:pPr>
              <w:spacing w:before="209" w:line="228" w:lineRule="auto"/>
              <w:ind w:firstLine="247"/>
              <w:jc w:val="center"/>
              <w:rPr>
                <w:rFonts w:ascii="新宋体" w:hAnsi="新宋体" w:eastAsia="新宋体" w:cs="新宋体"/>
                <w:sz w:val="15"/>
                <w:szCs w:val="15"/>
              </w:rPr>
            </w:pPr>
            <w:r>
              <w:rPr>
                <w:rFonts w:ascii="新宋体" w:hAnsi="新宋体" w:eastAsia="新宋体" w:cs="新宋体"/>
                <w:spacing w:val="-3"/>
                <w:sz w:val="15"/>
                <w:szCs w:val="15"/>
              </w:rPr>
              <w:t>制度执行</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有效性</w:t>
            </w:r>
          </w:p>
        </w:tc>
        <w:tc>
          <w:tcPr>
            <w:tcW w:w="505" w:type="dxa"/>
            <w:noWrap w:val="0"/>
            <w:vAlign w:val="top"/>
          </w:tcPr>
          <w:p>
            <w:pPr>
              <w:spacing w:before="119" w:line="227" w:lineRule="auto"/>
              <w:ind w:left="30" w:right="157"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pPr>
              <w:spacing w:before="119" w:line="227" w:lineRule="auto"/>
              <w:ind w:left="30" w:right="157" w:firstLine="1"/>
              <w:rPr>
                <w:rFonts w:ascii="新宋体" w:hAnsi="新宋体" w:eastAsia="新宋体" w:cs="新宋体"/>
                <w:sz w:val="15"/>
                <w:szCs w:val="15"/>
              </w:rPr>
            </w:pPr>
            <w:r>
              <w:rPr>
                <w:rFonts w:ascii="新宋体" w:hAnsi="新宋体" w:eastAsia="新宋体" w:cs="新宋体"/>
                <w:spacing w:val="-2"/>
                <w:sz w:val="15"/>
                <w:szCs w:val="15"/>
              </w:rPr>
              <w:t>项目实施是否符合相关管理规</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定，用以反映和考核相关管理</w:t>
            </w:r>
            <w:r>
              <w:rPr>
                <w:rFonts w:ascii="新宋体" w:hAnsi="新宋体" w:eastAsia="新宋体" w:cs="新宋体"/>
                <w:spacing w:val="2"/>
                <w:sz w:val="15"/>
                <w:szCs w:val="15"/>
              </w:rPr>
              <w:t xml:space="preserve"> </w:t>
            </w:r>
            <w:r>
              <w:rPr>
                <w:rFonts w:ascii="新宋体" w:hAnsi="新宋体" w:eastAsia="新宋体" w:cs="新宋体"/>
                <w:sz w:val="15"/>
                <w:szCs w:val="15"/>
              </w:rPr>
              <w:t>制度的有效执行情况。</w:t>
            </w:r>
          </w:p>
        </w:tc>
        <w:tc>
          <w:tcPr>
            <w:tcW w:w="4431" w:type="dxa"/>
            <w:noWrap w:val="0"/>
            <w:vAlign w:val="top"/>
          </w:tcPr>
          <w:p>
            <w:pPr>
              <w:spacing w:before="119" w:line="227" w:lineRule="auto"/>
              <w:ind w:right="142"/>
              <w:rPr>
                <w:rFonts w:ascii="新宋体" w:hAnsi="新宋体" w:eastAsia="新宋体" w:cs="新宋体"/>
                <w:spacing w:val="-5"/>
                <w:sz w:val="15"/>
                <w:szCs w:val="15"/>
              </w:rPr>
            </w:pPr>
            <w:r>
              <w:rPr>
                <w:rFonts w:ascii="新宋体" w:hAnsi="新宋体" w:eastAsia="新宋体" w:cs="新宋体"/>
                <w:spacing w:val="-5"/>
                <w:sz w:val="15"/>
                <w:szCs w:val="15"/>
              </w:rPr>
              <w:t>①是否遵守相关法律法规和相关管理规定</w:t>
            </w:r>
            <w:r>
              <w:rPr>
                <w:rFonts w:ascii="新宋体" w:hAnsi="新宋体" w:eastAsia="新宋体" w:cs="新宋体"/>
                <w:spacing w:val="-22"/>
                <w:sz w:val="15"/>
                <w:szCs w:val="15"/>
              </w:rPr>
              <w:t xml:space="preserve"> </w:t>
            </w:r>
            <w:r>
              <w:rPr>
                <w:rFonts w:ascii="新宋体" w:hAnsi="新宋体" w:eastAsia="新宋体" w:cs="新宋体"/>
                <w:spacing w:val="-5"/>
                <w:sz w:val="15"/>
                <w:szCs w:val="15"/>
              </w:rPr>
              <w:t>；</w:t>
            </w:r>
          </w:p>
          <w:p>
            <w:pPr>
              <w:spacing w:before="119" w:line="227" w:lineRule="auto"/>
              <w:ind w:right="142"/>
              <w:rPr>
                <w:rFonts w:ascii="新宋体" w:hAnsi="新宋体" w:eastAsia="新宋体" w:cs="新宋体"/>
                <w:spacing w:val="40"/>
                <w:w w:val="101"/>
                <w:sz w:val="15"/>
                <w:szCs w:val="15"/>
              </w:rPr>
            </w:pPr>
            <w:r>
              <w:rPr>
                <w:rFonts w:ascii="新宋体" w:hAnsi="新宋体" w:eastAsia="新宋体" w:cs="新宋体"/>
                <w:spacing w:val="-5"/>
                <w:sz w:val="15"/>
                <w:szCs w:val="15"/>
              </w:rPr>
              <w:t>②项目调整及支出调</w:t>
            </w:r>
            <w:r>
              <w:rPr>
                <w:rFonts w:ascii="新宋体" w:hAnsi="新宋体" w:eastAsia="新宋体" w:cs="新宋体"/>
                <w:w w:val="101"/>
                <w:sz w:val="15"/>
                <w:szCs w:val="15"/>
              </w:rPr>
              <w:t xml:space="preserve"> </w:t>
            </w:r>
            <w:r>
              <w:rPr>
                <w:rFonts w:ascii="新宋体" w:hAnsi="新宋体" w:eastAsia="新宋体" w:cs="新宋体"/>
                <w:spacing w:val="-3"/>
                <w:sz w:val="15"/>
                <w:szCs w:val="15"/>
              </w:rPr>
              <w:t>整手续是否完备；</w:t>
            </w:r>
            <w:r>
              <w:rPr>
                <w:rFonts w:ascii="新宋体" w:hAnsi="新宋体" w:eastAsia="新宋体" w:cs="新宋体"/>
                <w:spacing w:val="40"/>
                <w:w w:val="101"/>
                <w:sz w:val="15"/>
                <w:szCs w:val="15"/>
              </w:rPr>
              <w:t xml:space="preserve"> </w:t>
            </w:r>
          </w:p>
          <w:p>
            <w:pPr>
              <w:spacing w:before="119" w:line="227" w:lineRule="auto"/>
              <w:ind w:right="142"/>
              <w:rPr>
                <w:rFonts w:ascii="新宋体" w:hAnsi="新宋体" w:eastAsia="新宋体" w:cs="新宋体"/>
                <w:spacing w:val="58"/>
                <w:sz w:val="15"/>
                <w:szCs w:val="15"/>
              </w:rPr>
            </w:pPr>
            <w:r>
              <w:rPr>
                <w:rFonts w:ascii="新宋体" w:hAnsi="新宋体" w:eastAsia="新宋体" w:cs="新宋体"/>
                <w:spacing w:val="-3"/>
                <w:sz w:val="15"/>
                <w:szCs w:val="15"/>
              </w:rPr>
              <w:t>③项目合同书、验收报告、技术鉴定等资料是否齐全并及</w:t>
            </w:r>
            <w:r>
              <w:rPr>
                <w:rFonts w:ascii="新宋体" w:hAnsi="新宋体" w:eastAsia="新宋体" w:cs="新宋体"/>
                <w:sz w:val="15"/>
                <w:szCs w:val="15"/>
              </w:rPr>
              <w:t xml:space="preserve"> </w:t>
            </w:r>
            <w:r>
              <w:rPr>
                <w:rFonts w:ascii="新宋体" w:hAnsi="新宋体" w:eastAsia="新宋体" w:cs="新宋体"/>
                <w:spacing w:val="-4"/>
                <w:sz w:val="15"/>
                <w:szCs w:val="15"/>
              </w:rPr>
              <w:t>时归档；</w:t>
            </w:r>
            <w:r>
              <w:rPr>
                <w:rFonts w:ascii="新宋体" w:hAnsi="新宋体" w:eastAsia="新宋体" w:cs="新宋体"/>
                <w:spacing w:val="58"/>
                <w:sz w:val="15"/>
                <w:szCs w:val="15"/>
              </w:rPr>
              <w:t xml:space="preserve"> </w:t>
            </w:r>
          </w:p>
          <w:p>
            <w:pPr>
              <w:spacing w:before="119" w:line="227" w:lineRule="auto"/>
              <w:ind w:right="142"/>
              <w:rPr>
                <w:rFonts w:ascii="新宋体" w:hAnsi="新宋体" w:eastAsia="新宋体" w:cs="新宋体"/>
                <w:spacing w:val="-4"/>
                <w:sz w:val="15"/>
                <w:szCs w:val="15"/>
              </w:rPr>
            </w:pPr>
            <w:r>
              <w:rPr>
                <w:rFonts w:ascii="新宋体" w:hAnsi="新宋体" w:eastAsia="新宋体" w:cs="新宋体"/>
                <w:spacing w:val="-4"/>
                <w:sz w:val="15"/>
                <w:szCs w:val="15"/>
              </w:rPr>
              <w:t>④项目实施的人员条件</w:t>
            </w:r>
            <w:r>
              <w:rPr>
                <w:rFonts w:ascii="新宋体" w:hAnsi="新宋体" w:eastAsia="新宋体" w:cs="新宋体"/>
                <w:spacing w:val="-41"/>
                <w:sz w:val="15"/>
                <w:szCs w:val="15"/>
              </w:rPr>
              <w:t xml:space="preserve"> </w:t>
            </w:r>
            <w:r>
              <w:rPr>
                <w:rFonts w:ascii="新宋体" w:hAnsi="新宋体" w:eastAsia="新宋体" w:cs="新宋体"/>
                <w:spacing w:val="-4"/>
                <w:sz w:val="15"/>
                <w:szCs w:val="15"/>
              </w:rPr>
              <w:t>、场地设备、信息支撑等是否落实到位。</w:t>
            </w:r>
          </w:p>
          <w:p>
            <w:pPr>
              <w:spacing w:before="119" w:line="227" w:lineRule="auto"/>
              <w:ind w:right="142" w:firstLine="1350" w:firstLineChars="900"/>
              <w:rPr>
                <w:rFonts w:ascii="新宋体" w:hAnsi="新宋体" w:eastAsia="新宋体" w:cs="新宋体"/>
                <w:spacing w:val="-4"/>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pPr>
              <w:spacing w:before="303" w:line="184" w:lineRule="auto"/>
              <w:ind w:firstLine="34"/>
              <w:jc w:val="center"/>
              <w:rPr>
                <w:rFonts w:hint="eastAsia" w:ascii="新宋体" w:hAnsi="新宋体" w:eastAsia="新宋体" w:cs="新宋体"/>
                <w:spacing w:val="-3"/>
                <w:sz w:val="15"/>
                <w:szCs w:val="15"/>
                <w:lang w:val="en-US" w:eastAsia="zh-CN"/>
              </w:rPr>
            </w:pPr>
          </w:p>
          <w:p>
            <w:pPr>
              <w:spacing w:before="30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2</w:t>
            </w:r>
            <w:r>
              <w:rPr>
                <w:rFonts w:ascii="新宋体" w:hAnsi="新宋体" w:eastAsia="新宋体" w:cs="新宋体"/>
                <w:spacing w:val="-3"/>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822" w:type="dxa"/>
            <w:vMerge w:val="restart"/>
            <w:tcBorders>
              <w:bottom w:val="nil"/>
            </w:tcBorders>
            <w:noWrap w:val="0"/>
            <w:vAlign w:val="top"/>
          </w:tcPr>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70" w:lineRule="auto"/>
              <w:rPr>
                <w:rFonts w:ascii="宋体"/>
                <w:sz w:val="21"/>
              </w:rPr>
            </w:pPr>
          </w:p>
          <w:p>
            <w:pPr>
              <w:spacing w:before="58" w:line="182" w:lineRule="auto"/>
              <w:ind w:firstLine="236"/>
              <w:rPr>
                <w:rFonts w:hint="eastAsia" w:ascii="新宋体" w:hAnsi="新宋体" w:eastAsia="新宋体" w:cs="新宋体"/>
                <w:sz w:val="18"/>
                <w:szCs w:val="18"/>
                <w:lang w:eastAsia="zh-CN"/>
              </w:rPr>
            </w:pPr>
            <w:r>
              <w:rPr>
                <w:rFonts w:ascii="新宋体" w:hAnsi="新宋体" w:eastAsia="新宋体" w:cs="新宋体"/>
                <w:spacing w:val="-6"/>
                <w:sz w:val="18"/>
                <w:szCs w:val="18"/>
              </w:rPr>
              <w:t>产出</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34分</w:t>
            </w:r>
            <w:r>
              <w:rPr>
                <w:rFonts w:hint="eastAsia" w:ascii="新宋体" w:hAnsi="新宋体" w:eastAsia="新宋体" w:cs="新宋体"/>
                <w:spacing w:val="-6"/>
                <w:sz w:val="18"/>
                <w:szCs w:val="18"/>
                <w:lang w:eastAsia="zh-CN"/>
              </w:rPr>
              <w:t>）</w:t>
            </w:r>
          </w:p>
        </w:tc>
        <w:tc>
          <w:tcPr>
            <w:tcW w:w="818" w:type="dxa"/>
            <w:noWrap w:val="0"/>
            <w:vAlign w:val="top"/>
          </w:tcPr>
          <w:p>
            <w:pPr>
              <w:spacing w:line="474" w:lineRule="auto"/>
              <w:rPr>
                <w:rFonts w:ascii="宋体"/>
                <w:sz w:val="21"/>
              </w:rPr>
            </w:pPr>
          </w:p>
          <w:p>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产出数量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77" w:type="dxa"/>
            <w:noWrap w:val="0"/>
            <w:vAlign w:val="top"/>
          </w:tcPr>
          <w:p>
            <w:pPr>
              <w:spacing w:line="474" w:lineRule="auto"/>
              <w:rPr>
                <w:rFonts w:ascii="宋体"/>
                <w:sz w:val="21"/>
              </w:rPr>
            </w:pPr>
          </w:p>
          <w:p>
            <w:pPr>
              <w:spacing w:before="49" w:line="184" w:lineRule="auto"/>
              <w:ind w:firstLine="176"/>
              <w:jc w:val="both"/>
              <w:rPr>
                <w:rFonts w:hint="eastAsia" w:ascii="新宋体" w:hAnsi="新宋体" w:eastAsia="新宋体" w:cs="新宋体"/>
                <w:sz w:val="15"/>
                <w:szCs w:val="15"/>
                <w:lang w:eastAsia="zh-CN"/>
              </w:rPr>
            </w:pPr>
            <w:r>
              <w:rPr>
                <w:rFonts w:ascii="宋体" w:hAnsi="宋体"/>
                <w:sz w:val="18"/>
                <w:szCs w:val="18"/>
              </w:rPr>
              <w:t>拆除违法建筑面积数</w:t>
            </w:r>
          </w:p>
        </w:tc>
        <w:tc>
          <w:tcPr>
            <w:tcW w:w="505" w:type="dxa"/>
            <w:noWrap w:val="0"/>
            <w:vAlign w:val="top"/>
          </w:tcPr>
          <w:p>
            <w:pPr>
              <w:spacing w:before="311" w:line="227" w:lineRule="auto"/>
              <w:ind w:right="148" w:firstLine="750" w:firstLineChars="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110分</w:t>
            </w:r>
          </w:p>
        </w:tc>
        <w:tc>
          <w:tcPr>
            <w:tcW w:w="2471" w:type="dxa"/>
            <w:noWrap w:val="0"/>
            <w:vAlign w:val="top"/>
          </w:tcPr>
          <w:p>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昌江区城管局在打击两违方面完成的工作数，用以反映和考核单位履职工作任务目标的实际数。</w:t>
            </w:r>
          </w:p>
        </w:tc>
        <w:tc>
          <w:tcPr>
            <w:tcW w:w="4431" w:type="dxa"/>
            <w:noWrap w:val="0"/>
            <w:vAlign w:val="top"/>
          </w:tcPr>
          <w:p>
            <w:pPr>
              <w:spacing w:before="216" w:line="184" w:lineRule="auto"/>
              <w:ind w:firstLine="32"/>
              <w:jc w:val="center"/>
              <w:rPr>
                <w:rFonts w:hint="eastAsia" w:ascii="新宋体" w:hAnsi="新宋体" w:eastAsia="新宋体" w:cs="新宋体"/>
                <w:spacing w:val="-3"/>
                <w:sz w:val="15"/>
                <w:szCs w:val="15"/>
                <w:lang w:val="en-US" w:eastAsia="zh-CN"/>
              </w:rPr>
            </w:pPr>
          </w:p>
          <w:p>
            <w:pPr>
              <w:spacing w:before="216" w:line="184" w:lineRule="auto"/>
              <w:ind w:firstLine="3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实际完成次数达</w:t>
            </w:r>
            <w:r>
              <w:rPr>
                <w:rFonts w:hint="eastAsia" w:ascii="新宋体" w:hAnsi="新宋体" w:eastAsia="新宋体" w:cs="新宋体"/>
                <w:sz w:val="15"/>
                <w:szCs w:val="15"/>
                <w:lang w:val="en-US" w:eastAsia="zh-CN"/>
              </w:rPr>
              <w:t>500平方米，则得满分，每降低1次扣5%权重分，扣完为止</w:t>
            </w:r>
          </w:p>
        </w:tc>
        <w:tc>
          <w:tcPr>
            <w:tcW w:w="1185" w:type="dxa"/>
            <w:noWrap w:val="0"/>
            <w:vAlign w:val="top"/>
          </w:tcPr>
          <w:p>
            <w:pPr>
              <w:spacing w:line="474" w:lineRule="auto"/>
              <w:jc w:val="center"/>
              <w:rPr>
                <w:rFonts w:ascii="宋体"/>
                <w:sz w:val="21"/>
              </w:rPr>
            </w:pPr>
          </w:p>
          <w:p>
            <w:pPr>
              <w:spacing w:before="49" w:line="184" w:lineRule="auto"/>
              <w:ind w:firstLine="45"/>
              <w:jc w:val="center"/>
              <w:rPr>
                <w:rFonts w:ascii="新宋体" w:hAnsi="新宋体" w:eastAsia="新宋体" w:cs="新宋体"/>
                <w:sz w:val="15"/>
                <w:szCs w:val="15"/>
              </w:rPr>
            </w:pPr>
            <w:r>
              <w:rPr>
                <w:rFonts w:ascii="新宋体" w:hAnsi="新宋体" w:eastAsia="新宋体" w:cs="新宋体"/>
                <w:spacing w:val="-6"/>
                <w:sz w:val="15"/>
                <w:szCs w:val="15"/>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line="362" w:lineRule="auto"/>
              <w:rPr>
                <w:rFonts w:ascii="宋体"/>
                <w:sz w:val="21"/>
              </w:rPr>
            </w:pPr>
          </w:p>
          <w:p>
            <w:pPr>
              <w:spacing w:before="48"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产出质量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8" w:line="184" w:lineRule="auto"/>
              <w:ind w:firstLine="173"/>
              <w:jc w:val="center"/>
              <w:rPr>
                <w:rFonts w:hint="eastAsia" w:ascii="新宋体" w:hAnsi="新宋体" w:eastAsia="新宋体" w:cs="新宋体"/>
                <w:spacing w:val="-3"/>
                <w:sz w:val="15"/>
                <w:szCs w:val="15"/>
                <w:lang w:eastAsia="zh-CN"/>
              </w:rPr>
            </w:pPr>
          </w:p>
          <w:p>
            <w:pPr>
              <w:spacing w:before="48" w:line="184" w:lineRule="auto"/>
              <w:ind w:firstLine="173"/>
              <w:jc w:val="center"/>
              <w:rPr>
                <w:rFonts w:hint="eastAsia" w:ascii="新宋体" w:hAnsi="新宋体" w:eastAsia="新宋体" w:cs="新宋体"/>
                <w:sz w:val="15"/>
                <w:szCs w:val="15"/>
                <w:lang w:eastAsia="zh-CN"/>
              </w:rPr>
            </w:pPr>
            <w:r>
              <w:rPr>
                <w:rFonts w:ascii="宋体" w:hAnsi="宋体"/>
                <w:sz w:val="18"/>
                <w:szCs w:val="18"/>
              </w:rPr>
              <w:t>违法建筑拆除验收合格率</w:t>
            </w:r>
          </w:p>
        </w:tc>
        <w:tc>
          <w:tcPr>
            <w:tcW w:w="505" w:type="dxa"/>
            <w:noWrap w:val="0"/>
            <w:vAlign w:val="top"/>
          </w:tcPr>
          <w:p>
            <w:pPr>
              <w:spacing w:before="180" w:line="228" w:lineRule="auto"/>
              <w:ind w:right="142"/>
              <w:jc w:val="center"/>
              <w:rPr>
                <w:rFonts w:hint="eastAsia" w:ascii="新宋体" w:hAnsi="新宋体" w:eastAsia="新宋体" w:cs="新宋体"/>
                <w:sz w:val="15"/>
                <w:szCs w:val="15"/>
                <w:lang w:val="en-US" w:eastAsia="zh-CN"/>
              </w:rPr>
            </w:pPr>
          </w:p>
          <w:p>
            <w:pPr>
              <w:spacing w:before="180" w:line="228" w:lineRule="auto"/>
              <w:ind w:right="14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8分</w:t>
            </w:r>
          </w:p>
        </w:tc>
        <w:tc>
          <w:tcPr>
            <w:tcW w:w="2471" w:type="dxa"/>
            <w:noWrap w:val="0"/>
            <w:vAlign w:val="top"/>
          </w:tcPr>
          <w:p>
            <w:pPr>
              <w:spacing w:before="180" w:line="228" w:lineRule="auto"/>
              <w:ind w:right="142"/>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昌江区城管局在打击两违方面实际完成工作数与计划工作数的比率，用以反映和考核单位履职工作任务目标的实际程度。</w:t>
            </w:r>
          </w:p>
        </w:tc>
        <w:tc>
          <w:tcPr>
            <w:tcW w:w="4431" w:type="dxa"/>
            <w:noWrap w:val="0"/>
            <w:vAlign w:val="top"/>
          </w:tcPr>
          <w:p>
            <w:pPr>
              <w:spacing w:before="181" w:line="184" w:lineRule="auto"/>
              <w:jc w:val="center"/>
              <w:rPr>
                <w:rFonts w:hint="eastAsia" w:ascii="新宋体" w:hAnsi="新宋体" w:eastAsia="新宋体" w:cs="新宋体"/>
                <w:spacing w:val="-3"/>
                <w:sz w:val="15"/>
                <w:szCs w:val="15"/>
                <w:lang w:eastAsia="zh-CN"/>
              </w:rPr>
            </w:pPr>
          </w:p>
          <w:p>
            <w:pPr>
              <w:spacing w:before="181" w:line="184" w:lineRule="auto"/>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实际完成率达</w:t>
            </w:r>
            <w:r>
              <w:rPr>
                <w:rFonts w:hint="eastAsia" w:ascii="新宋体" w:hAnsi="新宋体" w:eastAsia="新宋体" w:cs="新宋体"/>
                <w:sz w:val="15"/>
                <w:szCs w:val="15"/>
                <w:lang w:val="en-US" w:eastAsia="zh-CN"/>
              </w:rPr>
              <w:t>90%，则得满分。每降低1%扣5%权重分，扣完为止</w:t>
            </w:r>
          </w:p>
        </w:tc>
        <w:tc>
          <w:tcPr>
            <w:tcW w:w="1185" w:type="dxa"/>
            <w:noWrap w:val="0"/>
            <w:vAlign w:val="top"/>
          </w:tcPr>
          <w:p>
            <w:pPr>
              <w:spacing w:line="362" w:lineRule="auto"/>
              <w:jc w:val="center"/>
              <w:rPr>
                <w:rFonts w:ascii="宋体"/>
                <w:sz w:val="21"/>
              </w:rPr>
            </w:pPr>
          </w:p>
          <w:p>
            <w:pPr>
              <w:spacing w:before="48"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line="342" w:lineRule="auto"/>
              <w:rPr>
                <w:rFonts w:ascii="宋体"/>
                <w:sz w:val="21"/>
              </w:rPr>
            </w:pPr>
          </w:p>
          <w:p>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产出时效</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9" w:line="184" w:lineRule="auto"/>
              <w:ind w:firstLine="106"/>
              <w:jc w:val="both"/>
              <w:rPr>
                <w:rFonts w:hint="eastAsia" w:ascii="新宋体" w:hAnsi="新宋体" w:eastAsia="新宋体" w:cs="新宋体"/>
                <w:spacing w:val="-3"/>
                <w:sz w:val="15"/>
                <w:szCs w:val="15"/>
                <w:lang w:eastAsia="zh-CN"/>
              </w:rPr>
            </w:pPr>
          </w:p>
          <w:p>
            <w:pPr>
              <w:spacing w:before="49" w:line="184" w:lineRule="auto"/>
              <w:ind w:firstLine="106"/>
              <w:jc w:val="center"/>
              <w:rPr>
                <w:rFonts w:hint="eastAsia" w:ascii="新宋体" w:hAnsi="新宋体" w:eastAsia="新宋体" w:cs="新宋体"/>
                <w:spacing w:val="-3"/>
                <w:sz w:val="15"/>
                <w:szCs w:val="15"/>
                <w:lang w:eastAsia="zh-CN"/>
              </w:rPr>
            </w:pPr>
            <w:r>
              <w:rPr>
                <w:rFonts w:ascii="宋体" w:hAnsi="宋体"/>
                <w:color w:val="000000"/>
                <w:sz w:val="18"/>
                <w:szCs w:val="18"/>
              </w:rPr>
              <w:t>违法建筑拆除及时性</w:t>
            </w:r>
          </w:p>
        </w:tc>
        <w:tc>
          <w:tcPr>
            <w:tcW w:w="505" w:type="dxa"/>
            <w:noWrap w:val="0"/>
            <w:vAlign w:val="top"/>
          </w:tcPr>
          <w:p>
            <w:pPr>
              <w:spacing w:before="49" w:line="184" w:lineRule="auto"/>
              <w:jc w:val="center"/>
              <w:rPr>
                <w:rFonts w:hint="eastAsia" w:ascii="新宋体" w:hAnsi="新宋体" w:eastAsia="新宋体" w:cs="新宋体"/>
                <w:spacing w:val="-3"/>
                <w:sz w:val="15"/>
                <w:szCs w:val="15"/>
                <w:lang w:val="en-US" w:eastAsia="zh-CN"/>
              </w:rPr>
            </w:pPr>
          </w:p>
          <w:p>
            <w:pPr>
              <w:spacing w:before="49" w:line="184" w:lineRule="auto"/>
              <w:jc w:val="center"/>
              <w:rPr>
                <w:rFonts w:hint="default" w:ascii="新宋体" w:hAnsi="新宋体" w:eastAsia="新宋体" w:cs="新宋体"/>
                <w:spacing w:val="-3"/>
                <w:sz w:val="15"/>
                <w:szCs w:val="15"/>
                <w:lang w:val="en-US" w:eastAsia="zh-CN"/>
              </w:rPr>
            </w:pPr>
            <w:r>
              <w:rPr>
                <w:rFonts w:hint="eastAsia" w:ascii="新宋体" w:hAnsi="新宋体" w:eastAsia="新宋体" w:cs="新宋体"/>
                <w:spacing w:val="-3"/>
                <w:sz w:val="15"/>
                <w:szCs w:val="15"/>
                <w:lang w:val="en-US" w:eastAsia="zh-CN"/>
              </w:rPr>
              <w:t>8分</w:t>
            </w:r>
          </w:p>
        </w:tc>
        <w:tc>
          <w:tcPr>
            <w:tcW w:w="2471" w:type="dxa"/>
            <w:noWrap w:val="0"/>
            <w:vAlign w:val="top"/>
          </w:tcPr>
          <w:p>
            <w:pPr>
              <w:spacing w:before="49" w:line="184" w:lineRule="auto"/>
              <w:jc w:val="center"/>
              <w:rPr>
                <w:rFonts w:hint="eastAsia" w:ascii="新宋体" w:hAnsi="新宋体" w:eastAsia="新宋体" w:cs="新宋体"/>
                <w:spacing w:val="-3"/>
                <w:sz w:val="15"/>
                <w:szCs w:val="15"/>
                <w:lang w:val="en-US" w:eastAsia="zh-CN"/>
              </w:rPr>
            </w:pPr>
          </w:p>
          <w:p>
            <w:pPr>
              <w:spacing w:before="49" w:line="184" w:lineRule="auto"/>
              <w:jc w:val="center"/>
              <w:rPr>
                <w:rFonts w:hint="default" w:ascii="新宋体" w:hAnsi="新宋体" w:eastAsia="新宋体" w:cs="新宋体"/>
                <w:spacing w:val="-3"/>
                <w:sz w:val="15"/>
                <w:szCs w:val="15"/>
                <w:lang w:val="en-US" w:eastAsia="zh-CN"/>
              </w:rPr>
            </w:pPr>
            <w:r>
              <w:rPr>
                <w:rFonts w:hint="eastAsia" w:ascii="新宋体" w:hAnsi="新宋体" w:eastAsia="新宋体" w:cs="新宋体"/>
                <w:spacing w:val="-3"/>
                <w:sz w:val="15"/>
                <w:szCs w:val="15"/>
                <w:lang w:val="en-US" w:eastAsia="zh-CN"/>
              </w:rPr>
              <w:t>昌江区城管局在规定时限内及时完成的打击两违实际工作数。</w:t>
            </w:r>
          </w:p>
        </w:tc>
        <w:tc>
          <w:tcPr>
            <w:tcW w:w="4431" w:type="dxa"/>
            <w:noWrap w:val="0"/>
            <w:vAlign w:val="top"/>
          </w:tcPr>
          <w:p>
            <w:pPr>
              <w:spacing w:line="259" w:lineRule="auto"/>
              <w:rPr>
                <w:rFonts w:ascii="宋体"/>
                <w:sz w:val="21"/>
              </w:rPr>
            </w:pPr>
          </w:p>
          <w:p>
            <w:pPr>
              <w:spacing w:before="49" w:line="184" w:lineRule="auto"/>
              <w:ind w:firstLine="450" w:firstLineChars="3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实际完成及时</w:t>
            </w:r>
            <w:r>
              <w:rPr>
                <w:rFonts w:hint="eastAsia" w:ascii="新宋体" w:hAnsi="新宋体" w:eastAsia="新宋体" w:cs="新宋体"/>
                <w:sz w:val="15"/>
                <w:szCs w:val="15"/>
                <w:lang w:val="en-US" w:eastAsia="zh-CN"/>
              </w:rPr>
              <w:t>，则得满分，每降低1次扣50%权重分，扣完为止</w:t>
            </w:r>
          </w:p>
        </w:tc>
        <w:tc>
          <w:tcPr>
            <w:tcW w:w="1185" w:type="dxa"/>
            <w:noWrap w:val="0"/>
            <w:vAlign w:val="top"/>
          </w:tcPr>
          <w:p>
            <w:pPr>
              <w:spacing w:line="342" w:lineRule="auto"/>
              <w:jc w:val="center"/>
              <w:rPr>
                <w:rFonts w:ascii="宋体"/>
                <w:sz w:val="21"/>
              </w:rPr>
            </w:pPr>
          </w:p>
          <w:p>
            <w:pPr>
              <w:spacing w:before="49" w:line="184" w:lineRule="auto"/>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8" w:hRule="atLeast"/>
        </w:trPr>
        <w:tc>
          <w:tcPr>
            <w:tcW w:w="822" w:type="dxa"/>
            <w:vMerge w:val="continue"/>
            <w:tcBorders>
              <w:top w:val="nil"/>
            </w:tcBorders>
            <w:noWrap w:val="0"/>
            <w:vAlign w:val="top"/>
          </w:tcPr>
          <w:p>
            <w:pPr>
              <w:rPr>
                <w:rFonts w:ascii="宋体"/>
                <w:sz w:val="21"/>
              </w:rPr>
            </w:pPr>
          </w:p>
        </w:tc>
        <w:tc>
          <w:tcPr>
            <w:tcW w:w="818" w:type="dxa"/>
            <w:noWrap w:val="0"/>
            <w:vAlign w:val="top"/>
          </w:tcPr>
          <w:p>
            <w:pPr>
              <w:spacing w:line="429" w:lineRule="auto"/>
              <w:rPr>
                <w:rFonts w:ascii="宋体"/>
                <w:sz w:val="21"/>
              </w:rPr>
            </w:pPr>
          </w:p>
          <w:p>
            <w:pPr>
              <w:spacing w:before="49" w:line="184" w:lineRule="auto"/>
              <w:ind w:firstLine="106"/>
              <w:rPr>
                <w:rFonts w:hint="eastAsia" w:ascii="新宋体" w:hAnsi="新宋体" w:eastAsia="新宋体" w:cs="新宋体"/>
                <w:sz w:val="15"/>
                <w:szCs w:val="15"/>
                <w:lang w:val="en-US" w:eastAsia="zh-CN"/>
              </w:rPr>
            </w:pPr>
            <w:r>
              <w:rPr>
                <w:rFonts w:ascii="新宋体" w:hAnsi="新宋体" w:eastAsia="新宋体" w:cs="新宋体"/>
                <w:spacing w:val="-3"/>
                <w:sz w:val="15"/>
                <w:szCs w:val="15"/>
              </w:rPr>
              <w:t>产出成本</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9" w:line="184" w:lineRule="auto"/>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违法建筑拆除成本</w:t>
            </w:r>
          </w:p>
        </w:tc>
        <w:tc>
          <w:tcPr>
            <w:tcW w:w="505" w:type="dxa"/>
            <w:noWrap w:val="0"/>
            <w:vAlign w:val="top"/>
          </w:tcPr>
          <w:p>
            <w:pPr>
              <w:spacing w:before="48" w:line="184" w:lineRule="auto"/>
              <w:ind w:firstLine="173"/>
              <w:jc w:val="center"/>
              <w:rPr>
                <w:rFonts w:hint="eastAsia" w:ascii="新宋体" w:hAnsi="新宋体" w:eastAsia="新宋体" w:cs="新宋体"/>
                <w:sz w:val="15"/>
                <w:szCs w:val="15"/>
                <w:lang w:val="en-US" w:eastAsia="zh-CN"/>
              </w:rPr>
            </w:pPr>
          </w:p>
          <w:p>
            <w:pPr>
              <w:spacing w:before="48" w:line="184" w:lineRule="auto"/>
              <w:ind w:firstLine="173"/>
              <w:jc w:val="both"/>
              <w:rPr>
                <w:rFonts w:hint="eastAsia" w:ascii="新宋体" w:hAnsi="新宋体" w:eastAsia="新宋体" w:cs="新宋体"/>
                <w:sz w:val="15"/>
                <w:szCs w:val="15"/>
                <w:lang w:val="en-US" w:eastAsia="zh-CN"/>
              </w:rPr>
            </w:pPr>
          </w:p>
          <w:p>
            <w:pPr>
              <w:spacing w:before="48" w:line="184" w:lineRule="auto"/>
              <w:ind w:firstLine="173"/>
              <w:jc w:val="both"/>
              <w:rPr>
                <w:rFonts w:hint="eastAsia" w:ascii="新宋体" w:hAnsi="新宋体" w:eastAsia="新宋体" w:cs="新宋体"/>
                <w:sz w:val="15"/>
                <w:szCs w:val="15"/>
                <w:lang w:val="en-US" w:eastAsia="zh-CN"/>
              </w:rPr>
            </w:pPr>
          </w:p>
          <w:p>
            <w:pPr>
              <w:spacing w:before="48" w:line="184" w:lineRule="auto"/>
              <w:ind w:firstLine="173"/>
              <w:jc w:val="both"/>
              <w:rPr>
                <w:rFonts w:hint="default" w:ascii="Arial" w:hAnsi="Arial" w:eastAsia="Arial" w:cs="Arial"/>
                <w:snapToGrid w:val="0"/>
                <w:color w:val="000000"/>
                <w:kern w:val="0"/>
                <w:sz w:val="21"/>
                <w:szCs w:val="21"/>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pPr>
              <w:spacing w:before="260" w:line="228" w:lineRule="auto"/>
              <w:ind w:right="92"/>
              <w:jc w:val="center"/>
              <w:rPr>
                <w:rFonts w:hint="eastAsia" w:ascii="新宋体" w:hAnsi="新宋体" w:eastAsia="新宋体" w:cs="新宋体"/>
                <w:sz w:val="15"/>
                <w:szCs w:val="15"/>
                <w:lang w:val="en-US" w:eastAsia="zh-CN"/>
              </w:rPr>
            </w:pPr>
          </w:p>
          <w:p>
            <w:pPr>
              <w:spacing w:before="260" w:line="228" w:lineRule="auto"/>
              <w:ind w:right="9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昌江区城管局在打击两违方面完成的经费金额，用以反映和考核单位履职工作任务目标的实际数。</w:t>
            </w:r>
          </w:p>
        </w:tc>
        <w:tc>
          <w:tcPr>
            <w:tcW w:w="4431" w:type="dxa"/>
            <w:noWrap w:val="0"/>
            <w:vAlign w:val="top"/>
          </w:tcPr>
          <w:p>
            <w:pPr>
              <w:spacing w:before="168" w:line="184" w:lineRule="auto"/>
              <w:ind w:firstLine="30"/>
              <w:jc w:val="both"/>
              <w:rPr>
                <w:rFonts w:hint="eastAsia" w:ascii="新宋体" w:hAnsi="新宋体" w:eastAsia="新宋体" w:cs="新宋体"/>
                <w:sz w:val="15"/>
                <w:szCs w:val="15"/>
                <w:lang w:val="en-US" w:eastAsia="zh-CN"/>
              </w:rPr>
            </w:pPr>
          </w:p>
          <w:p>
            <w:pPr>
              <w:spacing w:before="168" w:line="184" w:lineRule="auto"/>
              <w:ind w:firstLine="1069" w:firstLineChars="713"/>
              <w:jc w:val="both"/>
              <w:rPr>
                <w:rFonts w:hint="eastAsia" w:ascii="新宋体" w:hAnsi="新宋体" w:eastAsia="新宋体" w:cs="新宋体"/>
                <w:sz w:val="15"/>
                <w:szCs w:val="15"/>
                <w:lang w:eastAsia="zh-CN"/>
              </w:rPr>
            </w:pPr>
          </w:p>
          <w:p>
            <w:pPr>
              <w:spacing w:before="168" w:line="184" w:lineRule="auto"/>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实际完成经费金额为</w:t>
            </w:r>
            <w:r>
              <w:rPr>
                <w:rFonts w:hint="eastAsia" w:ascii="新宋体" w:hAnsi="新宋体" w:eastAsia="新宋体" w:cs="新宋体"/>
                <w:sz w:val="15"/>
                <w:szCs w:val="15"/>
                <w:lang w:val="en-US" w:eastAsia="zh-CN"/>
              </w:rPr>
              <w:t>10万元，则得满分，每降低1万元扣5%权重分，扣完为止</w:t>
            </w:r>
          </w:p>
        </w:tc>
        <w:tc>
          <w:tcPr>
            <w:tcW w:w="1185" w:type="dxa"/>
            <w:noWrap w:val="0"/>
            <w:vAlign w:val="top"/>
          </w:tcPr>
          <w:p>
            <w:pPr>
              <w:spacing w:line="429" w:lineRule="auto"/>
              <w:jc w:val="center"/>
              <w:rPr>
                <w:rFonts w:ascii="宋体"/>
                <w:sz w:val="21"/>
              </w:rPr>
            </w:pPr>
          </w:p>
          <w:p>
            <w:pPr>
              <w:spacing w:before="49" w:line="184" w:lineRule="auto"/>
              <w:ind w:firstLine="45"/>
              <w:jc w:val="center"/>
              <w:rPr>
                <w:rFonts w:hint="eastAsia" w:ascii="新宋体" w:hAnsi="新宋体" w:eastAsia="新宋体" w:cs="新宋体"/>
                <w:spacing w:val="-6"/>
                <w:sz w:val="15"/>
                <w:szCs w:val="15"/>
                <w:lang w:val="en-US" w:eastAsia="zh-CN"/>
              </w:rPr>
            </w:pPr>
          </w:p>
          <w:p>
            <w:pPr>
              <w:spacing w:before="49"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bl>
    <w:p>
      <w:pPr>
        <w:spacing w:line="341" w:lineRule="auto"/>
        <w:rPr>
          <w:rFonts w:ascii="宋体"/>
          <w:sz w:val="21"/>
        </w:rPr>
      </w:pPr>
    </w:p>
    <w:p>
      <w:pPr>
        <w:spacing w:before="39" w:line="183" w:lineRule="auto"/>
        <w:rPr>
          <w:rFonts w:ascii="新宋体" w:hAnsi="新宋体" w:eastAsia="新宋体" w:cs="新宋体"/>
          <w:sz w:val="12"/>
          <w:szCs w:val="12"/>
        </w:rPr>
      </w:pPr>
    </w:p>
    <w:p>
      <w:pPr>
        <w:spacing w:line="107" w:lineRule="exact"/>
      </w:pPr>
    </w:p>
    <w:tbl>
      <w:tblPr>
        <w:tblStyle w:val="20"/>
        <w:tblpPr w:leftFromText="180" w:rightFromText="180" w:vertAnchor="text" w:horzAnchor="page" w:tblpX="695" w:tblpY="153"/>
        <w:tblOverlap w:val="never"/>
        <w:tblW w:w="11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823"/>
        <w:gridCol w:w="1091"/>
        <w:gridCol w:w="478"/>
        <w:gridCol w:w="2484"/>
        <w:gridCol w:w="4445"/>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2" w:hRule="atLeast"/>
        </w:trPr>
        <w:tc>
          <w:tcPr>
            <w:tcW w:w="786" w:type="dxa"/>
            <w:noWrap w:val="0"/>
            <w:vAlign w:val="top"/>
          </w:tcPr>
          <w:p>
            <w:pPr>
              <w:spacing w:before="37" w:line="228" w:lineRule="auto"/>
              <w:ind w:firstLine="264"/>
              <w:rPr>
                <w:rFonts w:ascii="新宋体" w:hAnsi="新宋体" w:eastAsia="新宋体" w:cs="新宋体"/>
                <w:spacing w:val="-5"/>
                <w:sz w:val="15"/>
                <w:szCs w:val="15"/>
              </w:rPr>
            </w:pPr>
          </w:p>
          <w:p>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2"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23" w:type="dxa"/>
            <w:tcBorders>
              <w:bottom w:val="single" w:color="auto" w:sz="4" w:space="0"/>
            </w:tcBorders>
            <w:noWrap w:val="0"/>
            <w:vAlign w:val="top"/>
          </w:tcPr>
          <w:p>
            <w:pPr>
              <w:spacing w:before="129" w:line="184" w:lineRule="auto"/>
              <w:ind w:firstLine="109"/>
              <w:rPr>
                <w:rFonts w:ascii="新宋体" w:hAnsi="新宋体" w:eastAsia="新宋体" w:cs="新宋体"/>
                <w:spacing w:val="-3"/>
                <w:sz w:val="15"/>
                <w:szCs w:val="15"/>
              </w:rPr>
            </w:pPr>
          </w:p>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pPr>
              <w:spacing w:before="129" w:line="184" w:lineRule="auto"/>
              <w:ind w:firstLine="247"/>
              <w:rPr>
                <w:rFonts w:ascii="新宋体" w:hAnsi="新宋体" w:eastAsia="新宋体" w:cs="新宋体"/>
                <w:spacing w:val="-3"/>
                <w:sz w:val="15"/>
                <w:szCs w:val="15"/>
              </w:rPr>
            </w:pPr>
          </w:p>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78" w:type="dxa"/>
            <w:noWrap w:val="0"/>
            <w:vAlign w:val="top"/>
          </w:tcPr>
          <w:p>
            <w:pPr>
              <w:spacing w:before="129" w:line="184" w:lineRule="auto"/>
              <w:ind w:firstLine="144" w:firstLineChars="100"/>
              <w:jc w:val="both"/>
              <w:rPr>
                <w:rFonts w:hint="eastAsia" w:ascii="新宋体" w:hAnsi="新宋体" w:eastAsia="新宋体" w:cs="新宋体"/>
                <w:spacing w:val="-3"/>
                <w:sz w:val="15"/>
                <w:szCs w:val="15"/>
                <w:lang w:eastAsia="zh-CN"/>
              </w:rPr>
            </w:pPr>
          </w:p>
          <w:p>
            <w:pPr>
              <w:spacing w:before="129" w:line="184" w:lineRule="auto"/>
              <w:ind w:firstLine="144" w:firstLineChars="100"/>
              <w:jc w:val="both"/>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84" w:type="dxa"/>
            <w:noWrap w:val="0"/>
            <w:vAlign w:val="top"/>
          </w:tcPr>
          <w:p>
            <w:pPr>
              <w:spacing w:before="129" w:line="184" w:lineRule="auto"/>
              <w:ind w:firstLine="772"/>
              <w:rPr>
                <w:rFonts w:ascii="新宋体" w:hAnsi="新宋体" w:eastAsia="新宋体" w:cs="新宋体"/>
                <w:spacing w:val="-3"/>
                <w:sz w:val="15"/>
                <w:szCs w:val="15"/>
              </w:rPr>
            </w:pPr>
          </w:p>
          <w:p>
            <w:pPr>
              <w:spacing w:before="129" w:line="184" w:lineRule="auto"/>
              <w:ind w:firstLine="772"/>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p>
          <w:p>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r>
              <w:rPr>
                <w:rFonts w:hint="eastAsia" w:ascii="新宋体" w:hAnsi="新宋体" w:eastAsia="新宋体" w:cs="新宋体"/>
                <w:spacing w:val="-4"/>
                <w:sz w:val="15"/>
                <w:szCs w:val="15"/>
                <w:lang w:eastAsia="zh-CN"/>
              </w:rPr>
              <w:t>评分标准</w:t>
            </w:r>
          </w:p>
        </w:tc>
        <w:tc>
          <w:tcPr>
            <w:tcW w:w="1184" w:type="dxa"/>
            <w:noWrap w:val="0"/>
            <w:vAlign w:val="top"/>
          </w:tcPr>
          <w:p>
            <w:pPr>
              <w:spacing w:before="129" w:line="184" w:lineRule="auto"/>
              <w:ind w:firstLine="35"/>
              <w:jc w:val="center"/>
              <w:rPr>
                <w:rFonts w:ascii="新宋体" w:hAnsi="新宋体" w:eastAsia="新宋体" w:cs="新宋体"/>
                <w:spacing w:val="-4"/>
                <w:sz w:val="15"/>
                <w:szCs w:val="15"/>
              </w:rPr>
            </w:pPr>
          </w:p>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6" w:type="dxa"/>
            <w:vMerge w:val="restart"/>
            <w:tcBorders>
              <w:bottom w:val="nil"/>
              <w:righ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p>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效益（</w:t>
            </w:r>
            <w:r>
              <w:rPr>
                <w:rFonts w:hint="eastAsia" w:ascii="新宋体" w:hAnsi="新宋体" w:eastAsia="新宋体" w:cs="新宋体"/>
                <w:sz w:val="15"/>
                <w:szCs w:val="15"/>
                <w:lang w:val="en-US" w:eastAsia="zh-CN"/>
              </w:rPr>
              <w:t>26分</w:t>
            </w:r>
            <w:r>
              <w:rPr>
                <w:rFonts w:hint="eastAsia" w:ascii="新宋体" w:hAnsi="新宋体" w:eastAsia="新宋体" w:cs="新宋体"/>
                <w:sz w:val="15"/>
                <w:szCs w:val="15"/>
                <w:lang w:eastAsia="zh-CN"/>
              </w:rPr>
              <w:t>）</w:t>
            </w: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社会效益（</w:t>
            </w:r>
            <w:r>
              <w:rPr>
                <w:rFonts w:hint="eastAsia" w:ascii="新宋体" w:hAnsi="新宋体" w:eastAsia="新宋体" w:cs="新宋体"/>
                <w:sz w:val="15"/>
                <w:szCs w:val="15"/>
                <w:lang w:val="en-US" w:eastAsia="zh-CN"/>
              </w:rPr>
              <w:t>21分</w:t>
            </w:r>
            <w:r>
              <w:rPr>
                <w:rFonts w:hint="eastAsia" w:ascii="新宋体" w:hAnsi="新宋体" w:eastAsia="新宋体" w:cs="新宋体"/>
                <w:sz w:val="15"/>
                <w:szCs w:val="15"/>
                <w:lang w:eastAsia="zh-CN"/>
              </w:rPr>
              <w:t>）</w:t>
            </w:r>
          </w:p>
          <w:p>
            <w:pPr>
              <w:spacing w:before="237" w:line="184" w:lineRule="auto"/>
              <w:ind w:firstLine="250"/>
              <w:jc w:val="center"/>
              <w:rPr>
                <w:rFonts w:hint="eastAsia" w:ascii="新宋体" w:hAnsi="新宋体" w:eastAsia="新宋体" w:cs="新宋体"/>
                <w:sz w:val="15"/>
                <w:szCs w:val="15"/>
                <w:lang w:eastAsia="zh-CN"/>
              </w:rPr>
            </w:pPr>
          </w:p>
        </w:tc>
        <w:tc>
          <w:tcPr>
            <w:tcW w:w="1091" w:type="dxa"/>
            <w:tcBorders>
              <w:lef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ascii="宋体" w:hAnsi="宋体"/>
                <w:sz w:val="18"/>
                <w:szCs w:val="18"/>
              </w:rPr>
              <w:t>安全生产隐患排查数</w:t>
            </w:r>
          </w:p>
        </w:tc>
        <w:tc>
          <w:tcPr>
            <w:tcW w:w="478" w:type="dxa"/>
            <w:noWrap w:val="0"/>
            <w:vAlign w:val="top"/>
          </w:tcPr>
          <w:p>
            <w:pPr>
              <w:spacing w:before="237" w:line="184" w:lineRule="auto"/>
              <w:ind w:firstLine="150" w:firstLineChars="1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c>
          <w:tcPr>
            <w:tcW w:w="2484" w:type="dxa"/>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考核昌江区城管局在打击两违方面完成的情况</w:t>
            </w:r>
          </w:p>
        </w:tc>
        <w:tc>
          <w:tcPr>
            <w:tcW w:w="4445" w:type="dxa"/>
            <w:noWrap w:val="0"/>
            <w:vAlign w:val="top"/>
          </w:tcPr>
          <w:p>
            <w:pPr>
              <w:spacing w:before="237" w:line="184" w:lineRule="auto"/>
              <w:ind w:firstLine="1500" w:firstLineChars="10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实际完成数量达</w:t>
            </w:r>
            <w:r>
              <w:rPr>
                <w:rFonts w:hint="eastAsia" w:ascii="新宋体" w:hAnsi="新宋体" w:eastAsia="新宋体" w:cs="新宋体"/>
                <w:sz w:val="15"/>
                <w:szCs w:val="15"/>
                <w:lang w:val="en-US" w:eastAsia="zh-CN"/>
              </w:rPr>
              <w:t>100处，则得满分，每降低1%扣5%权重分，扣完为止</w:t>
            </w:r>
          </w:p>
        </w:tc>
        <w:tc>
          <w:tcPr>
            <w:tcW w:w="1184" w:type="dxa"/>
            <w:noWrap w:val="0"/>
            <w:vAlign w:val="top"/>
          </w:tcPr>
          <w:p>
            <w:pPr>
              <w:spacing w:before="237"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21</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786" w:type="dxa"/>
            <w:vMerge w:val="continue"/>
            <w:tcBorders>
              <w:top w:val="nil"/>
              <w:righ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满意度指标（</w:t>
            </w:r>
            <w:r>
              <w:rPr>
                <w:rFonts w:hint="eastAsia" w:ascii="新宋体" w:hAnsi="新宋体" w:eastAsia="新宋体" w:cs="新宋体"/>
                <w:sz w:val="15"/>
                <w:szCs w:val="15"/>
                <w:lang w:val="en-US" w:eastAsia="zh-CN"/>
              </w:rPr>
              <w:t>5分</w:t>
            </w:r>
            <w:r>
              <w:rPr>
                <w:rFonts w:hint="eastAsia" w:ascii="新宋体" w:hAnsi="新宋体" w:eastAsia="新宋体" w:cs="新宋体"/>
                <w:sz w:val="15"/>
                <w:szCs w:val="15"/>
                <w:lang w:eastAsia="zh-CN"/>
              </w:rPr>
              <w:t>）</w:t>
            </w:r>
          </w:p>
        </w:tc>
        <w:tc>
          <w:tcPr>
            <w:tcW w:w="1091" w:type="dxa"/>
            <w:tcBorders>
              <w:lef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社会公众满意度</w:t>
            </w:r>
          </w:p>
        </w:tc>
        <w:tc>
          <w:tcPr>
            <w:tcW w:w="478" w:type="dxa"/>
            <w:noWrap w:val="0"/>
            <w:vAlign w:val="top"/>
          </w:tcPr>
          <w:p>
            <w:pPr>
              <w:spacing w:before="170" w:line="227" w:lineRule="auto"/>
              <w:ind w:right="16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5分</w:t>
            </w:r>
          </w:p>
        </w:tc>
        <w:tc>
          <w:tcPr>
            <w:tcW w:w="2484" w:type="dxa"/>
            <w:noWrap w:val="0"/>
            <w:vAlign w:val="top"/>
          </w:tcPr>
          <w:p>
            <w:pPr>
              <w:spacing w:before="170" w:line="227" w:lineRule="auto"/>
              <w:ind w:left="29" w:right="160" w:firstLine="1"/>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广大群众及社会舆论对工作满意度</w:t>
            </w:r>
          </w:p>
        </w:tc>
        <w:tc>
          <w:tcPr>
            <w:tcW w:w="4445" w:type="dxa"/>
            <w:noWrap w:val="0"/>
            <w:vAlign w:val="top"/>
          </w:tcPr>
          <w:p>
            <w:pPr>
              <w:spacing w:before="262" w:line="184" w:lineRule="auto"/>
              <w:ind w:left="-116" w:leftChars="-127" w:hanging="151" w:hangingChars="110"/>
              <w:jc w:val="center"/>
              <w:rPr>
                <w:rFonts w:hint="default" w:ascii="新宋体" w:hAnsi="新宋体" w:eastAsia="新宋体" w:cs="新宋体"/>
                <w:spacing w:val="-6"/>
                <w:sz w:val="15"/>
                <w:szCs w:val="15"/>
                <w:lang w:val="en-US" w:eastAsia="zh-CN"/>
              </w:rPr>
            </w:pPr>
            <w:r>
              <w:rPr>
                <w:rFonts w:hint="eastAsia" w:ascii="新宋体" w:hAnsi="新宋体" w:eastAsia="新宋体" w:cs="新宋体"/>
                <w:spacing w:val="-6"/>
                <w:sz w:val="15"/>
                <w:szCs w:val="15"/>
                <w:lang w:val="en-US" w:eastAsia="zh-CN"/>
              </w:rPr>
              <w:t xml:space="preserve">        95%（含95%）-100%之间为5分，80%-95%为4分，70%-80%为2分，60%-70%为1分，60%以下为0分</w:t>
            </w:r>
          </w:p>
        </w:tc>
        <w:tc>
          <w:tcPr>
            <w:tcW w:w="1184" w:type="dxa"/>
            <w:noWrap w:val="0"/>
            <w:vAlign w:val="top"/>
          </w:tcPr>
          <w:p>
            <w:pPr>
              <w:spacing w:before="262"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5</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 w:hRule="atLeast"/>
        </w:trPr>
        <w:tc>
          <w:tcPr>
            <w:tcW w:w="786" w:type="dxa"/>
            <w:noWrap w:val="0"/>
            <w:vAlign w:val="top"/>
          </w:tcPr>
          <w:p>
            <w:pPr>
              <w:spacing w:before="90" w:line="184" w:lineRule="auto"/>
              <w:ind w:firstLine="265"/>
              <w:jc w:val="center"/>
              <w:rPr>
                <w:rFonts w:hint="eastAsia" w:ascii="新宋体" w:hAnsi="新宋体" w:eastAsia="新宋体" w:cs="新宋体"/>
                <w:sz w:val="15"/>
                <w:szCs w:val="15"/>
                <w:lang w:eastAsia="zh-CN"/>
              </w:rPr>
            </w:pPr>
          </w:p>
          <w:p>
            <w:pPr>
              <w:spacing w:before="90" w:line="184" w:lineRule="auto"/>
              <w:ind w:firstLine="265"/>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合计</w:t>
            </w:r>
          </w:p>
        </w:tc>
        <w:tc>
          <w:tcPr>
            <w:tcW w:w="2392" w:type="dxa"/>
            <w:gridSpan w:val="3"/>
            <w:noWrap w:val="0"/>
            <w:vAlign w:val="top"/>
          </w:tcPr>
          <w:p>
            <w:pPr>
              <w:spacing w:before="237" w:line="184" w:lineRule="auto"/>
              <w:ind w:firstLine="900" w:firstLineChars="6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100</w:t>
            </w:r>
          </w:p>
        </w:tc>
        <w:tc>
          <w:tcPr>
            <w:tcW w:w="6929" w:type="dxa"/>
            <w:gridSpan w:val="2"/>
            <w:noWrap w:val="0"/>
            <w:vAlign w:val="top"/>
          </w:tcPr>
          <w:p>
            <w:pPr>
              <w:spacing w:before="90" w:line="184" w:lineRule="auto"/>
              <w:ind w:left="-111" w:leftChars="-127" w:hanging="156" w:hangingChars="110"/>
              <w:rPr>
                <w:rFonts w:ascii="新宋体" w:hAnsi="新宋体" w:eastAsia="新宋体" w:cs="新宋体"/>
                <w:spacing w:val="-4"/>
                <w:sz w:val="15"/>
                <w:szCs w:val="15"/>
              </w:rPr>
            </w:pPr>
          </w:p>
        </w:tc>
        <w:tc>
          <w:tcPr>
            <w:tcW w:w="1184" w:type="dxa"/>
            <w:noWrap w:val="0"/>
            <w:vAlign w:val="top"/>
          </w:tcPr>
          <w:p>
            <w:pPr>
              <w:spacing w:before="90" w:line="184" w:lineRule="auto"/>
              <w:ind w:firstLine="45"/>
              <w:jc w:val="center"/>
              <w:rPr>
                <w:rFonts w:ascii="新宋体" w:hAnsi="新宋体" w:eastAsia="新宋体" w:cs="新宋体"/>
                <w:sz w:val="15"/>
                <w:szCs w:val="15"/>
              </w:rPr>
            </w:pPr>
            <w:r>
              <w:rPr>
                <w:rFonts w:ascii="新宋体" w:hAnsi="新宋体" w:eastAsia="新宋体" w:cs="新宋体"/>
                <w:spacing w:val="-4"/>
                <w:sz w:val="15"/>
                <w:szCs w:val="15"/>
              </w:rPr>
              <w:t>100分</w:t>
            </w:r>
          </w:p>
        </w:tc>
      </w:tr>
    </w:tbl>
    <w:p>
      <w:pPr>
        <w:numPr>
          <w:ilvl w:val="0"/>
          <w:numId w:val="0"/>
        </w:numPr>
        <w:spacing w:line="600" w:lineRule="exact"/>
        <w:ind w:firstLine="640" w:firstLineChars="200"/>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3、评价方法：</w:t>
      </w:r>
      <w:r>
        <w:rPr>
          <w:rFonts w:hint="eastAsia" w:ascii="仿宋" w:hAnsi="仿宋" w:eastAsia="仿宋" w:cs="仿宋_GB2312"/>
          <w:sz w:val="32"/>
          <w:szCs w:val="40"/>
          <w:lang w:val="en-US" w:eastAsia="zh-CN"/>
        </w:rPr>
        <w:t>昌江区城市管理局</w:t>
      </w:r>
      <w:r>
        <w:rPr>
          <w:rFonts w:hint="default" w:ascii="仿宋" w:hAnsi="仿宋" w:eastAsia="仿宋" w:cs="仿宋_GB2312"/>
          <w:sz w:val="32"/>
          <w:szCs w:val="40"/>
          <w:lang w:val="en-US" w:eastAsia="zh-CN"/>
        </w:rPr>
        <w:t>20</w:t>
      </w:r>
      <w:r>
        <w:rPr>
          <w:rFonts w:hint="eastAsia" w:ascii="仿宋" w:hAnsi="仿宋" w:eastAsia="仿宋" w:cs="仿宋_GB2312"/>
          <w:sz w:val="32"/>
          <w:szCs w:val="40"/>
          <w:lang w:val="en-US" w:eastAsia="zh-CN"/>
        </w:rPr>
        <w:t>23</w:t>
      </w:r>
      <w:r>
        <w:rPr>
          <w:rFonts w:hint="default" w:ascii="仿宋" w:hAnsi="仿宋" w:eastAsia="仿宋" w:cs="仿宋_GB2312"/>
          <w:sz w:val="32"/>
          <w:szCs w:val="40"/>
          <w:lang w:val="en-US" w:eastAsia="zh-CN"/>
        </w:rPr>
        <w:t>年</w:t>
      </w:r>
      <w:r>
        <w:rPr>
          <w:rFonts w:hint="eastAsia" w:ascii="仿宋" w:hAnsi="仿宋" w:eastAsia="仿宋" w:cs="仿宋_GB2312"/>
          <w:sz w:val="32"/>
          <w:szCs w:val="40"/>
          <w:lang w:val="en-US" w:eastAsia="zh-CN"/>
        </w:rPr>
        <w:t>打击两违专项经费项目</w:t>
      </w:r>
      <w:r>
        <w:rPr>
          <w:rFonts w:hint="default" w:ascii="仿宋" w:hAnsi="仿宋" w:eastAsia="仿宋" w:cs="仿宋_GB2312"/>
          <w:sz w:val="32"/>
          <w:szCs w:val="40"/>
          <w:lang w:val="en-US" w:eastAsia="zh-CN"/>
        </w:rPr>
        <w:t>绩效评价工作采用目标管理法、结果比较法等科学方法进行客观评价。</w:t>
      </w:r>
    </w:p>
    <w:p>
      <w:pPr>
        <w:numPr>
          <w:ilvl w:val="0"/>
          <w:numId w:val="0"/>
        </w:numPr>
        <w:spacing w:line="600" w:lineRule="exact"/>
        <w:ind w:firstLine="640" w:firstLineChars="200"/>
        <w:rPr>
          <w:rFonts w:hint="default"/>
          <w:lang w:val="en-US" w:eastAsia="zh-CN"/>
        </w:rPr>
      </w:pPr>
      <w:r>
        <w:rPr>
          <w:rFonts w:hint="default" w:ascii="仿宋" w:hAnsi="仿宋" w:eastAsia="仿宋" w:cs="仿宋_GB2312"/>
          <w:sz w:val="32"/>
          <w:szCs w:val="40"/>
          <w:lang w:val="en-US" w:eastAsia="zh-CN"/>
        </w:rPr>
        <w:t>4、评价标准：绩效评价以《</w:t>
      </w:r>
      <w:r>
        <w:rPr>
          <w:rFonts w:hint="eastAsia" w:ascii="仿宋" w:hAnsi="仿宋" w:eastAsia="仿宋" w:cs="仿宋_GB2312"/>
          <w:sz w:val="32"/>
          <w:szCs w:val="40"/>
          <w:lang w:val="en-US" w:eastAsia="zh-CN"/>
        </w:rPr>
        <w:t>项目支出绩效评价指标体系框架</w:t>
      </w:r>
      <w:r>
        <w:rPr>
          <w:rFonts w:hint="default" w:ascii="仿宋" w:hAnsi="仿宋" w:eastAsia="仿宋" w:cs="仿宋_GB2312"/>
          <w:sz w:val="32"/>
          <w:szCs w:val="40"/>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pPr>
        <w:numPr>
          <w:ilvl w:val="0"/>
          <w:numId w:val="4"/>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pPr>
        <w:keepNext w:val="0"/>
        <w:keepLines w:val="0"/>
        <w:pageBreakBefore w:val="0"/>
        <w:widowControl w:val="0"/>
        <w:kinsoku/>
        <w:wordWrap/>
        <w:overflowPunct/>
        <w:topLinePunct w:val="0"/>
        <w:autoSpaceDE/>
        <w:autoSpaceDN/>
        <w:bidi w:val="0"/>
        <w:adjustRightInd/>
        <w:snapToGrid/>
        <w:spacing w:line="240" w:lineRule="auto"/>
        <w:ind w:firstLine="900" w:firstLineChars="3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根据绩效评价工作要求，我局成立了绩效评价工作小组，对照自评方案进行研究和布署，党组成员及各科室全程参与，按照自评方案的要求，对照各实施项目的内容逐条逐项自评。在自评过程中，发现问题，查找原因，及时纠正偏差，为下一步工作夯实基础。</w:t>
      </w:r>
    </w:p>
    <w:p>
      <w:pPr>
        <w:numPr>
          <w:ilvl w:val="0"/>
          <w:numId w:val="2"/>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pPr>
        <w:keepNext w:val="0"/>
        <w:keepLines w:val="0"/>
        <w:pageBreakBefore w:val="0"/>
        <w:widowControl w:val="0"/>
        <w:kinsoku/>
        <w:wordWrap/>
        <w:overflowPunct/>
        <w:topLinePunct w:val="0"/>
        <w:autoSpaceDE/>
        <w:autoSpaceDN/>
        <w:bidi w:val="0"/>
        <w:adjustRightInd/>
        <w:snapToGrid/>
        <w:spacing w:line="240" w:lineRule="auto"/>
        <w:ind w:firstLine="900" w:firstLineChars="3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根据对我局2023年度部门财政项目支出绩效评价指标体系和绩效情况的检查，2023年我局项目打击两违专项经费绩效自评分为100分、评价分为97分，为“优”等级（详见附件项目支出绩效自评表）。我局对“两违”建筑始终保持“零容忍”，控制“两违”坚持抓细、抓早、抓小，将违建苗头控制在萌芽；加强了对夜间偷建、抢建“两违”现象的打击力度，做到对“两违”行为及时发现坚持拆违抓实；坚持控增量，去存量，违法建设大幅度减少。今年以来，共下达《违法用地和违章建筑告知单》135份，《违法用地和违章建筑催办单》131份，《违法用地和违章建筑督办单》130份，</w:t>
      </w:r>
      <w:r>
        <w:rPr>
          <w:rFonts w:hint="eastAsia" w:ascii="仿宋" w:hAnsi="仿宋" w:eastAsia="仿宋" w:cs="仿宋"/>
          <w:color w:val="auto"/>
          <w:sz w:val="32"/>
          <w:szCs w:val="32"/>
          <w:lang w:val="en-US" w:eastAsia="zh-CN"/>
        </w:rPr>
        <w:t>共拆除各类“两违”建筑137处，拆除总面积约为6264平方米</w:t>
      </w:r>
      <w:r>
        <w:rPr>
          <w:rFonts w:hint="eastAsia" w:ascii="仿宋_GB2312" w:hAnsi="Times New Roman" w:eastAsia="仿宋_GB2312" w:cs="Times New Roman"/>
          <w:kern w:val="2"/>
          <w:sz w:val="30"/>
          <w:szCs w:val="24"/>
          <w:lang w:val="en-US" w:eastAsia="zh-CN" w:bidi="ar-SA"/>
        </w:rPr>
        <w:t>，遏制了违建的反弹势头。</w:t>
      </w:r>
    </w:p>
    <w:tbl>
      <w:tblPr>
        <w:tblStyle w:val="6"/>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1"/>
        <w:gridCol w:w="608"/>
        <w:gridCol w:w="1634"/>
        <w:gridCol w:w="1391"/>
        <w:gridCol w:w="621"/>
        <w:gridCol w:w="851"/>
        <w:gridCol w:w="1148"/>
        <w:gridCol w:w="554"/>
        <w:gridCol w:w="621"/>
        <w:gridCol w:w="621"/>
        <w:gridCol w:w="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8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88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打击两违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大力打击区域“两违”行为，有效维护城市规划和城市建设秩序。</w:t>
            </w:r>
          </w:p>
        </w:tc>
        <w:tc>
          <w:tcPr>
            <w:tcW w:w="3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混凝土结构件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拆除违法违建（平方米）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违法建筑拆除验收合格率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违法建筑拆除及时率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安全隐患排查数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ascii="Times New Roman" w:hAnsi="Times New Roman" w:eastAsia="宋体" w:cs="Times New Roman"/>
          <w:kern w:val="2"/>
          <w:sz w:val="21"/>
          <w:lang w:val="en-US" w:eastAsia="zh-CN" w:bidi="ar-SA"/>
        </w:rPr>
      </w:pPr>
    </w:p>
    <w:p>
      <w:pPr>
        <w:bidi w:val="0"/>
        <w:ind w:firstLine="414" w:firstLineChars="0"/>
        <w:jc w:val="left"/>
        <w:rPr>
          <w:rFonts w:hint="eastAsia"/>
          <w:lang w:val="en-US" w:eastAsia="zh-CN"/>
        </w:rPr>
      </w:pPr>
    </w:p>
    <w:p>
      <w:pPr>
        <w:pStyle w:val="3"/>
        <w:ind w:left="-199" w:leftChars="-95" w:right="0" w:rightChars="0" w:firstLine="0" w:firstLineChars="0"/>
        <w:rPr>
          <w:rFonts w:hint="default"/>
          <w:lang w:val="en-US" w:eastAsia="zh-CN"/>
        </w:rPr>
      </w:pPr>
    </w:p>
    <w:p>
      <w:pPr>
        <w:numPr>
          <w:ilvl w:val="0"/>
          <w:numId w:val="2"/>
        </w:numPr>
        <w:ind w:right="-424" w:rightChars="-202"/>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pPr>
        <w:numPr>
          <w:ilvl w:val="0"/>
          <w:numId w:val="6"/>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pPr>
        <w:spacing w:line="600" w:lineRule="exact"/>
        <w:ind w:firstLine="600" w:firstLineChars="200"/>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0"/>
          <w:szCs w:val="24"/>
          <w:lang w:val="en-US" w:eastAsia="zh-CN" w:bidi="ar-SA"/>
        </w:rPr>
        <w:t>。</w:t>
      </w:r>
    </w:p>
    <w:p>
      <w:pPr>
        <w:numPr>
          <w:ilvl w:val="0"/>
          <w:numId w:val="6"/>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pPr>
        <w:spacing w:line="600" w:lineRule="exact"/>
        <w:ind w:firstLine="600" w:firstLineChars="200"/>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区财政拨付了2023年打击两违专项经费，我局按照预算计划列支各项支出，支付过程执行相应的程序，严格遵守各项财经纪律。</w:t>
      </w:r>
    </w:p>
    <w:p>
      <w:pPr>
        <w:numPr>
          <w:ilvl w:val="0"/>
          <w:numId w:val="6"/>
        </w:numPr>
        <w:ind w:left="0" w:leftChars="0" w:firstLine="420" w:firstLineChars="0"/>
        <w:jc w:val="left"/>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项目产出情况</w:t>
      </w:r>
    </w:p>
    <w:p>
      <w:pPr>
        <w:spacing w:line="600" w:lineRule="exact"/>
        <w:ind w:firstLine="600" w:firstLineChars="2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我局依据市、区打击“两违”工作相关要求，大力打击区域“两违”行为，坚持抓细、抓早、抓了，将违建苗头控制在萌芽；坚持控增量，去存量，违法建设大幅度减少。有效地维护城市规划和城市建设秩序。</w:t>
      </w:r>
    </w:p>
    <w:p>
      <w:pPr>
        <w:numPr>
          <w:ilvl w:val="0"/>
          <w:numId w:val="6"/>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稳步推进违建治理工作。严格落实“两违”每日巡查工作制度，截止至2023年11月，昌江区范围内日常“两违”巡查出动人员4029人次，</w:t>
      </w:r>
      <w:r>
        <w:rPr>
          <w:rFonts w:hint="eastAsia" w:ascii="仿宋" w:hAnsi="仿宋" w:eastAsia="仿宋" w:cs="仿宋"/>
          <w:color w:val="auto"/>
          <w:sz w:val="32"/>
          <w:szCs w:val="32"/>
          <w:lang w:val="en-US" w:eastAsia="zh-CN"/>
        </w:rPr>
        <w:t>开展“两违”拆除整治行动80次，共拆除各类“两违”建筑137处，拆除总面积约为6264平方米。其中拆除巡查发现的“两违”82处，拆除违法面积约3563平方米，拆除各期遥感航拍类的“两违”55处，拆除违法面积约2701平方米。市城管局下发疑似“两违”航拍情况。截止2023年11月，市打击“两违”办公室向我局下发疑似航拍“两违”清单共计6期任务，疑似“两违”建筑170处。经我局会同各属地街道联合开展整治，截止目前，已报送整治结果154处（其中已整改拆除52处、上报“个案”93处、剔除9处），剩余航拍正在整改处理中。</w:t>
      </w:r>
    </w:p>
    <w:p>
      <w:pPr>
        <w:numPr>
          <w:ilvl w:val="0"/>
          <w:numId w:val="2"/>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条件制约，存在反复修补、整治的情况。城管执法队员在对马路市场、流动摊贩等进行整治后，容易出现反弹，从而进入“整治-反弹-整治”的怪圈；停车设施不足，导致有些市民将机动车开到人行道上停放，容易使人行道受到损坏。</w:t>
      </w:r>
    </w:p>
    <w:p>
      <w:pPr>
        <w:numPr>
          <w:ilvl w:val="0"/>
          <w:numId w:val="2"/>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加强制度建设，结合我局实际，进一步完善内部财务制度、资金拨付制度、审计监督制度，以制度化规范专项资金使用。定期对专项资金使用情况进行督查监管，确保专项资金安全高效使用。</w:t>
      </w:r>
    </w:p>
    <w:p>
      <w:pPr>
        <w:numPr>
          <w:ilvl w:val="0"/>
          <w:numId w:val="2"/>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其他需要说明的问题</w:t>
      </w:r>
    </w:p>
    <w:p>
      <w:pPr>
        <w:numPr>
          <w:ilvl w:val="0"/>
          <w:numId w:val="0"/>
        </w:numPr>
        <w:ind w:firstLine="320" w:firstLineChars="10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无</w:t>
      </w:r>
    </w:p>
    <w:p/>
    <w:p>
      <w:pPr>
        <w:keepNext w:val="0"/>
        <w:keepLines w:val="0"/>
        <w:pageBreakBefore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方正小标宋简体" w:hAnsi="方正小标宋简体" w:eastAsia="方正小标宋简体" w:cs="方正小标宋简体"/>
          <w:b w:val="0"/>
          <w:bCs w:val="0"/>
          <w:color w:val="auto"/>
          <w:kern w:val="0"/>
          <w:sz w:val="32"/>
          <w:szCs w:val="32"/>
        </w:rPr>
      </w:pPr>
    </w:p>
    <w:p>
      <w:pPr>
        <w:tabs>
          <w:tab w:val="left" w:pos="1974"/>
        </w:tabs>
        <w:bidi w:val="0"/>
        <w:jc w:val="left"/>
        <w:rPr>
          <w:rFonts w:hint="eastAsia"/>
          <w:lang w:val="en-US" w:eastAsia="zh-CN"/>
        </w:rPr>
      </w:pPr>
      <w:r>
        <w:rPr>
          <w:rFonts w:hint="eastAsia"/>
          <w:lang w:val="en-US" w:eastAsia="zh-CN"/>
        </w:rPr>
        <w:tab/>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rPr>
    </w:lvl>
  </w:abstractNum>
  <w:abstractNum w:abstractNumId="2">
    <w:nsid w:val="56851199"/>
    <w:multiLevelType w:val="singleLevel"/>
    <w:tmpl w:val="56851199"/>
    <w:lvl w:ilvl="0" w:tentative="0">
      <w:start w:val="2"/>
      <w:numFmt w:val="decimal"/>
      <w:lvlText w:val="%1."/>
      <w:lvlJc w:val="left"/>
      <w:pPr>
        <w:tabs>
          <w:tab w:val="left" w:pos="312"/>
        </w:tabs>
      </w:pPr>
    </w:lvl>
  </w:abstractNum>
  <w:abstractNum w:abstractNumId="3">
    <w:nsid w:val="5F320DC1"/>
    <w:multiLevelType w:val="singleLevel"/>
    <w:tmpl w:val="5F320DC1"/>
    <w:lvl w:ilvl="0" w:tentative="0">
      <w:start w:val="1"/>
      <w:numFmt w:val="decimalEnclosedCircleChinese"/>
      <w:suff w:val="space"/>
      <w:lvlText w:val="%1"/>
      <w:lvlJc w:val="left"/>
      <w:pPr>
        <w:ind w:left="115" w:firstLine="0"/>
      </w:pPr>
      <w:rPr>
        <w:rFonts w:hint="eastAsia"/>
      </w:rPr>
    </w:lvl>
  </w:abstractNum>
  <w:abstractNum w:abstractNumId="4">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5">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Dg1NjNkZWFlMWQyY2FkMThhYzRjY2IzY2ExOTYifQ=="/>
  </w:docVars>
  <w:rsids>
    <w:rsidRoot w:val="00000000"/>
    <w:rsid w:val="07483DD9"/>
    <w:rsid w:val="25C95296"/>
    <w:rsid w:val="2AE606FD"/>
    <w:rsid w:val="2C4D7924"/>
    <w:rsid w:val="3D786198"/>
    <w:rsid w:val="62C70493"/>
    <w:rsid w:val="6C64581A"/>
    <w:rsid w:val="71251F73"/>
    <w:rsid w:val="7944636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批注文字1"/>
    <w:basedOn w:val="1"/>
    <w:qFormat/>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sz w:val="18"/>
      <w:szCs w:val="18"/>
    </w:rPr>
  </w:style>
  <w:style w:type="table" w:customStyle="1" w:styleId="18">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41</Pages>
  <Words>16504</Words>
  <Characters>19512</Characters>
  <Lines>119</Lines>
  <Paragraphs>33</Paragraphs>
  <TotalTime>3</TotalTime>
  <ScaleCrop>false</ScaleCrop>
  <LinksUpToDate>false</LinksUpToDate>
  <CharactersWithSpaces>20101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2024-09-20T07:49:10Z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6A87BD6B145D469CAFABC96EC1628C8D</vt:lpwstr>
  </property>
</Properties>
</file>