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Arial" w:eastAsia="方正大标宋简体" w:cs="Arial"/>
          <w:bCs/>
          <w:sz w:val="44"/>
          <w:szCs w:val="44"/>
        </w:rPr>
      </w:pPr>
      <w:r>
        <w:rPr>
          <w:rFonts w:hint="eastAsia" w:ascii="方正大标宋简体" w:hAnsi="宋体" w:eastAsia="方正大标宋简体" w:cs="Arial"/>
          <w:bCs/>
          <w:sz w:val="44"/>
          <w:szCs w:val="44"/>
          <w:lang w:val="en-US" w:eastAsia="zh-CN"/>
        </w:rPr>
        <w:t>2019年</w:t>
      </w:r>
      <w:r>
        <w:rPr>
          <w:rFonts w:hint="eastAsia" w:ascii="方正大标宋简体" w:hAnsi="宋体" w:eastAsia="方正大标宋简体" w:cs="Arial"/>
          <w:bCs/>
          <w:sz w:val="44"/>
          <w:szCs w:val="44"/>
          <w:lang w:eastAsia="zh-CN"/>
        </w:rPr>
        <w:t>昌江区城市管理行政执法局</w:t>
      </w:r>
      <w:r>
        <w:rPr>
          <w:rFonts w:hint="eastAsia" w:ascii="方正大标宋简体" w:hAnsi="宋体" w:eastAsia="方正大标宋简体" w:cs="Arial"/>
          <w:bCs/>
          <w:sz w:val="44"/>
          <w:szCs w:val="44"/>
        </w:rPr>
        <w:t>项目支出绩效评价报告</w:t>
      </w:r>
    </w:p>
    <w:p>
      <w:pPr>
        <w:jc w:val="center"/>
        <w:rPr>
          <w:rFonts w:ascii="仿宋_GB2312"/>
        </w:rPr>
      </w:pPr>
    </w:p>
    <w:p>
      <w:pPr>
        <w:jc w:val="center"/>
        <w:rPr>
          <w:rFonts w:ascii="仿宋_GB2312"/>
          <w:szCs w:val="30"/>
        </w:rPr>
      </w:pPr>
    </w:p>
    <w:p>
      <w:pPr>
        <w:spacing w:line="600" w:lineRule="exact"/>
        <w:ind w:firstLine="600" w:firstLineChars="200"/>
        <w:rPr>
          <w:rFonts w:ascii="黑体" w:hAnsi="黑体" w:eastAsia="黑体"/>
        </w:rPr>
      </w:pPr>
      <w:r>
        <w:rPr>
          <w:rFonts w:hint="eastAsia" w:ascii="黑体" w:hAnsi="黑体" w:eastAsia="黑体"/>
        </w:rPr>
        <w:t>一、基本情况</w:t>
      </w:r>
    </w:p>
    <w:p>
      <w:pPr>
        <w:spacing w:line="600" w:lineRule="exact"/>
        <w:ind w:firstLine="600" w:firstLineChars="200"/>
        <w:outlineLvl w:val="0"/>
        <w:rPr>
          <w:rFonts w:hint="eastAsia" w:ascii="仿宋_GB2312"/>
        </w:rPr>
      </w:pPr>
      <w:r>
        <w:rPr>
          <w:rFonts w:hint="eastAsia" w:ascii="仿宋_GB2312"/>
        </w:rPr>
        <w:t>（一）项目概况。</w:t>
      </w:r>
    </w:p>
    <w:p>
      <w:pPr>
        <w:spacing w:line="600" w:lineRule="exact"/>
        <w:ind w:firstLine="900" w:firstLineChars="3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cs="Times New Roman"/>
        </w:rPr>
        <w:t>我局依据市、区打击“两违”工作</w:t>
      </w:r>
      <w:r>
        <w:rPr>
          <w:rFonts w:hint="eastAsia" w:ascii="仿宋_GB2312" w:hAnsi="Times New Roman" w:cs="Times New Roman"/>
          <w:lang w:val="en-US" w:eastAsia="zh-CN"/>
        </w:rPr>
        <w:t>相关</w:t>
      </w:r>
      <w:r>
        <w:rPr>
          <w:rFonts w:hint="eastAsia" w:ascii="仿宋_GB2312" w:hAnsi="Times New Roman" w:cs="Times New Roman"/>
        </w:rPr>
        <w:t>要求，大力打击区域“两违”行为，</w:t>
      </w:r>
      <w:r>
        <w:rPr>
          <w:rFonts w:hint="eastAsia" w:ascii="仿宋_GB2312" w:hAnsi="Times New Roman" w:cs="Times New Roman"/>
          <w:lang w:val="en-US" w:eastAsia="zh-CN"/>
        </w:rPr>
        <w:t>坚持抓细、抓早、抓了，将违建苗头控制在萌芽；坚持控增量，去存量，违法建设大幅度减少。</w:t>
      </w:r>
      <w:r>
        <w:rPr>
          <w:rFonts w:hint="eastAsia" w:ascii="仿宋_GB2312" w:hAnsi="Times New Roman" w:cs="Times New Roman"/>
        </w:rPr>
        <w:t>有效地维护城市规划和城市建设秩序。</w:t>
      </w:r>
      <w:r>
        <w:rPr>
          <w:rFonts w:hint="eastAsia" w:ascii="仿宋_GB2312" w:hAnsi="Times New Roman" w:cs="Times New Roman"/>
          <w:lang w:val="en-US" w:eastAsia="zh-CN"/>
        </w:rPr>
        <w:t>针对市打违办遥感监测图斑信息表，积极对辖区内的疑似“两违”建筑进行全面摸排，确认为“两违”建筑的坚决予以打击。打击两违专项</w:t>
      </w:r>
      <w:r>
        <w:rPr>
          <w:rFonts w:hint="eastAsia" w:ascii="仿宋_GB2312" w:hAnsi="Times New Roman" w:eastAsia="仿宋_GB2312" w:cs="Times New Roman"/>
          <w:kern w:val="2"/>
          <w:sz w:val="30"/>
          <w:szCs w:val="24"/>
          <w:lang w:val="en-US" w:eastAsia="zh-CN" w:bidi="ar-SA"/>
        </w:rPr>
        <w:t>经费主要用于</w:t>
      </w:r>
      <w:r>
        <w:rPr>
          <w:rFonts w:hint="eastAsia" w:ascii="仿宋_GB2312" w:hAnsi="Times New Roman" w:cs="Times New Roman"/>
          <w:kern w:val="2"/>
          <w:sz w:val="30"/>
          <w:szCs w:val="24"/>
          <w:lang w:val="en-US" w:eastAsia="zh-CN" w:bidi="ar-SA"/>
        </w:rPr>
        <w:t>控建拆违的执法</w:t>
      </w:r>
      <w:r>
        <w:rPr>
          <w:rFonts w:hint="eastAsia" w:ascii="仿宋_GB2312" w:hAnsi="Times New Roman" w:eastAsia="仿宋_GB2312" w:cs="Times New Roman"/>
          <w:kern w:val="2"/>
          <w:sz w:val="30"/>
          <w:szCs w:val="24"/>
          <w:lang w:val="en-US" w:eastAsia="zh-CN" w:bidi="ar-SA"/>
        </w:rPr>
        <w:t>经费支出。经费由区财政拨付，专款专用。为全面完成好上级下达的各项工作指标任务，昌江区财政局在2019年财政预算中安排</w:t>
      </w:r>
      <w:r>
        <w:rPr>
          <w:rFonts w:hint="eastAsia" w:ascii="仿宋_GB2312" w:hAnsi="Times New Roman" w:cs="Times New Roman"/>
          <w:kern w:val="2"/>
          <w:sz w:val="30"/>
          <w:szCs w:val="24"/>
          <w:lang w:val="en-US" w:eastAsia="zh-CN" w:bidi="ar-SA"/>
        </w:rPr>
        <w:t>打击两违专项</w:t>
      </w:r>
      <w:r>
        <w:rPr>
          <w:rFonts w:hint="eastAsia" w:ascii="仿宋_GB2312" w:hAnsi="Times New Roman" w:eastAsia="仿宋_GB2312" w:cs="Times New Roman"/>
          <w:kern w:val="2"/>
          <w:sz w:val="30"/>
          <w:szCs w:val="24"/>
          <w:lang w:val="en-US" w:eastAsia="zh-CN" w:bidi="ar-SA"/>
        </w:rPr>
        <w:t>经费</w:t>
      </w:r>
      <w:r>
        <w:rPr>
          <w:rFonts w:hint="eastAsia" w:ascii="仿宋_GB2312" w:hAnsi="Times New Roman" w:cs="Times New Roman"/>
          <w:kern w:val="2"/>
          <w:sz w:val="30"/>
          <w:szCs w:val="24"/>
          <w:lang w:val="en-US" w:eastAsia="zh-CN" w:bidi="ar-SA"/>
        </w:rPr>
        <w:t>50</w:t>
      </w:r>
      <w:r>
        <w:rPr>
          <w:rFonts w:hint="eastAsia" w:ascii="仿宋_GB2312" w:hAnsi="Times New Roman" w:eastAsia="仿宋_GB2312" w:cs="Times New Roman"/>
          <w:kern w:val="2"/>
          <w:sz w:val="30"/>
          <w:szCs w:val="24"/>
          <w:lang w:val="en-US" w:eastAsia="zh-CN" w:bidi="ar-SA"/>
        </w:rPr>
        <w:t>万元。</w:t>
      </w:r>
    </w:p>
    <w:p>
      <w:pPr>
        <w:numPr>
          <w:ilvl w:val="0"/>
          <w:numId w:val="1"/>
        </w:numPr>
        <w:spacing w:line="600" w:lineRule="exact"/>
        <w:ind w:firstLine="600" w:firstLineChars="200"/>
      </w:pPr>
      <w:r>
        <w:rPr>
          <w:rFonts w:hint="eastAsia" w:ascii="仿宋_GB2312"/>
        </w:rPr>
        <w:t>项目绩效目标。</w:t>
      </w:r>
    </w:p>
    <w:p>
      <w:pPr>
        <w:numPr>
          <w:ilvl w:val="0"/>
          <w:numId w:val="0"/>
        </w:numPr>
        <w:spacing w:line="600" w:lineRule="exact"/>
        <w:ind w:firstLine="1200" w:firstLineChars="400"/>
        <w:rPr>
          <w:rFonts w:hint="eastAsia" w:ascii="仿宋_GB2312" w:hAnsi="Times New Roman" w:cs="Times New Roman"/>
        </w:rPr>
      </w:pPr>
      <w:r>
        <w:rPr>
          <w:rFonts w:hint="eastAsia" w:ascii="仿宋_GB2312" w:hAnsi="Times New Roman" w:cs="Times New Roman"/>
        </w:rPr>
        <w:t>切实做好城市规划控制区范围内的日常巡查执法工作，实行责任分区，加强日常巡查和监管，确保违法建设举报电话</w:t>
      </w:r>
      <w:r>
        <w:rPr>
          <w:rFonts w:hint="default" w:ascii="仿宋_GB2312" w:hAnsi="Times New Roman" w:cs="Times New Roman"/>
        </w:rPr>
        <w:t>24</w:t>
      </w:r>
      <w:r>
        <w:rPr>
          <w:rFonts w:hint="eastAsia" w:ascii="仿宋_GB2312" w:hAnsi="Times New Roman" w:cs="Times New Roman"/>
        </w:rPr>
        <w:t>小时通畅，建立执法台账资料，实现违法建设发现率</w:t>
      </w:r>
      <w:r>
        <w:rPr>
          <w:rFonts w:hint="default" w:ascii="仿宋_GB2312" w:hAnsi="Times New Roman" w:cs="Times New Roman"/>
        </w:rPr>
        <w:t>100%</w:t>
      </w:r>
      <w:r>
        <w:rPr>
          <w:rFonts w:hint="eastAsia" w:ascii="仿宋_GB2312" w:hAnsi="Times New Roman" w:cs="Times New Roman"/>
        </w:rPr>
        <w:t>，查处率</w:t>
      </w:r>
      <w:r>
        <w:rPr>
          <w:rFonts w:hint="default" w:ascii="仿宋_GB2312" w:hAnsi="Times New Roman" w:cs="Times New Roman"/>
        </w:rPr>
        <w:t>100%</w:t>
      </w:r>
      <w:r>
        <w:rPr>
          <w:rFonts w:hint="eastAsia" w:ascii="仿宋_GB2312" w:hAnsi="Times New Roman" w:cs="Times New Roman"/>
        </w:rPr>
        <w:t>，实现新增违法建筑零增长，存量违法建设负增长。对城市规划区内违法建设行为进行调查和认定，做好强制拆除的具体执行工作；做好重点监管区域乡（镇）、村（社区）和相关部门控建拆违的基础考核工作；做好控建拆违工作的信息资料报送及宣传报道工作。严格依法开展批后监管，实施监督检查，及时发现查处违反审批要求建设的行为，建立监督检查台帐，依法公开违法建设处理情况。</w:t>
      </w:r>
    </w:p>
    <w:p>
      <w:pPr>
        <w:spacing w:line="600" w:lineRule="exact"/>
        <w:ind w:firstLine="600" w:firstLineChars="200"/>
        <w:rPr>
          <w:rFonts w:ascii="黑体" w:hAnsi="黑体" w:eastAsia="黑体"/>
        </w:rPr>
      </w:pPr>
      <w:r>
        <w:rPr>
          <w:rFonts w:hint="eastAsia" w:ascii="黑体" w:hAnsi="黑体" w:eastAsia="黑体"/>
        </w:rPr>
        <w:t>二、绩效评价工作开展情况</w:t>
      </w:r>
    </w:p>
    <w:p>
      <w:pPr>
        <w:spacing w:line="600" w:lineRule="exact"/>
        <w:ind w:firstLine="600" w:firstLineChars="200"/>
        <w:rPr>
          <w:rFonts w:hint="eastAsia" w:ascii="仿宋_GB2312"/>
        </w:rPr>
      </w:pPr>
      <w:r>
        <w:rPr>
          <w:rFonts w:hint="eastAsia" w:ascii="仿宋_GB2312"/>
        </w:rPr>
        <w:t>（一）绩效评价目的、对象和范围。</w:t>
      </w:r>
    </w:p>
    <w:p>
      <w:pPr>
        <w:pStyle w:val="4"/>
        <w:keepNext w:val="0"/>
        <w:keepLines w:val="0"/>
        <w:widowControl/>
        <w:suppressLineNumbers w:val="0"/>
        <w:spacing w:before="0" w:beforeAutospacing="0" w:after="0" w:afterAutospacing="0" w:line="33" w:lineRule="atLeast"/>
        <w:ind w:left="0" w:right="0" w:firstLine="1020" w:firstLineChars="340"/>
        <w:jc w:val="both"/>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w:t>
      </w:r>
      <w:r>
        <w:rPr>
          <w:rFonts w:hint="default" w:ascii="仿宋_GB2312" w:hAnsi="Times New Roman" w:eastAsia="仿宋_GB2312" w:cs="Times New Roman"/>
          <w:kern w:val="2"/>
          <w:sz w:val="30"/>
          <w:szCs w:val="24"/>
          <w:lang w:val="en-US" w:eastAsia="zh-CN" w:bidi="ar-SA"/>
        </w:rPr>
        <w:t>、绩效评价目的：绩效评价的目的是为了了解专项资金使用情况及取得的效果，总结资金管理的经验，发现资金管理中存在的问题，为提高专项资金的使用效益，加强财政支出的规范化管理，健全和完善支出项目和资金使用管理办法，完善预算编制、加强绩效目标管理和绩效考核工作提供重要的参考依据，以及提出相关的建议和应采取的改进措施等。</w:t>
      </w:r>
    </w:p>
    <w:p>
      <w:pPr>
        <w:spacing w:line="600" w:lineRule="exact"/>
        <w:ind w:firstLine="900" w:firstLineChars="300"/>
        <w:rPr>
          <w:rFonts w:hint="default" w:ascii="仿宋_GB2312" w:hAnsi="Times New Roman" w:eastAsia="仿宋_GB2312" w:cs="Times New Roman"/>
          <w:kern w:val="2"/>
          <w:sz w:val="30"/>
          <w:szCs w:val="24"/>
          <w:lang w:val="en-US" w:eastAsia="zh-CN" w:bidi="ar-SA"/>
        </w:rPr>
      </w:pPr>
      <w:r>
        <w:rPr>
          <w:rFonts w:hint="default" w:ascii="仿宋_GB2312" w:hAnsi="Times New Roman" w:eastAsia="仿宋_GB2312" w:cs="Times New Roman"/>
          <w:kern w:val="2"/>
          <w:sz w:val="30"/>
          <w:szCs w:val="24"/>
          <w:lang w:val="en-US" w:eastAsia="zh-CN" w:bidi="ar-SA"/>
        </w:rPr>
        <w:t>2、绩效评价对象：纳入预算管理的资金。</w:t>
      </w:r>
    </w:p>
    <w:p>
      <w:pPr>
        <w:spacing w:line="600" w:lineRule="exact"/>
        <w:ind w:firstLine="900" w:firstLineChars="300"/>
        <w:rPr>
          <w:rFonts w:hint="eastAsia" w:ascii="仿宋_GB2312"/>
        </w:rPr>
      </w:pPr>
      <w:r>
        <w:rPr>
          <w:rFonts w:hint="default" w:ascii="仿宋_GB2312" w:hAnsi="Times New Roman" w:eastAsia="仿宋_GB2312" w:cs="Times New Roman"/>
          <w:kern w:val="2"/>
          <w:sz w:val="30"/>
          <w:szCs w:val="24"/>
          <w:lang w:val="en-US" w:eastAsia="zh-CN" w:bidi="ar-SA"/>
        </w:rPr>
        <w:t>3、绩效评价范围：</w:t>
      </w:r>
      <w:r>
        <w:rPr>
          <w:rFonts w:hint="eastAsia" w:ascii="仿宋_GB2312" w:hAnsi="Times New Roman" w:cs="Times New Roman"/>
          <w:kern w:val="2"/>
          <w:sz w:val="30"/>
          <w:szCs w:val="24"/>
          <w:lang w:val="en-US" w:eastAsia="zh-CN" w:bidi="ar-SA"/>
        </w:rPr>
        <w:t>昌江区城市管理行政执法局</w:t>
      </w:r>
      <w:r>
        <w:rPr>
          <w:rFonts w:hint="default" w:ascii="仿宋_GB2312" w:hAnsi="Times New Roman" w:eastAsia="仿宋_GB2312" w:cs="Times New Roman"/>
          <w:kern w:val="2"/>
          <w:sz w:val="30"/>
          <w:szCs w:val="24"/>
          <w:lang w:val="en-US" w:eastAsia="zh-CN" w:bidi="ar-SA"/>
        </w:rPr>
        <w:t>申请安排的2019年度所有财政项目资金</w:t>
      </w:r>
      <w:r>
        <w:rPr>
          <w:rFonts w:hint="eastAsia" w:ascii="仿宋_GB2312" w:hAnsi="Times New Roman" w:cs="Times New Roman"/>
          <w:kern w:val="2"/>
          <w:sz w:val="30"/>
          <w:szCs w:val="24"/>
          <w:lang w:val="en-US" w:eastAsia="zh-CN" w:bidi="ar-SA"/>
        </w:rPr>
        <w:t>。</w:t>
      </w:r>
    </w:p>
    <w:p>
      <w:pPr>
        <w:spacing w:line="600" w:lineRule="exact"/>
        <w:ind w:firstLine="600" w:firstLineChars="200"/>
        <w:rPr>
          <w:rFonts w:hint="eastAsia" w:ascii="仿宋_GB2312"/>
        </w:rPr>
      </w:pPr>
      <w:r>
        <w:rPr>
          <w:rFonts w:hint="eastAsia" w:ascii="仿宋_GB2312"/>
        </w:rPr>
        <w:t>（二）绩效评价原则、评价指标体系（附表说明）、评价方法、评价标准等。</w:t>
      </w:r>
    </w:p>
    <w:p>
      <w:pPr>
        <w:numPr>
          <w:ilvl w:val="0"/>
          <w:numId w:val="2"/>
        </w:numPr>
        <w:spacing w:line="600" w:lineRule="exact"/>
        <w:ind w:firstLine="600" w:firstLineChars="200"/>
        <w:rPr>
          <w:rFonts w:hint="eastAsia" w:ascii="仿宋_GB2312" w:hAnsi="Times New Roman" w:cs="Times New Roman"/>
          <w:lang w:val="en-US" w:eastAsia="zh-CN"/>
        </w:rPr>
      </w:pPr>
      <w:r>
        <w:rPr>
          <w:rFonts w:hint="default" w:ascii="仿宋_GB2312" w:hAnsi="Times New Roman" w:cs="Times New Roma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_GB2312" w:hAnsi="Times New Roman" w:cs="Times New Roman"/>
          <w:lang w:val="en-US" w:eastAsia="zh-CN"/>
        </w:rPr>
        <w:t xml:space="preserve">    </w:t>
      </w:r>
    </w:p>
    <w:p>
      <w:pPr>
        <w:numPr>
          <w:ilvl w:val="0"/>
          <w:numId w:val="0"/>
        </w:numPr>
        <w:spacing w:line="600" w:lineRule="exact"/>
        <w:ind w:firstLine="600" w:firstLineChars="200"/>
        <w:rPr>
          <w:rFonts w:hint="default" w:ascii="仿宋_GB2312" w:hAnsi="Times New Roman" w:cs="Times New Roman"/>
        </w:rPr>
      </w:pPr>
      <w:r>
        <w:rPr>
          <w:rFonts w:hint="default" w:ascii="仿宋_GB2312" w:hAnsi="Times New Roman" w:cs="Times New Roman"/>
        </w:rPr>
        <w:t>2、评价指标体系：详见附</w:t>
      </w:r>
      <w:r>
        <w:rPr>
          <w:rFonts w:hint="eastAsia" w:ascii="仿宋_GB2312" w:hAnsi="Times New Roman" w:cs="Times New Roman"/>
          <w:lang w:eastAsia="zh-CN"/>
        </w:rPr>
        <w:t>表</w:t>
      </w:r>
      <w:r>
        <w:rPr>
          <w:rFonts w:hint="default" w:ascii="仿宋_GB2312" w:hAnsi="Times New Roman" w:cs="Times New Roman"/>
        </w:rPr>
        <w:t>中绩效指标栏。</w:t>
      </w:r>
    </w:p>
    <w:p>
      <w:pPr>
        <w:pStyle w:val="3"/>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5"/>
        <w:tblW w:w="112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4"/>
        <w:gridCol w:w="961"/>
        <w:gridCol w:w="1219"/>
        <w:gridCol w:w="2752"/>
        <w:gridCol w:w="56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634" w:type="dxa"/>
            <w:shd w:val="clear" w:color="auto" w:fill="FFFFFF"/>
            <w:noWrap w:val="0"/>
            <w:vAlign w:val="center"/>
          </w:tcPr>
          <w:p>
            <w:pPr>
              <w:rPr>
                <w:rFonts w:hint="eastAsia"/>
                <w:sz w:val="15"/>
                <w:szCs w:val="15"/>
                <w:lang w:val="en-US" w:eastAsia="zh-CN"/>
              </w:rPr>
            </w:pPr>
            <w:r>
              <w:rPr>
                <w:rFonts w:hint="eastAsia"/>
                <w:sz w:val="15"/>
                <w:szCs w:val="15"/>
                <w:lang w:val="en-US" w:eastAsia="zh-CN"/>
              </w:rPr>
              <w:t>一级指标</w:t>
            </w: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二级指标</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三级指标</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指标解释</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决策　</w:t>
            </w:r>
          </w:p>
          <w:p>
            <w:pPr>
              <w:rPr>
                <w:rFonts w:hint="eastAsia"/>
                <w:sz w:val="15"/>
                <w:szCs w:val="15"/>
                <w:lang w:val="en-US" w:eastAsia="zh-CN"/>
              </w:rPr>
            </w:pPr>
            <w:r>
              <w:rPr>
                <w:rFonts w:hint="eastAsia"/>
                <w:sz w:val="15"/>
                <w:szCs w:val="15"/>
                <w:lang w:val="en-US" w:eastAsia="zh-CN"/>
              </w:rPr>
              <w:t>　</w:t>
            </w:r>
          </w:p>
          <w:p>
            <w:pPr>
              <w:rPr>
                <w:rFonts w:hint="eastAsia"/>
                <w:sz w:val="15"/>
                <w:szCs w:val="15"/>
                <w:lang w:val="en-US" w:eastAsia="zh-CN"/>
              </w:rPr>
            </w:pPr>
            <w:r>
              <w:rPr>
                <w:rFonts w:hint="eastAsia"/>
                <w:sz w:val="15"/>
                <w:szCs w:val="15"/>
                <w:lang w:val="en-US" w:eastAsia="zh-CN"/>
              </w:rPr>
              <w:t>　</w:t>
            </w:r>
          </w:p>
        </w:tc>
        <w:tc>
          <w:tcPr>
            <w:tcW w:w="961"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项目立项　</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立项依据</w:t>
            </w:r>
          </w:p>
          <w:p>
            <w:pPr>
              <w:rPr>
                <w:rFonts w:hint="eastAsia"/>
                <w:sz w:val="15"/>
                <w:szCs w:val="15"/>
                <w:lang w:val="en-US" w:eastAsia="zh-CN"/>
              </w:rPr>
            </w:pPr>
            <w:r>
              <w:rPr>
                <w:rFonts w:hint="eastAsia"/>
                <w:sz w:val="15"/>
                <w:szCs w:val="15"/>
                <w:lang w:val="en-US" w:eastAsia="zh-CN"/>
              </w:rPr>
              <w:t>充分性</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项目立项是否符合法律法规、相关政策、发展规划以及部门职责，用以反映和考核项目立项依据情况。</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①项目立项是否符合国家法律法规、国民经济发展规划和相关政策；</w:t>
            </w:r>
            <w:r>
              <w:rPr>
                <w:rFonts w:hint="eastAsia"/>
                <w:sz w:val="15"/>
                <w:szCs w:val="15"/>
                <w:lang w:val="en-US" w:eastAsia="zh-CN"/>
              </w:rPr>
              <w:br w:type="textWrapping"/>
            </w:r>
            <w:r>
              <w:rPr>
                <w:rFonts w:hint="eastAsia"/>
                <w:sz w:val="15"/>
                <w:szCs w:val="15"/>
                <w:lang w:val="en-US" w:eastAsia="zh-CN"/>
              </w:rPr>
              <w:t>②项目立项是否符合行业发展规划和政策要求；</w:t>
            </w:r>
            <w:r>
              <w:rPr>
                <w:rFonts w:hint="eastAsia"/>
                <w:sz w:val="15"/>
                <w:szCs w:val="15"/>
                <w:lang w:val="en-US" w:eastAsia="zh-CN"/>
              </w:rPr>
              <w:br w:type="textWrapping"/>
            </w:r>
            <w:r>
              <w:rPr>
                <w:rFonts w:hint="eastAsia"/>
                <w:sz w:val="15"/>
                <w:szCs w:val="15"/>
                <w:lang w:val="en-US" w:eastAsia="zh-CN"/>
              </w:rPr>
              <w:t>③项目立项是否与部门职责范围相符，属于部门履职所需；</w:t>
            </w:r>
            <w:r>
              <w:rPr>
                <w:rFonts w:hint="eastAsia"/>
                <w:sz w:val="15"/>
                <w:szCs w:val="15"/>
                <w:lang w:val="en-US" w:eastAsia="zh-CN"/>
              </w:rPr>
              <w:br w:type="textWrapping"/>
            </w:r>
            <w:r>
              <w:rPr>
                <w:rFonts w:hint="eastAsia"/>
                <w:sz w:val="15"/>
                <w:szCs w:val="15"/>
                <w:lang w:val="en-US" w:eastAsia="zh-CN"/>
              </w:rPr>
              <w:t>④项目是否属于公共财政支持范围，是否符合中央、地方事权支出责任划分原则；</w:t>
            </w:r>
            <w:r>
              <w:rPr>
                <w:rFonts w:hint="eastAsia"/>
                <w:sz w:val="15"/>
                <w:szCs w:val="15"/>
                <w:lang w:val="en-US" w:eastAsia="zh-CN"/>
              </w:rPr>
              <w:br w:type="textWrapping"/>
            </w:r>
            <w:r>
              <w:rPr>
                <w:rFonts w:hint="eastAsia"/>
                <w:sz w:val="15"/>
                <w:szCs w:val="15"/>
                <w:lang w:val="en-US" w:eastAsia="zh-CN"/>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continue"/>
            <w:shd w:val="clear" w:color="auto" w:fill="FFFFFF"/>
            <w:noWrap w:val="0"/>
            <w:vAlign w:val="center"/>
          </w:tcPr>
          <w:p>
            <w:pPr>
              <w:rPr>
                <w:rFonts w:hint="eastAsia"/>
                <w:sz w:val="15"/>
                <w:szCs w:val="15"/>
                <w:lang w:val="en-US" w:eastAsia="zh-CN"/>
              </w:rPr>
            </w:pP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立项程序</w:t>
            </w:r>
          </w:p>
          <w:p>
            <w:pPr>
              <w:rPr>
                <w:rFonts w:hint="eastAsia"/>
                <w:sz w:val="15"/>
                <w:szCs w:val="15"/>
                <w:lang w:val="en-US" w:eastAsia="zh-CN"/>
              </w:rPr>
            </w:pPr>
            <w:r>
              <w:rPr>
                <w:rFonts w:hint="eastAsia"/>
                <w:sz w:val="15"/>
                <w:szCs w:val="15"/>
                <w:lang w:val="en-US" w:eastAsia="zh-CN"/>
              </w:rPr>
              <w:t>规范性</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项目申请、设立过程是否符合相关要求，用以反映和考核项目立项的规范情况。</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①项目是否按照规定的程序申请设立；</w:t>
            </w:r>
            <w:r>
              <w:rPr>
                <w:rFonts w:hint="eastAsia"/>
                <w:sz w:val="15"/>
                <w:szCs w:val="15"/>
                <w:lang w:val="en-US" w:eastAsia="zh-CN"/>
              </w:rPr>
              <w:br w:type="textWrapping"/>
            </w:r>
            <w:r>
              <w:rPr>
                <w:rFonts w:hint="eastAsia"/>
                <w:sz w:val="15"/>
                <w:szCs w:val="15"/>
                <w:lang w:val="en-US" w:eastAsia="zh-CN"/>
              </w:rPr>
              <w:t>②审批文件、材料是否符合相关要求；</w:t>
            </w:r>
            <w:r>
              <w:rPr>
                <w:rFonts w:hint="eastAsia"/>
                <w:sz w:val="15"/>
                <w:szCs w:val="15"/>
                <w:lang w:val="en-US" w:eastAsia="zh-CN"/>
              </w:rPr>
              <w:br w:type="textWrapping"/>
            </w:r>
            <w:r>
              <w:rPr>
                <w:rFonts w:hint="eastAsia"/>
                <w:sz w:val="15"/>
                <w:szCs w:val="15"/>
                <w:lang w:val="en-US" w:eastAsia="zh-CN"/>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绩效目标　</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绩效目标</w:t>
            </w:r>
          </w:p>
          <w:p>
            <w:pPr>
              <w:rPr>
                <w:rFonts w:hint="eastAsia"/>
                <w:sz w:val="15"/>
                <w:szCs w:val="15"/>
                <w:lang w:val="en-US" w:eastAsia="zh-CN"/>
              </w:rPr>
            </w:pPr>
            <w:r>
              <w:rPr>
                <w:rFonts w:hint="eastAsia"/>
                <w:sz w:val="15"/>
                <w:szCs w:val="15"/>
                <w:lang w:val="en-US" w:eastAsia="zh-CN"/>
              </w:rPr>
              <w:t>合理性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项目所设定的绩效目标是否依据充分，是否符合客观实际，用以反映和考核项目绩效目标与项目实施的相符情况。</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（如未设定预算绩效目标，也可考核其他工作任务目标）</w:t>
            </w:r>
            <w:r>
              <w:rPr>
                <w:rFonts w:hint="eastAsia"/>
                <w:sz w:val="15"/>
                <w:szCs w:val="15"/>
                <w:lang w:val="en-US" w:eastAsia="zh-CN"/>
              </w:rPr>
              <w:br w:type="textWrapping"/>
            </w:r>
            <w:r>
              <w:rPr>
                <w:rFonts w:hint="eastAsia"/>
                <w:sz w:val="15"/>
                <w:szCs w:val="15"/>
                <w:lang w:val="en-US" w:eastAsia="zh-CN"/>
              </w:rPr>
              <w:t>①项目是否有绩效目标；</w:t>
            </w:r>
            <w:r>
              <w:rPr>
                <w:rFonts w:hint="eastAsia"/>
                <w:sz w:val="15"/>
                <w:szCs w:val="15"/>
                <w:lang w:val="en-US" w:eastAsia="zh-CN"/>
              </w:rPr>
              <w:br w:type="textWrapping"/>
            </w:r>
            <w:r>
              <w:rPr>
                <w:rFonts w:hint="eastAsia"/>
                <w:sz w:val="15"/>
                <w:szCs w:val="15"/>
                <w:lang w:val="en-US" w:eastAsia="zh-CN"/>
              </w:rPr>
              <w:t>②项目绩效目标与实际工作内容是否具有相关性；</w:t>
            </w:r>
            <w:r>
              <w:rPr>
                <w:rFonts w:hint="eastAsia"/>
                <w:sz w:val="15"/>
                <w:szCs w:val="15"/>
                <w:lang w:val="en-US" w:eastAsia="zh-CN"/>
              </w:rPr>
              <w:br w:type="textWrapping"/>
            </w:r>
            <w:r>
              <w:rPr>
                <w:rFonts w:hint="eastAsia"/>
                <w:sz w:val="15"/>
                <w:szCs w:val="15"/>
                <w:lang w:val="en-US" w:eastAsia="zh-CN"/>
              </w:rPr>
              <w:t>③项目预期产出效益和效果是否符合正常的业绩水平；</w:t>
            </w:r>
          </w:p>
          <w:p>
            <w:pPr>
              <w:rPr>
                <w:rFonts w:hint="eastAsia"/>
                <w:sz w:val="15"/>
                <w:szCs w:val="15"/>
                <w:lang w:val="en-US" w:eastAsia="zh-CN"/>
              </w:rPr>
            </w:pPr>
            <w:r>
              <w:rPr>
                <w:rFonts w:hint="eastAsia"/>
                <w:sz w:val="15"/>
                <w:szCs w:val="15"/>
                <w:lang w:val="en-US" w:eastAsia="zh-CN"/>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决策　</w:t>
            </w: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绩效目标</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绩效指标</w:t>
            </w:r>
          </w:p>
          <w:p>
            <w:pPr>
              <w:rPr>
                <w:rFonts w:hint="eastAsia"/>
                <w:sz w:val="15"/>
                <w:szCs w:val="15"/>
                <w:lang w:val="en-US" w:eastAsia="zh-CN"/>
              </w:rPr>
            </w:pPr>
            <w:r>
              <w:rPr>
                <w:rFonts w:hint="eastAsia"/>
                <w:sz w:val="15"/>
                <w:szCs w:val="15"/>
                <w:lang w:val="en-US" w:eastAsia="zh-CN"/>
              </w:rPr>
              <w:t>明确性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依据绩效目标设定的绩效指标是否清晰、细化、可衡量等，用以反映和考核项目绩效目标的明细化情况。</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①是否将项目绩效目标细化分解为具体的绩效指标；</w:t>
            </w:r>
            <w:r>
              <w:rPr>
                <w:rFonts w:hint="eastAsia"/>
                <w:sz w:val="15"/>
                <w:szCs w:val="15"/>
                <w:lang w:val="en-US" w:eastAsia="zh-CN"/>
              </w:rPr>
              <w:br w:type="textWrapping"/>
            </w:r>
            <w:r>
              <w:rPr>
                <w:rFonts w:hint="eastAsia"/>
                <w:sz w:val="15"/>
                <w:szCs w:val="15"/>
                <w:lang w:val="en-US" w:eastAsia="zh-CN"/>
              </w:rPr>
              <w:t>②是否通过清晰、可衡量的指标值予以体现；</w:t>
            </w:r>
            <w:r>
              <w:rPr>
                <w:rFonts w:hint="eastAsia"/>
                <w:sz w:val="15"/>
                <w:szCs w:val="15"/>
                <w:lang w:val="en-US" w:eastAsia="zh-CN"/>
              </w:rPr>
              <w:br w:type="textWrapping"/>
            </w:r>
            <w:r>
              <w:rPr>
                <w:rFonts w:hint="eastAsia"/>
                <w:sz w:val="15"/>
                <w:szCs w:val="15"/>
                <w:lang w:val="en-US" w:eastAsia="zh-CN"/>
              </w:rPr>
              <w:t>③是否与项目目标任务数或计划数相对应。</w:t>
            </w:r>
            <w:r>
              <w:rPr>
                <w:rFonts w:hint="eastAsia"/>
                <w:sz w:val="15"/>
                <w:szCs w:val="15"/>
                <w:lang w:val="en-US" w:eastAsia="zh-CN"/>
              </w:rPr>
              <w:br w:type="textWrapp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资金投入</w:t>
            </w:r>
          </w:p>
          <w:p>
            <w:pPr>
              <w:rPr>
                <w:rFonts w:hint="eastAsia"/>
                <w:sz w:val="15"/>
                <w:szCs w:val="15"/>
                <w:lang w:val="en-US" w:eastAsia="zh-CN"/>
              </w:rPr>
            </w:pPr>
            <w:r>
              <w:rPr>
                <w:rFonts w:hint="eastAsia"/>
                <w:sz w:val="15"/>
                <w:szCs w:val="15"/>
                <w:lang w:val="en-US" w:eastAsia="zh-CN"/>
              </w:rPr>
              <w:t>　</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预算编制</w:t>
            </w:r>
          </w:p>
          <w:p>
            <w:pPr>
              <w:rPr>
                <w:rFonts w:hint="eastAsia"/>
                <w:sz w:val="15"/>
                <w:szCs w:val="15"/>
                <w:lang w:val="en-US" w:eastAsia="zh-CN"/>
              </w:rPr>
            </w:pPr>
            <w:r>
              <w:rPr>
                <w:rFonts w:hint="eastAsia"/>
                <w:sz w:val="15"/>
                <w:szCs w:val="15"/>
                <w:lang w:val="en-US" w:eastAsia="zh-CN"/>
              </w:rPr>
              <w:t>科学性</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项目预算编制是否经过科学论证、有明确标准，资金额度与年度目标是否相适应，用以反映和考核项目预算编制的科学性、合理性情况。</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①预算编制是否经过科学论证；</w:t>
            </w:r>
            <w:r>
              <w:rPr>
                <w:rFonts w:hint="eastAsia"/>
                <w:sz w:val="15"/>
                <w:szCs w:val="15"/>
                <w:lang w:val="en-US" w:eastAsia="zh-CN"/>
              </w:rPr>
              <w:br w:type="textWrapping"/>
            </w:r>
            <w:r>
              <w:rPr>
                <w:rFonts w:hint="eastAsia"/>
                <w:sz w:val="15"/>
                <w:szCs w:val="15"/>
                <w:lang w:val="en-US" w:eastAsia="zh-CN"/>
              </w:rPr>
              <w:t>②预算内容与项目内容是否匹配；</w:t>
            </w:r>
            <w:r>
              <w:rPr>
                <w:rFonts w:hint="eastAsia"/>
                <w:sz w:val="15"/>
                <w:szCs w:val="15"/>
                <w:lang w:val="en-US" w:eastAsia="zh-CN"/>
              </w:rPr>
              <w:br w:type="textWrapping"/>
            </w:r>
            <w:r>
              <w:rPr>
                <w:rFonts w:hint="eastAsia"/>
                <w:sz w:val="15"/>
                <w:szCs w:val="15"/>
                <w:lang w:val="en-US" w:eastAsia="zh-CN"/>
              </w:rPr>
              <w:t>③预算额度测算依据是否充分，是否按照标准编制；</w:t>
            </w:r>
            <w:r>
              <w:rPr>
                <w:rFonts w:hint="eastAsia"/>
                <w:sz w:val="15"/>
                <w:szCs w:val="15"/>
                <w:lang w:val="en-US" w:eastAsia="zh-CN"/>
              </w:rPr>
              <w:br w:type="textWrapping"/>
            </w:r>
            <w:r>
              <w:rPr>
                <w:rFonts w:hint="eastAsia"/>
                <w:sz w:val="15"/>
                <w:szCs w:val="15"/>
                <w:lang w:val="en-US" w:eastAsia="zh-CN"/>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continue"/>
            <w:shd w:val="clear" w:color="auto" w:fill="FFFFFF"/>
            <w:noWrap w:val="0"/>
            <w:vAlign w:val="center"/>
          </w:tcPr>
          <w:p>
            <w:pPr>
              <w:rPr>
                <w:rFonts w:hint="eastAsia"/>
                <w:sz w:val="15"/>
                <w:szCs w:val="15"/>
                <w:lang w:val="en-US" w:eastAsia="zh-CN"/>
              </w:rPr>
            </w:pP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资金分配</w:t>
            </w:r>
          </w:p>
          <w:p>
            <w:pPr>
              <w:rPr>
                <w:rFonts w:hint="eastAsia"/>
                <w:sz w:val="15"/>
                <w:szCs w:val="15"/>
                <w:lang w:val="en-US" w:eastAsia="zh-CN"/>
              </w:rPr>
            </w:pPr>
            <w:r>
              <w:rPr>
                <w:rFonts w:hint="eastAsia"/>
                <w:sz w:val="15"/>
                <w:szCs w:val="15"/>
                <w:lang w:val="en-US" w:eastAsia="zh-CN"/>
              </w:rPr>
              <w:t>合理性</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项目预算资金分配是否有测算依据，与补助单位或地方实际是否相适应，用以反映和考核项目预算资金分配的科学性、合理性情况。</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①预算资金分配依据是否充分；</w:t>
            </w:r>
            <w:r>
              <w:rPr>
                <w:rFonts w:hint="eastAsia"/>
                <w:sz w:val="15"/>
                <w:szCs w:val="15"/>
                <w:lang w:val="en-US" w:eastAsia="zh-CN"/>
              </w:rPr>
              <w:br w:type="textWrapping"/>
            </w:r>
            <w:r>
              <w:rPr>
                <w:rFonts w:hint="eastAsia"/>
                <w:sz w:val="15"/>
                <w:szCs w:val="15"/>
                <w:lang w:val="en-US" w:eastAsia="zh-CN"/>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过程</w:t>
            </w:r>
          </w:p>
        </w:tc>
        <w:tc>
          <w:tcPr>
            <w:tcW w:w="961"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资金管理</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资金到位率</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实际到位资金与预算资金的比率，用以反映和考核资金落实情况对项目实施的总体保障程度。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资金到位率=（实际到位资金/预算资金）×100%。</w:t>
            </w:r>
          </w:p>
          <w:p>
            <w:pPr>
              <w:rPr>
                <w:rFonts w:hint="eastAsia"/>
                <w:sz w:val="15"/>
                <w:szCs w:val="15"/>
                <w:lang w:val="en-US" w:eastAsia="zh-CN"/>
              </w:rPr>
            </w:pPr>
            <w:r>
              <w:rPr>
                <w:rFonts w:hint="eastAsia"/>
                <w:sz w:val="15"/>
                <w:szCs w:val="15"/>
                <w:lang w:val="en-US" w:eastAsia="zh-CN"/>
              </w:rPr>
              <w:t>实际到位资金：一定时期（本年度或项目期）内落实到具体项目的资金。</w:t>
            </w:r>
          </w:p>
          <w:p>
            <w:pPr>
              <w:rPr>
                <w:rFonts w:hint="eastAsia"/>
                <w:sz w:val="15"/>
                <w:szCs w:val="15"/>
                <w:lang w:val="en-US" w:eastAsia="zh-CN"/>
              </w:rPr>
            </w:pPr>
            <w:r>
              <w:rPr>
                <w:rFonts w:hint="eastAsia"/>
                <w:sz w:val="15"/>
                <w:szCs w:val="15"/>
                <w:lang w:val="en-US" w:eastAsia="zh-CN"/>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continue"/>
            <w:shd w:val="clear" w:color="auto" w:fill="FFFFFF"/>
            <w:noWrap w:val="0"/>
            <w:vAlign w:val="center"/>
          </w:tcPr>
          <w:p>
            <w:pPr>
              <w:rPr>
                <w:rFonts w:hint="eastAsia"/>
                <w:sz w:val="15"/>
                <w:szCs w:val="15"/>
                <w:lang w:val="en-US" w:eastAsia="zh-CN"/>
              </w:rPr>
            </w:pP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预算执行率</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项目预算资金是否按照计划执行，用以反映或考核项目预算执行情况。</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预算执行率=（实际支出资金/实际到位资金）×100%。</w:t>
            </w:r>
            <w:r>
              <w:rPr>
                <w:rFonts w:hint="eastAsia"/>
                <w:sz w:val="15"/>
                <w:szCs w:val="15"/>
                <w:lang w:val="en-US" w:eastAsia="zh-CN"/>
              </w:rPr>
              <w:br w:type="textWrapping"/>
            </w:r>
            <w:r>
              <w:rPr>
                <w:rFonts w:hint="eastAsia"/>
                <w:sz w:val="15"/>
                <w:szCs w:val="15"/>
                <w:lang w:val="en-US" w:eastAsia="zh-CN"/>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　</w:t>
            </w:r>
          </w:p>
          <w:p>
            <w:pPr>
              <w:rPr>
                <w:rFonts w:hint="eastAsia"/>
                <w:sz w:val="15"/>
                <w:szCs w:val="15"/>
                <w:lang w:val="en-US" w:eastAsia="zh-CN"/>
              </w:rPr>
            </w:pPr>
            <w:r>
              <w:rPr>
                <w:rFonts w:hint="eastAsia"/>
                <w:sz w:val="15"/>
                <w:szCs w:val="15"/>
                <w:lang w:val="en-US" w:eastAsia="zh-CN"/>
              </w:rPr>
              <w:t>过程　</w:t>
            </w: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资金管理</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资金使用</w:t>
            </w:r>
          </w:p>
          <w:p>
            <w:pPr>
              <w:rPr>
                <w:rFonts w:hint="eastAsia"/>
                <w:sz w:val="15"/>
                <w:szCs w:val="15"/>
                <w:lang w:val="en-US" w:eastAsia="zh-CN"/>
              </w:rPr>
            </w:pPr>
            <w:r>
              <w:rPr>
                <w:rFonts w:hint="eastAsia"/>
                <w:sz w:val="15"/>
                <w:szCs w:val="15"/>
                <w:lang w:val="en-US" w:eastAsia="zh-CN"/>
              </w:rPr>
              <w:t>合规性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项目资金使用是否符合相关的财务管理制度规定，用以反映和考核项目资金的规范运行情况。</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①是否符合国家财经法规和财务管理制度以及有关专项资金管理办法的规定；</w:t>
            </w:r>
            <w:r>
              <w:rPr>
                <w:rFonts w:hint="eastAsia"/>
                <w:sz w:val="15"/>
                <w:szCs w:val="15"/>
                <w:lang w:val="en-US" w:eastAsia="zh-CN"/>
              </w:rPr>
              <w:br w:type="textWrapping"/>
            </w:r>
            <w:r>
              <w:rPr>
                <w:rFonts w:hint="eastAsia"/>
                <w:sz w:val="15"/>
                <w:szCs w:val="15"/>
                <w:lang w:val="en-US" w:eastAsia="zh-CN"/>
              </w:rPr>
              <w:t>②资金的拨付是否有完整的审批程序和手续；</w:t>
            </w:r>
            <w:r>
              <w:rPr>
                <w:rFonts w:hint="eastAsia"/>
                <w:sz w:val="15"/>
                <w:szCs w:val="15"/>
                <w:lang w:val="en-US" w:eastAsia="zh-CN"/>
              </w:rPr>
              <w:br w:type="textWrapping"/>
            </w:r>
            <w:r>
              <w:rPr>
                <w:rFonts w:hint="eastAsia"/>
                <w:sz w:val="15"/>
                <w:szCs w:val="15"/>
                <w:lang w:val="en-US" w:eastAsia="zh-CN"/>
              </w:rPr>
              <w:t>③是否符合项目预算批复或合同规定的用途；</w:t>
            </w:r>
            <w:r>
              <w:rPr>
                <w:rFonts w:hint="eastAsia"/>
                <w:sz w:val="15"/>
                <w:szCs w:val="15"/>
                <w:lang w:val="en-US" w:eastAsia="zh-CN"/>
              </w:rPr>
              <w:br w:type="textWrapping"/>
            </w:r>
            <w:r>
              <w:rPr>
                <w:rFonts w:hint="eastAsia"/>
                <w:sz w:val="15"/>
                <w:szCs w:val="15"/>
                <w:lang w:val="en-US" w:eastAsia="zh-CN"/>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组织实施</w:t>
            </w:r>
          </w:p>
          <w:p>
            <w:pPr>
              <w:rPr>
                <w:rFonts w:hint="eastAsia"/>
                <w:sz w:val="15"/>
                <w:szCs w:val="15"/>
                <w:lang w:val="en-US" w:eastAsia="zh-CN"/>
              </w:rPr>
            </w:pPr>
            <w:r>
              <w:rPr>
                <w:rFonts w:hint="eastAsia"/>
                <w:sz w:val="15"/>
                <w:szCs w:val="15"/>
                <w:lang w:val="en-US" w:eastAsia="zh-CN"/>
              </w:rPr>
              <w:t>　</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管理制度</w:t>
            </w:r>
          </w:p>
          <w:p>
            <w:pPr>
              <w:rPr>
                <w:rFonts w:hint="eastAsia"/>
                <w:sz w:val="15"/>
                <w:szCs w:val="15"/>
                <w:lang w:val="en-US" w:eastAsia="zh-CN"/>
              </w:rPr>
            </w:pPr>
            <w:r>
              <w:rPr>
                <w:rFonts w:hint="eastAsia"/>
                <w:sz w:val="15"/>
                <w:szCs w:val="15"/>
                <w:lang w:val="en-US" w:eastAsia="zh-CN"/>
              </w:rPr>
              <w:t>健全性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项目实施单位的财务和业务管理制度是否健全，用以反映和考核财务和业务管理制度对项目顺利实施的保障情况。</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①是否已制定或具有相应的财务和业务管理制度；</w:t>
            </w:r>
            <w:r>
              <w:rPr>
                <w:rFonts w:hint="eastAsia"/>
                <w:sz w:val="15"/>
                <w:szCs w:val="15"/>
                <w:lang w:val="en-US" w:eastAsia="zh-CN"/>
              </w:rPr>
              <w:br w:type="textWrapping"/>
            </w:r>
            <w:r>
              <w:rPr>
                <w:rFonts w:hint="eastAsia"/>
                <w:sz w:val="15"/>
                <w:szCs w:val="15"/>
                <w:lang w:val="en-US" w:eastAsia="zh-CN"/>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continue"/>
            <w:shd w:val="clear" w:color="auto" w:fill="FFFFFF"/>
            <w:noWrap w:val="0"/>
            <w:vAlign w:val="center"/>
          </w:tcPr>
          <w:p>
            <w:pPr>
              <w:rPr>
                <w:rFonts w:hint="eastAsia"/>
                <w:sz w:val="15"/>
                <w:szCs w:val="15"/>
                <w:lang w:val="en-US" w:eastAsia="zh-CN"/>
              </w:rPr>
            </w:pP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制度执行</w:t>
            </w:r>
          </w:p>
          <w:p>
            <w:pPr>
              <w:rPr>
                <w:rFonts w:hint="eastAsia"/>
                <w:sz w:val="15"/>
                <w:szCs w:val="15"/>
                <w:lang w:val="en-US" w:eastAsia="zh-CN"/>
              </w:rPr>
            </w:pPr>
            <w:r>
              <w:rPr>
                <w:rFonts w:hint="eastAsia"/>
                <w:sz w:val="15"/>
                <w:szCs w:val="15"/>
                <w:lang w:val="en-US" w:eastAsia="zh-CN"/>
              </w:rPr>
              <w:t>有效性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项目实施是否符合相关管理规定，用以反映和考核相关管理制度的有效执行情况。</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评价要点：</w:t>
            </w:r>
            <w:r>
              <w:rPr>
                <w:rFonts w:hint="eastAsia"/>
                <w:sz w:val="15"/>
                <w:szCs w:val="15"/>
                <w:lang w:val="en-US" w:eastAsia="zh-CN"/>
              </w:rPr>
              <w:br w:type="textWrapping"/>
            </w:r>
            <w:r>
              <w:rPr>
                <w:rFonts w:hint="eastAsia"/>
                <w:sz w:val="15"/>
                <w:szCs w:val="15"/>
                <w:lang w:val="en-US" w:eastAsia="zh-CN"/>
              </w:rPr>
              <w:t>①是否遵守相关法律法规和相关管理规定；</w:t>
            </w:r>
            <w:r>
              <w:rPr>
                <w:rFonts w:hint="eastAsia"/>
                <w:sz w:val="15"/>
                <w:szCs w:val="15"/>
                <w:lang w:val="en-US" w:eastAsia="zh-CN"/>
              </w:rPr>
              <w:br w:type="textWrapping"/>
            </w:r>
            <w:r>
              <w:rPr>
                <w:rFonts w:hint="eastAsia"/>
                <w:sz w:val="15"/>
                <w:szCs w:val="15"/>
                <w:lang w:val="en-US" w:eastAsia="zh-CN"/>
              </w:rPr>
              <w:t>②项目调整及支出调整手续是否完备；</w:t>
            </w:r>
            <w:r>
              <w:rPr>
                <w:rFonts w:hint="eastAsia"/>
                <w:sz w:val="15"/>
                <w:szCs w:val="15"/>
                <w:lang w:val="en-US" w:eastAsia="zh-CN"/>
              </w:rPr>
              <w:br w:type="textWrapping"/>
            </w:r>
            <w:r>
              <w:rPr>
                <w:rFonts w:hint="eastAsia"/>
                <w:sz w:val="15"/>
                <w:szCs w:val="15"/>
                <w:lang w:val="en-US" w:eastAsia="zh-CN"/>
              </w:rPr>
              <w:t>③项目合同书、验收报告、技术鉴定等资料是否齐全并及时归档；</w:t>
            </w:r>
            <w:r>
              <w:rPr>
                <w:rFonts w:hint="eastAsia"/>
                <w:sz w:val="15"/>
                <w:szCs w:val="15"/>
                <w:lang w:val="en-US" w:eastAsia="zh-CN"/>
              </w:rPr>
              <w:br w:type="textWrapping"/>
            </w:r>
            <w:r>
              <w:rPr>
                <w:rFonts w:hint="eastAsia"/>
                <w:sz w:val="15"/>
                <w:szCs w:val="15"/>
                <w:lang w:val="en-US" w:eastAsia="zh-CN"/>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634" w:type="dxa"/>
            <w:shd w:val="clear" w:color="auto" w:fill="FFFFFF"/>
            <w:noWrap w:val="0"/>
            <w:vAlign w:val="center"/>
          </w:tcPr>
          <w:p>
            <w:pPr>
              <w:rPr>
                <w:rFonts w:hint="eastAsia"/>
                <w:sz w:val="15"/>
                <w:szCs w:val="15"/>
                <w:lang w:val="en-US" w:eastAsia="zh-CN"/>
              </w:rPr>
            </w:pPr>
            <w:r>
              <w:rPr>
                <w:rFonts w:hint="eastAsia"/>
                <w:sz w:val="15"/>
                <w:szCs w:val="15"/>
                <w:lang w:val="en-US" w:eastAsia="zh-CN"/>
              </w:rPr>
              <w:t>产出</w:t>
            </w: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产出数量</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实际完成率</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项目实施的实际产出数与计划产出数的比率，用以反映和考核项目产出数量目标的实现程度。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实际完成率=（实际产出数/计划产出数）×100%。</w:t>
            </w:r>
            <w:r>
              <w:rPr>
                <w:rFonts w:hint="eastAsia"/>
                <w:sz w:val="15"/>
                <w:szCs w:val="15"/>
                <w:lang w:val="en-US" w:eastAsia="zh-CN"/>
              </w:rPr>
              <w:br w:type="textWrapping"/>
            </w:r>
            <w:r>
              <w:rPr>
                <w:rFonts w:hint="eastAsia"/>
                <w:sz w:val="15"/>
                <w:szCs w:val="15"/>
                <w:lang w:val="en-US" w:eastAsia="zh-CN"/>
              </w:rPr>
              <w:t>实际产出数：一定时期（本年度或项目期）内项目实际产出的产品或提供的服务数量。</w:t>
            </w:r>
            <w:r>
              <w:rPr>
                <w:rFonts w:hint="eastAsia"/>
                <w:sz w:val="15"/>
                <w:szCs w:val="15"/>
                <w:lang w:val="en-US" w:eastAsia="zh-CN"/>
              </w:rPr>
              <w:br w:type="textWrapping"/>
            </w:r>
            <w:r>
              <w:rPr>
                <w:rFonts w:hint="eastAsia"/>
                <w:sz w:val="15"/>
                <w:szCs w:val="15"/>
                <w:lang w:val="en-US" w:eastAsia="zh-CN"/>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产出</w:t>
            </w: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产出质量</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质量达标率</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项目完成的质量达标产出数与实际产出数的比率，用以反映和考核项目产出质量目标的实现程度。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质量达标率=（质量达标产出数/实际产出数）×100%。</w:t>
            </w:r>
          </w:p>
          <w:p>
            <w:pPr>
              <w:rPr>
                <w:rFonts w:hint="eastAsia"/>
                <w:sz w:val="15"/>
                <w:szCs w:val="15"/>
                <w:lang w:val="en-US" w:eastAsia="zh-CN"/>
              </w:rPr>
            </w:pPr>
            <w:r>
              <w:rPr>
                <w:rFonts w:hint="eastAsia"/>
                <w:sz w:val="15"/>
                <w:szCs w:val="15"/>
                <w:lang w:val="en-US" w:eastAsia="zh-CN"/>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产出时效</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完成及时性</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项目实际完成时间与计划完成时间的比较，用以反映和考核项目产出时效目标的实现程度。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实际完成时间：项目实施单位完成该项目实际所耗用的时间。</w:t>
            </w:r>
            <w:r>
              <w:rPr>
                <w:rFonts w:hint="eastAsia"/>
                <w:sz w:val="15"/>
                <w:szCs w:val="15"/>
                <w:lang w:val="en-US" w:eastAsia="zh-CN"/>
              </w:rPr>
              <w:br w:type="textWrapping"/>
            </w:r>
            <w:r>
              <w:rPr>
                <w:rFonts w:hint="eastAsia"/>
                <w:sz w:val="15"/>
                <w:szCs w:val="15"/>
                <w:lang w:val="en-US" w:eastAsia="zh-CN"/>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shd w:val="clear" w:color="auto" w:fill="FFFFFF"/>
            <w:noWrap w:val="0"/>
            <w:vAlign w:val="center"/>
          </w:tcPr>
          <w:p>
            <w:pPr>
              <w:rPr>
                <w:rFonts w:hint="eastAsia"/>
                <w:sz w:val="15"/>
                <w:szCs w:val="15"/>
                <w:lang w:val="en-US" w:eastAsia="zh-CN"/>
              </w:rPr>
            </w:pPr>
            <w:r>
              <w:rPr>
                <w:rFonts w:hint="eastAsia"/>
                <w:sz w:val="15"/>
                <w:szCs w:val="15"/>
                <w:lang w:val="en-US" w:eastAsia="zh-CN"/>
              </w:rPr>
              <w:t>产出成本</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成本节约率</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完成项目计划工作目标的实际节约成本与计划成本的比率，用以反映和考核项目的成本节约程度。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br w:type="textWrapping"/>
            </w:r>
            <w:r>
              <w:rPr>
                <w:rFonts w:hint="eastAsia"/>
                <w:sz w:val="15"/>
                <w:szCs w:val="15"/>
                <w:lang w:val="en-US" w:eastAsia="zh-CN"/>
              </w:rPr>
              <w:t>成本节约率=[（计划成本-实际成本）/计划成本]×100%。</w:t>
            </w:r>
            <w:r>
              <w:rPr>
                <w:rFonts w:hint="eastAsia"/>
                <w:sz w:val="15"/>
                <w:szCs w:val="15"/>
                <w:lang w:val="en-US" w:eastAsia="zh-CN"/>
              </w:rPr>
              <w:br w:type="textWrapping"/>
            </w:r>
            <w:r>
              <w:rPr>
                <w:rFonts w:hint="eastAsia"/>
                <w:sz w:val="15"/>
                <w:szCs w:val="15"/>
                <w:lang w:val="en-US" w:eastAsia="zh-CN"/>
              </w:rPr>
              <w:t>实际成本：项目实施单位如期、保质、保量完成既定工作目标实际所耗费的支出。</w:t>
            </w:r>
            <w:r>
              <w:rPr>
                <w:rFonts w:hint="eastAsia"/>
                <w:sz w:val="15"/>
                <w:szCs w:val="15"/>
                <w:lang w:val="en-US" w:eastAsia="zh-CN"/>
              </w:rPr>
              <w:br w:type="textWrapping"/>
            </w:r>
            <w:r>
              <w:rPr>
                <w:rFonts w:hint="eastAsia"/>
                <w:sz w:val="15"/>
                <w:szCs w:val="15"/>
                <w:lang w:val="en-US" w:eastAsia="zh-CN"/>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634"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效益　</w:t>
            </w:r>
          </w:p>
        </w:tc>
        <w:tc>
          <w:tcPr>
            <w:tcW w:w="961" w:type="dxa"/>
            <w:vMerge w:val="restart"/>
            <w:shd w:val="clear" w:color="auto" w:fill="FFFFFF"/>
            <w:noWrap w:val="0"/>
            <w:vAlign w:val="center"/>
          </w:tcPr>
          <w:p>
            <w:pPr>
              <w:rPr>
                <w:rFonts w:hint="eastAsia"/>
                <w:sz w:val="15"/>
                <w:szCs w:val="15"/>
                <w:lang w:val="en-US" w:eastAsia="zh-CN"/>
              </w:rPr>
            </w:pPr>
            <w:r>
              <w:rPr>
                <w:rFonts w:hint="eastAsia"/>
                <w:sz w:val="15"/>
                <w:szCs w:val="15"/>
                <w:lang w:val="en-US" w:eastAsia="zh-CN"/>
              </w:rPr>
              <w:t>项目效益　</w:t>
            </w: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实施效益</w:t>
            </w:r>
          </w:p>
        </w:tc>
        <w:tc>
          <w:tcPr>
            <w:tcW w:w="2752"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项目实施所产生的效益。</w:t>
            </w:r>
          </w:p>
        </w:tc>
        <w:tc>
          <w:tcPr>
            <w:tcW w:w="5693" w:type="dxa"/>
            <w:shd w:val="clear" w:color="auto" w:fill="FFFFFF"/>
            <w:noWrap w:val="0"/>
            <w:vAlign w:val="center"/>
          </w:tcPr>
          <w:p>
            <w:pPr>
              <w:rPr>
                <w:rFonts w:hint="eastAsia"/>
                <w:sz w:val="15"/>
                <w:szCs w:val="15"/>
                <w:lang w:val="en-US" w:eastAsia="zh-CN"/>
              </w:rPr>
            </w:pPr>
            <w:r>
              <w:rPr>
                <w:rFonts w:hint="eastAsia"/>
                <w:sz w:val="15"/>
                <w:szCs w:val="15"/>
                <w:lang w:val="en-US" w:eastAsia="zh-CN"/>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634" w:type="dxa"/>
            <w:vMerge w:val="continue"/>
            <w:shd w:val="clear" w:color="auto" w:fill="FFFFFF"/>
            <w:noWrap w:val="0"/>
            <w:vAlign w:val="center"/>
          </w:tcPr>
          <w:p>
            <w:pPr>
              <w:rPr>
                <w:rFonts w:hint="eastAsia"/>
                <w:sz w:val="15"/>
                <w:szCs w:val="15"/>
                <w:lang w:val="en-US" w:eastAsia="zh-CN"/>
              </w:rPr>
            </w:pPr>
          </w:p>
        </w:tc>
        <w:tc>
          <w:tcPr>
            <w:tcW w:w="961" w:type="dxa"/>
            <w:vMerge w:val="continue"/>
            <w:shd w:val="clear" w:color="auto" w:fill="FFFFFF"/>
            <w:noWrap w:val="0"/>
            <w:vAlign w:val="center"/>
          </w:tcPr>
          <w:p>
            <w:pPr>
              <w:rPr>
                <w:rFonts w:hint="eastAsia"/>
                <w:sz w:val="15"/>
                <w:szCs w:val="15"/>
                <w:lang w:val="en-US" w:eastAsia="zh-CN"/>
              </w:rPr>
            </w:pPr>
          </w:p>
        </w:tc>
        <w:tc>
          <w:tcPr>
            <w:tcW w:w="1219" w:type="dxa"/>
            <w:shd w:val="clear" w:color="auto" w:fill="FFFFFF"/>
            <w:noWrap w:val="0"/>
            <w:vAlign w:val="center"/>
          </w:tcPr>
          <w:p>
            <w:pPr>
              <w:rPr>
                <w:rFonts w:hint="eastAsia"/>
                <w:sz w:val="15"/>
                <w:szCs w:val="15"/>
                <w:lang w:val="en-US" w:eastAsia="zh-CN"/>
              </w:rPr>
            </w:pPr>
            <w:r>
              <w:rPr>
                <w:rFonts w:hint="eastAsia"/>
                <w:sz w:val="15"/>
                <w:szCs w:val="15"/>
                <w:lang w:val="en-US" w:eastAsia="zh-CN"/>
              </w:rPr>
              <w:t>满意度</w:t>
            </w:r>
          </w:p>
        </w:tc>
        <w:tc>
          <w:tcPr>
            <w:tcW w:w="2752" w:type="dxa"/>
            <w:shd w:val="clear" w:color="000000" w:fill="FFFFFF"/>
            <w:noWrap w:val="0"/>
            <w:vAlign w:val="center"/>
          </w:tcPr>
          <w:p>
            <w:pPr>
              <w:rPr>
                <w:rFonts w:hint="eastAsia"/>
                <w:sz w:val="15"/>
                <w:szCs w:val="15"/>
                <w:lang w:val="en-US" w:eastAsia="zh-CN"/>
              </w:rPr>
            </w:pPr>
            <w:r>
              <w:rPr>
                <w:rFonts w:hint="eastAsia"/>
                <w:sz w:val="15"/>
                <w:szCs w:val="15"/>
                <w:lang w:val="en-US" w:eastAsia="zh-CN"/>
              </w:rPr>
              <w:t>社会公众或服务对象对项目实施效果的满意程度。</w:t>
            </w:r>
          </w:p>
        </w:tc>
        <w:tc>
          <w:tcPr>
            <w:tcW w:w="5693" w:type="dxa"/>
            <w:shd w:val="clear" w:color="000000" w:fill="FFFFFF"/>
            <w:noWrap w:val="0"/>
            <w:vAlign w:val="center"/>
          </w:tcPr>
          <w:p>
            <w:pPr>
              <w:rPr>
                <w:rFonts w:hint="eastAsia"/>
                <w:sz w:val="15"/>
                <w:szCs w:val="15"/>
                <w:lang w:val="en-US" w:eastAsia="zh-CN"/>
              </w:rPr>
            </w:pPr>
            <w:r>
              <w:rPr>
                <w:rFonts w:hint="eastAsia"/>
                <w:sz w:val="15"/>
                <w:szCs w:val="15"/>
                <w:lang w:val="en-US" w:eastAsia="zh-CN"/>
              </w:rPr>
              <w:t>社会公众或服务对象是指因该项目实施而受到影响的部门（单位）、群体或个人。一般采取社会调查的方式。</w:t>
            </w:r>
          </w:p>
        </w:tc>
      </w:tr>
    </w:tbl>
    <w:p>
      <w:pPr>
        <w:ind w:firstLine="900" w:firstLineChars="300"/>
        <w:rPr>
          <w:rFonts w:hint="default" w:ascii="仿宋_GB2312" w:hAnsi="Times New Roman" w:cs="Times New Roman"/>
        </w:rPr>
      </w:pPr>
      <w:r>
        <w:rPr>
          <w:rFonts w:hint="default" w:ascii="仿宋_GB2312" w:hAnsi="Times New Roman" w:cs="Times New Roman"/>
        </w:rPr>
        <w:t>3、评价方法：</w:t>
      </w:r>
      <w:r>
        <w:rPr>
          <w:rFonts w:hint="eastAsia" w:ascii="仿宋_GB2312" w:hAnsi="Times New Roman" w:cs="Times New Roman"/>
          <w:lang w:eastAsia="zh-CN"/>
        </w:rPr>
        <w:t>昌江区城市管理行政执法局</w:t>
      </w:r>
      <w:r>
        <w:rPr>
          <w:rFonts w:hint="default" w:ascii="仿宋_GB2312" w:hAnsi="Times New Roman" w:cs="Times New Roman"/>
        </w:rPr>
        <w:t>2019年</w:t>
      </w:r>
      <w:r>
        <w:rPr>
          <w:rFonts w:hint="eastAsia" w:ascii="仿宋_GB2312" w:hAnsi="Times New Roman" w:cs="Times New Roman"/>
          <w:lang w:eastAsia="zh-CN"/>
        </w:rPr>
        <w:t>打击两违专项经费项目</w:t>
      </w:r>
      <w:r>
        <w:rPr>
          <w:rFonts w:hint="default" w:ascii="仿宋_GB2312" w:hAnsi="Times New Roman" w:cs="Times New Roman"/>
        </w:rPr>
        <w:t>绩效评价工作采用目标管理法、结果比较法等科学方法进行客观评价。</w:t>
      </w:r>
    </w:p>
    <w:p>
      <w:pPr>
        <w:ind w:firstLine="900" w:firstLineChars="300"/>
        <w:rPr>
          <w:rFonts w:hint="default" w:ascii="仿宋_GB2312" w:hAnsi="Times New Roman" w:cs="Times New Roman"/>
          <w:lang w:val="en-US" w:eastAsia="zh-CN"/>
        </w:rPr>
      </w:pPr>
      <w:r>
        <w:rPr>
          <w:rFonts w:hint="default" w:ascii="仿宋_GB2312" w:hAnsi="Times New Roman" w:cs="Times New Roman"/>
          <w:lang w:val="en-US" w:eastAsia="zh-CN"/>
        </w:rPr>
        <w:t>4、评价标准：绩效评价以《</w:t>
      </w:r>
      <w:r>
        <w:rPr>
          <w:rFonts w:hint="eastAsia" w:ascii="仿宋_GB2312" w:hAnsi="Times New Roman" w:cs="Times New Roman"/>
          <w:lang w:val="en-US" w:eastAsia="zh-CN"/>
        </w:rPr>
        <w:t>项目支出绩效评价指标体系框架</w:t>
      </w:r>
      <w:r>
        <w:rPr>
          <w:rFonts w:hint="default" w:ascii="仿宋_GB2312" w:hAnsi="Times New Roman" w:cs="Times New Roman"/>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pPr>
        <w:spacing w:line="600" w:lineRule="exact"/>
        <w:ind w:firstLine="300" w:firstLineChars="100"/>
        <w:rPr>
          <w:rFonts w:hint="eastAsia" w:ascii="仿宋_GB2312"/>
        </w:rPr>
      </w:pPr>
      <w:r>
        <w:rPr>
          <w:rFonts w:hint="eastAsia" w:ascii="仿宋_GB2312"/>
        </w:rPr>
        <w:t>（三）绩效评价工作过程。</w:t>
      </w:r>
    </w:p>
    <w:p>
      <w:pPr>
        <w:spacing w:line="600" w:lineRule="exact"/>
        <w:ind w:firstLine="900" w:firstLineChars="300"/>
      </w:pPr>
      <w:r>
        <w:rPr>
          <w:rFonts w:hint="eastAsia" w:ascii="仿宋_GB2312" w:hAnsi="Times New Roman" w:eastAsia="仿宋_GB2312" w:cs="Times New Roman"/>
          <w:kern w:val="2"/>
          <w:sz w:val="30"/>
          <w:szCs w:val="24"/>
          <w:lang w:val="en-US" w:eastAsia="zh-CN" w:bidi="ar-SA"/>
        </w:rPr>
        <w:t>根据绩效评价工作要求，我</w:t>
      </w:r>
      <w:r>
        <w:rPr>
          <w:rFonts w:hint="eastAsia" w:ascii="仿宋_GB2312" w:hAnsi="Times New Roman" w:cs="Times New Roman"/>
          <w:kern w:val="2"/>
          <w:sz w:val="30"/>
          <w:szCs w:val="24"/>
          <w:lang w:val="en-US" w:eastAsia="zh-CN" w:bidi="ar-SA"/>
        </w:rPr>
        <w:t>局</w:t>
      </w:r>
      <w:r>
        <w:rPr>
          <w:rFonts w:hint="eastAsia" w:ascii="仿宋_GB2312" w:hAnsi="Times New Roman" w:eastAsia="仿宋_GB2312" w:cs="Times New Roman"/>
          <w:kern w:val="2"/>
          <w:sz w:val="30"/>
          <w:szCs w:val="24"/>
          <w:lang w:val="en-US" w:eastAsia="zh-CN" w:bidi="ar-SA"/>
        </w:rPr>
        <w:t>成立了绩效评价工作小组，对照自评方案进行研究和</w:t>
      </w:r>
      <w:r>
        <w:rPr>
          <w:rFonts w:hint="eastAsia" w:ascii="仿宋_GB2312" w:cs="Times New Roman"/>
          <w:kern w:val="2"/>
          <w:sz w:val="30"/>
          <w:szCs w:val="24"/>
          <w:lang w:val="en-US" w:eastAsia="zh-CN" w:bidi="ar-SA"/>
        </w:rPr>
        <w:t>部署</w:t>
      </w:r>
      <w:bookmarkStart w:id="0" w:name="_GoBack"/>
      <w:bookmarkEnd w:id="0"/>
      <w:r>
        <w:rPr>
          <w:rFonts w:hint="eastAsia" w:ascii="仿宋_GB2312" w:hAnsi="Times New Roman" w:eastAsia="仿宋_GB2312" w:cs="Times New Roman"/>
          <w:kern w:val="2"/>
          <w:sz w:val="30"/>
          <w:szCs w:val="24"/>
          <w:lang w:val="en-US" w:eastAsia="zh-CN" w:bidi="ar-SA"/>
        </w:rPr>
        <w:t>，党组成员及各科室全程参与，按照自评方案的要求，对照各实施项目的内容逐条逐项自评。在自评过程中，发现问题，查找原因，及时纠正偏差，为下一步工作夯实基础。</w:t>
      </w:r>
    </w:p>
    <w:p>
      <w:pPr>
        <w:spacing w:line="600" w:lineRule="exact"/>
        <w:ind w:firstLine="600" w:firstLineChars="200"/>
        <w:rPr>
          <w:rFonts w:hint="eastAsia" w:ascii="仿宋_GB2312"/>
        </w:rPr>
      </w:pPr>
      <w:r>
        <w:rPr>
          <w:rFonts w:hint="eastAsia" w:ascii="黑体" w:hAnsi="黑体" w:eastAsia="黑体"/>
        </w:rPr>
        <w:t>三、综合评价情况及评价结论</w:t>
      </w:r>
      <w:r>
        <w:rPr>
          <w:rFonts w:hint="eastAsia" w:ascii="仿宋_GB2312"/>
        </w:rPr>
        <w:t>（附相关评分表）</w:t>
      </w:r>
    </w:p>
    <w:p>
      <w:pPr>
        <w:keepNext w:val="0"/>
        <w:keepLines w:val="0"/>
        <w:pageBreakBefore w:val="0"/>
        <w:widowControl w:val="0"/>
        <w:kinsoku/>
        <w:wordWrap/>
        <w:overflowPunct/>
        <w:topLinePunct w:val="0"/>
        <w:autoSpaceDE/>
        <w:autoSpaceDN/>
        <w:bidi w:val="0"/>
        <w:adjustRightInd/>
        <w:snapToGrid/>
        <w:spacing w:line="120" w:lineRule="auto"/>
        <w:ind w:firstLine="1200" w:firstLineChars="4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根据对我</w:t>
      </w:r>
      <w:r>
        <w:rPr>
          <w:rFonts w:hint="eastAsia" w:ascii="仿宋_GB2312" w:hAnsi="Times New Roman" w:cs="Times New Roman"/>
          <w:kern w:val="2"/>
          <w:sz w:val="30"/>
          <w:szCs w:val="24"/>
          <w:lang w:val="en-US" w:eastAsia="zh-CN" w:bidi="ar-SA"/>
        </w:rPr>
        <w:t>局</w:t>
      </w:r>
      <w:r>
        <w:rPr>
          <w:rFonts w:hint="eastAsia" w:ascii="仿宋_GB2312" w:hAnsi="Times New Roman" w:eastAsia="仿宋_GB2312" w:cs="Times New Roman"/>
          <w:kern w:val="2"/>
          <w:sz w:val="30"/>
          <w:szCs w:val="24"/>
          <w:lang w:val="en-US" w:eastAsia="zh-CN" w:bidi="ar-SA"/>
        </w:rPr>
        <w:t>2019年度部门财政项目支出绩效评价指标体系和绩效情况的检查，2019年我</w:t>
      </w:r>
      <w:r>
        <w:rPr>
          <w:rFonts w:hint="eastAsia" w:ascii="仿宋_GB2312" w:cs="Times New Roman"/>
          <w:kern w:val="2"/>
          <w:sz w:val="30"/>
          <w:szCs w:val="24"/>
          <w:lang w:val="en-US" w:eastAsia="zh-CN" w:bidi="ar-SA"/>
        </w:rPr>
        <w:t>局</w:t>
      </w:r>
      <w:r>
        <w:rPr>
          <w:rFonts w:hint="eastAsia" w:ascii="仿宋_GB2312" w:hAnsi="Times New Roman" w:eastAsia="仿宋_GB2312" w:cs="Times New Roman"/>
          <w:kern w:val="2"/>
          <w:sz w:val="30"/>
          <w:szCs w:val="24"/>
          <w:lang w:val="en-US" w:eastAsia="zh-CN" w:bidi="ar-SA"/>
        </w:rPr>
        <w:t>项目</w:t>
      </w:r>
      <w:r>
        <w:rPr>
          <w:rFonts w:hint="eastAsia" w:ascii="仿宋_GB2312" w:hAnsi="Times New Roman" w:cs="Times New Roman"/>
          <w:kern w:val="2"/>
          <w:sz w:val="30"/>
          <w:szCs w:val="24"/>
          <w:lang w:val="en-US" w:eastAsia="zh-CN" w:bidi="ar-SA"/>
        </w:rPr>
        <w:t>打击两违专项经费</w:t>
      </w:r>
      <w:r>
        <w:rPr>
          <w:rFonts w:hint="eastAsia" w:ascii="仿宋_GB2312" w:hAnsi="Times New Roman" w:eastAsia="仿宋_GB2312" w:cs="Times New Roman"/>
          <w:kern w:val="2"/>
          <w:sz w:val="30"/>
          <w:szCs w:val="24"/>
          <w:lang w:val="en-US" w:eastAsia="zh-CN" w:bidi="ar-SA"/>
        </w:rPr>
        <w:t>绩效自评分为</w:t>
      </w:r>
      <w:r>
        <w:rPr>
          <w:rFonts w:hint="eastAsia" w:ascii="仿宋_GB2312" w:hAnsi="Times New Roman" w:cs="Times New Roman"/>
          <w:kern w:val="2"/>
          <w:sz w:val="30"/>
          <w:szCs w:val="24"/>
          <w:lang w:val="en-US" w:eastAsia="zh-CN" w:bidi="ar-SA"/>
        </w:rPr>
        <w:t>96</w:t>
      </w:r>
      <w:r>
        <w:rPr>
          <w:rFonts w:hint="eastAsia" w:ascii="仿宋_GB2312" w:hAnsi="Times New Roman" w:eastAsia="仿宋_GB2312" w:cs="Times New Roman"/>
          <w:kern w:val="2"/>
          <w:sz w:val="30"/>
          <w:szCs w:val="24"/>
          <w:lang w:val="en-US" w:eastAsia="zh-CN" w:bidi="ar-SA"/>
        </w:rPr>
        <w:t>分、评价分为</w:t>
      </w:r>
      <w:r>
        <w:rPr>
          <w:rFonts w:hint="eastAsia" w:ascii="仿宋_GB2312" w:cs="Times New Roman"/>
          <w:kern w:val="2"/>
          <w:sz w:val="30"/>
          <w:szCs w:val="24"/>
          <w:lang w:val="en-US" w:eastAsia="zh-CN" w:bidi="ar-SA"/>
        </w:rPr>
        <w:t>96</w:t>
      </w:r>
      <w:r>
        <w:rPr>
          <w:rFonts w:hint="eastAsia" w:ascii="仿宋_GB2312" w:hAnsi="Times New Roman" w:eastAsia="仿宋_GB2312" w:cs="Times New Roman"/>
          <w:kern w:val="2"/>
          <w:sz w:val="30"/>
          <w:szCs w:val="24"/>
          <w:lang w:val="en-US" w:eastAsia="zh-CN" w:bidi="ar-SA"/>
        </w:rPr>
        <w:t>分，为“</w:t>
      </w:r>
      <w:r>
        <w:rPr>
          <w:rFonts w:hint="eastAsia" w:ascii="仿宋_GB2312" w:hAnsi="Times New Roman" w:cs="Times New Roman"/>
          <w:kern w:val="2"/>
          <w:sz w:val="30"/>
          <w:szCs w:val="24"/>
          <w:lang w:val="en-US" w:eastAsia="zh-CN" w:bidi="ar-SA"/>
        </w:rPr>
        <w:t>优</w:t>
      </w:r>
      <w:r>
        <w:rPr>
          <w:rFonts w:hint="eastAsia" w:ascii="仿宋_GB2312" w:hAnsi="Times New Roman" w:eastAsia="仿宋_GB2312" w:cs="Times New Roman"/>
          <w:kern w:val="2"/>
          <w:sz w:val="30"/>
          <w:szCs w:val="24"/>
          <w:lang w:val="en-US" w:eastAsia="zh-CN" w:bidi="ar-SA"/>
        </w:rPr>
        <w:t>”等级（详见附件</w:t>
      </w:r>
      <w:r>
        <w:rPr>
          <w:rFonts w:hint="eastAsia" w:ascii="仿宋_GB2312" w:hAnsi="Times New Roman" w:cs="Times New Roman"/>
          <w:kern w:val="2"/>
          <w:sz w:val="30"/>
          <w:szCs w:val="24"/>
          <w:lang w:val="en-US" w:eastAsia="zh-CN" w:bidi="ar-SA"/>
        </w:rPr>
        <w:t>项目支出绩效自评表</w:t>
      </w:r>
      <w:r>
        <w:rPr>
          <w:rFonts w:hint="eastAsia" w:ascii="仿宋_GB2312" w:hAnsi="Times New Roman" w:eastAsia="仿宋_GB2312" w:cs="Times New Roman"/>
          <w:kern w:val="2"/>
          <w:sz w:val="30"/>
          <w:szCs w:val="24"/>
          <w:lang w:val="en-US" w:eastAsia="zh-CN" w:bidi="ar-SA"/>
        </w:rPr>
        <w:t>）。我局依据市、区打击“两违”工作相关要求，大力打击区域“两违”行为，今年以来共下发违法用地和违章建筑告知单233份；下发各乡镇（街道）催办单39份，其中转督办单33份；建立拆违台账538份；接收审查“两违”行为个案调查表82处；设立了“两违”管控工作站，确保24小时不间断的巡查，加强了对夜间偷建、抢建“两违”现象的打击力度，做到对</w:t>
      </w:r>
      <w:r>
        <w:rPr>
          <w:rFonts w:hint="eastAsia" w:ascii="仿宋" w:hAnsi="仿宋" w:eastAsia="仿宋" w:cs="仿宋"/>
          <w:b w:val="0"/>
          <w:bCs w:val="0"/>
          <w:sz w:val="32"/>
          <w:szCs w:val="32"/>
          <w:u w:val="none"/>
          <w:lang w:val="en-US" w:eastAsia="zh-CN"/>
        </w:rPr>
        <w:t>“</w:t>
      </w:r>
      <w:r>
        <w:rPr>
          <w:rFonts w:hint="eastAsia" w:ascii="仿宋_GB2312" w:hAnsi="Times New Roman" w:eastAsia="仿宋_GB2312" w:cs="Times New Roman"/>
          <w:kern w:val="2"/>
          <w:sz w:val="30"/>
          <w:szCs w:val="24"/>
          <w:lang w:val="en-US" w:eastAsia="zh-CN" w:bidi="ar-SA"/>
        </w:rPr>
        <w:t>两违”行为及时发现，及时拆除。加强与其他部门联系，积极联合国土、住建、公安、街道乡镇等部门进行联合执法行动，形成查处“两违”行为的强大合力。我局开展打击“两违”工作共出动执法人员5000余人次，大小机械18余台，拆除违章建筑658处，拆除面积约为45179平方米。</w:t>
      </w:r>
    </w:p>
    <w:p>
      <w:pPr>
        <w:spacing w:line="600" w:lineRule="exact"/>
        <w:rPr>
          <w:rFonts w:hint="eastAsia" w:ascii="楷体_GB2312" w:eastAsia="楷体_GB2312"/>
          <w:b/>
          <w:sz w:val="32"/>
          <w:szCs w:val="32"/>
        </w:rPr>
      </w:pPr>
    </w:p>
    <w:p>
      <w:pPr>
        <w:pStyle w:val="3"/>
        <w:spacing w:before="0" w:after="0" w:line="24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项目支出绩效评价指标体系框架</w:t>
      </w:r>
    </w:p>
    <w:tbl>
      <w:tblPr>
        <w:tblStyle w:val="5"/>
        <w:tblpPr w:leftFromText="180" w:rightFromText="180" w:vertAnchor="text" w:horzAnchor="page" w:tblpX="110" w:tblpY="321"/>
        <w:tblOverlap w:val="never"/>
        <w:tblW w:w="116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963"/>
        <w:gridCol w:w="1338"/>
        <w:gridCol w:w="2687"/>
        <w:gridCol w:w="2320"/>
        <w:gridCol w:w="2860"/>
        <w:gridCol w:w="5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trPr>
        <w:tc>
          <w:tcPr>
            <w:tcW w:w="861"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963"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338"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687"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2320"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2860"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评价标准</w:t>
            </w:r>
          </w:p>
        </w:tc>
        <w:tc>
          <w:tcPr>
            <w:tcW w:w="583"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自评分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trPr>
        <w:tc>
          <w:tcPr>
            <w:tcW w:w="861" w:type="dxa"/>
            <w:vMerge w:val="restart"/>
            <w:shd w:val="clear" w:color="auto" w:fill="FFFFFF"/>
            <w:noWrap w:val="0"/>
            <w:vAlign w:val="center"/>
          </w:tcPr>
          <w:p>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决策（</w:t>
            </w:r>
            <w:r>
              <w:rPr>
                <w:rFonts w:hint="eastAsia" w:ascii="宋体" w:hAnsi="宋体" w:eastAsia="宋体" w:cs="宋体"/>
                <w:color w:val="000000"/>
                <w:kern w:val="0"/>
                <w:sz w:val="22"/>
                <w:szCs w:val="22"/>
                <w:lang w:val="en-US" w:eastAsia="zh-CN"/>
              </w:rPr>
              <w:t>18分</w:t>
            </w:r>
            <w:r>
              <w:rPr>
                <w:rFonts w:hint="eastAsia" w:ascii="宋体" w:hAnsi="宋体" w:eastAsia="宋体" w:cs="宋体"/>
                <w:color w:val="000000"/>
                <w:kern w:val="0"/>
                <w:sz w:val="22"/>
                <w:szCs w:val="22"/>
                <w:lang w:eastAsia="zh-CN"/>
              </w:rPr>
              <w:t>）</w:t>
            </w:r>
          </w:p>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3"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绩效目标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10分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合理性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2320"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w:t>
            </w:r>
          </w:p>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2860" w:type="dxa"/>
            <w:shd w:val="clear" w:color="000000" w:fill="FFFFFF"/>
            <w:noWrap w:val="0"/>
            <w:vAlign w:val="center"/>
          </w:tcPr>
          <w:p>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①项目有绩效目标；</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②项目绩效目标与实际工作内容具有相关性；</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③项目预期产出效益和效果符合正常的业绩水平；</w:t>
            </w:r>
            <w:r>
              <w:rPr>
                <w:rFonts w:hint="eastAsia" w:ascii="宋体" w:hAnsi="宋体" w:eastAsia="宋体" w:cs="宋体"/>
                <w:color w:val="000000"/>
                <w:kern w:val="0"/>
                <w:sz w:val="22"/>
                <w:szCs w:val="22"/>
                <w:lang w:val="en-US" w:eastAsia="zh-CN"/>
              </w:rPr>
              <w:t>1分</w:t>
            </w:r>
          </w:p>
          <w:p>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④与预算确定的项目投资额或资金量相匹配。</w:t>
            </w:r>
            <w:r>
              <w:rPr>
                <w:rFonts w:hint="eastAsia" w:ascii="宋体" w:hAnsi="宋体" w:eastAsia="宋体" w:cs="宋体"/>
                <w:color w:val="000000"/>
                <w:kern w:val="0"/>
                <w:sz w:val="22"/>
                <w:szCs w:val="22"/>
                <w:lang w:val="en-US" w:eastAsia="zh-CN"/>
              </w:rPr>
              <w:t>1分</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明确性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6分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①是否将项目绩效目标细化分解为具体的绩效指标；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w:t>
            </w:r>
            <w:r>
              <w:rPr>
                <w:rFonts w:hint="eastAsia" w:ascii="宋体" w:hAnsi="宋体" w:eastAsia="宋体" w:cs="宋体"/>
                <w:color w:val="000000"/>
                <w:kern w:val="0"/>
                <w:sz w:val="22"/>
                <w:szCs w:val="22"/>
              </w:rPr>
              <w:br w:type="textWrapping"/>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①将项目绩效目标细化分解为具体的绩效指标；</w:t>
            </w:r>
            <w:r>
              <w:rPr>
                <w:rFonts w:hint="eastAsia" w:ascii="宋体" w:hAnsi="宋体" w:eastAsia="宋体" w:cs="宋体"/>
                <w:color w:val="000000"/>
                <w:kern w:val="0"/>
                <w:sz w:val="22"/>
                <w:szCs w:val="22"/>
                <w:lang w:val="en-US" w:eastAsia="zh-CN"/>
              </w:rPr>
              <w:t>2分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②通过清晰、可衡量的指标值予以体现；</w:t>
            </w:r>
            <w:r>
              <w:rPr>
                <w:rFonts w:hint="eastAsia" w:ascii="宋体" w:hAnsi="宋体" w:eastAsia="宋体" w:cs="宋体"/>
                <w:color w:val="000000"/>
                <w:kern w:val="0"/>
                <w:sz w:val="22"/>
                <w:szCs w:val="22"/>
                <w:lang w:val="en-US" w:eastAsia="zh-CN"/>
              </w:rPr>
              <w:t>2分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③与项目目标任务数或计划数相对应。</w:t>
            </w:r>
            <w:r>
              <w:rPr>
                <w:rFonts w:hint="eastAsia" w:ascii="宋体" w:hAnsi="宋体" w:eastAsia="宋体" w:cs="宋体"/>
                <w:color w:val="000000"/>
                <w:kern w:val="0"/>
                <w:sz w:val="22"/>
                <w:szCs w:val="22"/>
                <w:lang w:val="en-US" w:eastAsia="zh-CN"/>
              </w:rPr>
              <w:t>2分</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963"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资金投入</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8分</w:t>
            </w:r>
            <w:r>
              <w:rPr>
                <w:rFonts w:hint="eastAsia" w:ascii="宋体" w:hAnsi="宋体" w:eastAsia="宋体" w:cs="宋体"/>
                <w:color w:val="000000"/>
                <w:kern w:val="0"/>
                <w:sz w:val="22"/>
                <w:szCs w:val="22"/>
                <w:lang w:eastAsia="zh-CN"/>
              </w:rPr>
              <w:t>）</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科学性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232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w:t>
            </w:r>
          </w:p>
        </w:tc>
        <w:tc>
          <w:tcPr>
            <w:tcW w:w="2860"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①预算编制经过科学论证；</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②预算内容与项目内容匹配；</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③预算额度测算依据充分，按照标准编制；</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④预算确定的项目投资额或资金量与工作任务相匹配。</w:t>
            </w:r>
            <w:r>
              <w:rPr>
                <w:rFonts w:hint="eastAsia" w:ascii="宋体" w:hAnsi="宋体" w:eastAsia="宋体" w:cs="宋体"/>
                <w:color w:val="000000"/>
                <w:kern w:val="0"/>
                <w:sz w:val="22"/>
                <w:szCs w:val="22"/>
                <w:lang w:val="en-US" w:eastAsia="zh-CN"/>
              </w:rPr>
              <w:t>1分</w:t>
            </w:r>
          </w:p>
        </w:tc>
        <w:tc>
          <w:tcPr>
            <w:tcW w:w="58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合理性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232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w:t>
            </w:r>
          </w:p>
        </w:tc>
        <w:tc>
          <w:tcPr>
            <w:tcW w:w="2860"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①预算资金分配依据充分；</w:t>
            </w:r>
            <w:r>
              <w:rPr>
                <w:rFonts w:hint="eastAsia" w:ascii="宋体" w:hAnsi="宋体" w:eastAsia="宋体" w:cs="宋体"/>
                <w:color w:val="000000"/>
                <w:kern w:val="0"/>
                <w:sz w:val="22"/>
                <w:szCs w:val="22"/>
                <w:lang w:val="en-US" w:eastAsia="zh-CN"/>
              </w:rPr>
              <w:t>2分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②资金分配额度合理，与项目单位或地方实际相适应。</w:t>
            </w:r>
            <w:r>
              <w:rPr>
                <w:rFonts w:hint="eastAsia" w:ascii="宋体" w:hAnsi="宋体" w:eastAsia="宋体" w:cs="宋体"/>
                <w:color w:val="000000"/>
                <w:kern w:val="0"/>
                <w:sz w:val="22"/>
                <w:szCs w:val="22"/>
                <w:lang w:val="en-US" w:eastAsia="zh-CN"/>
              </w:rPr>
              <w:t>2分</w:t>
            </w:r>
          </w:p>
        </w:tc>
        <w:tc>
          <w:tcPr>
            <w:tcW w:w="58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trPr>
        <w:tc>
          <w:tcPr>
            <w:tcW w:w="861" w:type="dxa"/>
            <w:vMerge w:val="restart"/>
            <w:shd w:val="clear" w:color="auto" w:fill="FFFFFF"/>
            <w:noWrap w:val="0"/>
            <w:vAlign w:val="center"/>
          </w:tcPr>
          <w:p>
            <w:pPr>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963"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资金管理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14分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资金到位率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232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本指标满分</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分，指标权重：</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，实际得分=资金到位率*</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 xml:space="preserve">。 </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trPr>
        <w:tc>
          <w:tcPr>
            <w:tcW w:w="861"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963"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22"/>
                <w:szCs w:val="22"/>
              </w:rPr>
            </w:pP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232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预算执行率=（实际支出资金/实际到位资金）×100%。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tc>
        <w:tc>
          <w:tcPr>
            <w:tcW w:w="2860" w:type="dxa"/>
            <w:shd w:val="clear" w:color="auto"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本指标满分</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分，指标权重：</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，实际得分=</w:t>
            </w:r>
            <w:r>
              <w:rPr>
                <w:rFonts w:hint="eastAsia" w:ascii="宋体" w:hAnsi="宋体" w:eastAsia="宋体" w:cs="宋体"/>
                <w:color w:val="000000"/>
                <w:kern w:val="0"/>
                <w:sz w:val="22"/>
                <w:szCs w:val="22"/>
                <w:lang w:eastAsia="zh-CN"/>
              </w:rPr>
              <w:t>预算执行</w:t>
            </w:r>
            <w:r>
              <w:rPr>
                <w:rFonts w:hint="eastAsia" w:ascii="宋体" w:hAnsi="宋体" w:eastAsia="宋体" w:cs="宋体"/>
                <w:color w:val="000000"/>
                <w:kern w:val="0"/>
                <w:sz w:val="22"/>
                <w:szCs w:val="22"/>
              </w:rPr>
              <w:t>率*</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 xml:space="preserve">。 </w:t>
            </w:r>
          </w:p>
        </w:tc>
        <w:tc>
          <w:tcPr>
            <w:tcW w:w="58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trPr>
        <w:tc>
          <w:tcPr>
            <w:tcW w:w="861"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22分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963" w:type="dxa"/>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合规性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①是否符合国家财经法规和财务管理制度以及有关专项资金管理办法的规定；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①符合国家财经法规和财务管理制度以及有关专项资金管理办法的规定；</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②资金的拨付有完整的审批程序和手续；</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③符合项目预算批复或合同规定的用途；</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w:t>
            </w:r>
            <w:r>
              <w:rPr>
                <w:rFonts w:hint="eastAsia" w:ascii="宋体" w:hAnsi="宋体" w:eastAsia="宋体" w:cs="宋体"/>
                <w:color w:val="000000"/>
                <w:kern w:val="0"/>
                <w:sz w:val="22"/>
                <w:szCs w:val="22"/>
                <w:lang w:eastAsia="zh-CN"/>
              </w:rPr>
              <w:t>不</w:t>
            </w:r>
            <w:r>
              <w:rPr>
                <w:rFonts w:hint="eastAsia" w:ascii="宋体" w:hAnsi="宋体" w:eastAsia="宋体" w:cs="宋体"/>
                <w:color w:val="000000"/>
                <w:kern w:val="0"/>
                <w:sz w:val="22"/>
                <w:szCs w:val="22"/>
              </w:rPr>
              <w:t>存在截留、挤占、挪用、虚列支出等情况。</w:t>
            </w:r>
            <w:r>
              <w:rPr>
                <w:rFonts w:hint="eastAsia" w:ascii="宋体" w:hAnsi="宋体" w:eastAsia="宋体" w:cs="宋体"/>
                <w:color w:val="000000"/>
                <w:kern w:val="0"/>
                <w:sz w:val="22"/>
                <w:szCs w:val="22"/>
                <w:lang w:val="en-US" w:eastAsia="zh-CN"/>
              </w:rPr>
              <w:t>1分</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963"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组织实施</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8分</w:t>
            </w:r>
            <w:r>
              <w:rPr>
                <w:rFonts w:hint="eastAsia" w:ascii="宋体" w:hAnsi="宋体" w:eastAsia="宋体" w:cs="宋体"/>
                <w:color w:val="000000"/>
                <w:kern w:val="0"/>
                <w:sz w:val="22"/>
                <w:szCs w:val="22"/>
                <w:lang w:eastAsia="zh-CN"/>
              </w:rPr>
              <w:t>）</w:t>
            </w:r>
          </w:p>
          <w:p>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健全性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①已制定或具有相应的财务和业务管理制度；</w:t>
            </w:r>
            <w:r>
              <w:rPr>
                <w:rFonts w:hint="eastAsia" w:ascii="宋体" w:hAnsi="宋体" w:eastAsia="宋体" w:cs="宋体"/>
                <w:color w:val="000000"/>
                <w:kern w:val="0"/>
                <w:sz w:val="22"/>
                <w:szCs w:val="22"/>
                <w:lang w:val="en-US" w:eastAsia="zh-CN"/>
              </w:rPr>
              <w:t>2分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②财务和业务管理制度合法、合规、完整。</w:t>
            </w:r>
            <w:r>
              <w:rPr>
                <w:rFonts w:hint="eastAsia" w:ascii="宋体" w:hAnsi="宋体" w:eastAsia="宋体" w:cs="宋体"/>
                <w:color w:val="000000"/>
                <w:kern w:val="0"/>
                <w:sz w:val="22"/>
                <w:szCs w:val="22"/>
                <w:lang w:val="en-US" w:eastAsia="zh-CN"/>
              </w:rPr>
              <w:t>2分</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有效性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①遵守相关法律法规和相关管理规定；</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②项目调整及支出调整手续完备；</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③项目合同书、验收报告、技术鉴定等资料齐全并及时归档；</w:t>
            </w:r>
            <w:r>
              <w:rPr>
                <w:rFonts w:hint="eastAsia" w:ascii="宋体" w:hAnsi="宋体" w:eastAsia="宋体" w:cs="宋体"/>
                <w:color w:val="000000"/>
                <w:kern w:val="0"/>
                <w:sz w:val="22"/>
                <w:szCs w:val="22"/>
                <w:lang w:val="en-US" w:eastAsia="zh-CN"/>
              </w:rPr>
              <w:t>1分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④项目实施的人员条件、场地设备、信息支撑等落实到位。</w:t>
            </w:r>
            <w:r>
              <w:rPr>
                <w:rFonts w:hint="eastAsia" w:ascii="宋体" w:hAnsi="宋体" w:eastAsia="宋体" w:cs="宋体"/>
                <w:color w:val="000000"/>
                <w:kern w:val="0"/>
                <w:sz w:val="22"/>
                <w:szCs w:val="22"/>
                <w:lang w:val="en-US" w:eastAsia="zh-CN"/>
              </w:rPr>
              <w:t>1分</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trPr>
        <w:tc>
          <w:tcPr>
            <w:tcW w:w="861"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20分</w:t>
            </w:r>
            <w:r>
              <w:rPr>
                <w:rFonts w:hint="eastAsia" w:ascii="宋体" w:hAnsi="宋体" w:eastAsia="宋体" w:cs="宋体"/>
                <w:color w:val="000000"/>
                <w:kern w:val="0"/>
                <w:sz w:val="22"/>
                <w:szCs w:val="22"/>
                <w:lang w:eastAsia="zh-CN"/>
              </w:rPr>
              <w:t>）</w:t>
            </w:r>
          </w:p>
          <w:p>
            <w:pPr>
              <w:widowControl/>
              <w:spacing w:line="0" w:lineRule="atLeast"/>
              <w:jc w:val="center"/>
              <w:rPr>
                <w:rFonts w:ascii="宋体" w:hAnsi="宋体" w:eastAsia="宋体" w:cs="宋体"/>
                <w:color w:val="000000"/>
                <w:kern w:val="0"/>
                <w:sz w:val="22"/>
                <w:szCs w:val="22"/>
              </w:rPr>
            </w:pPr>
          </w:p>
        </w:tc>
        <w:tc>
          <w:tcPr>
            <w:tcW w:w="9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产出数量</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实际完成率=（实际产出数/计划产出数）×100%。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实际产出数：一定时期（本年度或项目期）内项目实际产出的产品或提供的服务数量。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本指标满分5分，指标权重：5，实际得分=实际完成率*5。 </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产出质量</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质量达标率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232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本指标满分5分，指标权重：5，实际得分=质量达标率*5。</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22"/>
                <w:szCs w:val="22"/>
              </w:rPr>
            </w:pPr>
          </w:p>
        </w:tc>
        <w:tc>
          <w:tcPr>
            <w:tcW w:w="963" w:type="dxa"/>
            <w:shd w:val="clear" w:color="auto" w:fill="FFFFFF"/>
            <w:noWrap w:val="0"/>
            <w:vAlign w:val="center"/>
          </w:tcPr>
          <w:p>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产出时效</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完成及时性</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实际完成时间：项目实施单位完成该项目实际所耗用的时间。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计划完成时间：按照项目实施计划或相关规定完成该项目所需的时间。</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本指标满分5分，指标权重：5，实际得分=完成及时率*5。 </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完成及时率</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=[（计划完成时间-实际完成时间）/计划完成时</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间]×100。</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产出成本</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成本节约率=[（计划成本-实际成本）/计划成本]×100%。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本指标满分</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分，指标权重：</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，实际得分=成本节约率*</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w:t>
            </w:r>
          </w:p>
        </w:tc>
        <w:tc>
          <w:tcPr>
            <w:tcW w:w="583" w:type="dxa"/>
            <w:shd w:val="clear" w:color="000000" w:fill="FFFFFF"/>
            <w:noWrap w:val="0"/>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trPr>
        <w:tc>
          <w:tcPr>
            <w:tcW w:w="861"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40分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963"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40分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实施效益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30分</w:t>
            </w:r>
            <w:r>
              <w:rPr>
                <w:rFonts w:hint="eastAsia" w:ascii="宋体" w:hAnsi="宋体" w:eastAsia="宋体" w:cs="宋体"/>
                <w:color w:val="000000"/>
                <w:kern w:val="0"/>
                <w:sz w:val="22"/>
                <w:szCs w:val="22"/>
                <w:lang w:eastAsia="zh-CN"/>
              </w:rPr>
              <w:t>）</w:t>
            </w:r>
          </w:p>
        </w:tc>
        <w:tc>
          <w:tcPr>
            <w:tcW w:w="2687" w:type="dxa"/>
            <w:shd w:val="clear" w:color="auto" w:fill="FFFFFF"/>
            <w:noWrap w:val="0"/>
            <w:vAlign w:val="center"/>
          </w:tcPr>
          <w:p>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2320" w:type="dxa"/>
            <w:shd w:val="clear" w:color="auto"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2860" w:type="dxa"/>
            <w:shd w:val="clear" w:color="auto" w:fill="FFFFFF"/>
            <w:noWrap w:val="0"/>
            <w:vAlign w:val="center"/>
          </w:tcPr>
          <w:p>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项目实施所产生的社会效益、经济效益、生态效益、可持续影响等</w:t>
            </w:r>
            <w:r>
              <w:rPr>
                <w:rFonts w:hint="eastAsia" w:ascii="宋体" w:hAnsi="宋体" w:eastAsia="宋体" w:cs="宋体"/>
                <w:color w:val="000000"/>
                <w:kern w:val="0"/>
                <w:sz w:val="22"/>
                <w:szCs w:val="22"/>
                <w:lang w:eastAsia="zh-CN"/>
              </w:rPr>
              <w:t>，根据</w:t>
            </w:r>
            <w:r>
              <w:rPr>
                <w:rFonts w:hint="eastAsia" w:ascii="宋体" w:hAnsi="宋体" w:eastAsia="宋体" w:cs="宋体"/>
                <w:color w:val="000000"/>
                <w:kern w:val="0"/>
                <w:sz w:val="22"/>
                <w:szCs w:val="22"/>
              </w:rPr>
              <w:t>项目实际情况</w:t>
            </w:r>
            <w:r>
              <w:rPr>
                <w:rFonts w:hint="eastAsia" w:ascii="宋体" w:hAnsi="宋体" w:eastAsia="宋体" w:cs="宋体"/>
                <w:color w:val="000000"/>
                <w:kern w:val="0"/>
                <w:sz w:val="22"/>
                <w:szCs w:val="22"/>
                <w:lang w:eastAsia="zh-CN"/>
              </w:rPr>
              <w:t>评分。</w:t>
            </w:r>
          </w:p>
        </w:tc>
        <w:tc>
          <w:tcPr>
            <w:tcW w:w="583" w:type="dxa"/>
            <w:shd w:val="clear" w:color="auto" w:fill="FFFFFF"/>
            <w:noWrap w:val="0"/>
            <w:vAlign w:val="center"/>
          </w:tcPr>
          <w:p>
            <w:pPr>
              <w:widowControl/>
              <w:spacing w:line="0" w:lineRule="atLeast"/>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963"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22"/>
                <w:szCs w:val="22"/>
              </w:rPr>
            </w:pPr>
          </w:p>
        </w:tc>
        <w:tc>
          <w:tcPr>
            <w:tcW w:w="1338"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满意度</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10分</w:t>
            </w:r>
            <w:r>
              <w:rPr>
                <w:rFonts w:hint="eastAsia" w:ascii="宋体" w:hAnsi="宋体" w:eastAsia="宋体" w:cs="宋体"/>
                <w:color w:val="000000"/>
                <w:kern w:val="0"/>
                <w:sz w:val="22"/>
                <w:szCs w:val="22"/>
                <w:lang w:eastAsia="zh-CN"/>
              </w:rPr>
              <w:t>）</w:t>
            </w:r>
          </w:p>
        </w:tc>
        <w:tc>
          <w:tcPr>
            <w:tcW w:w="2687"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2320" w:type="dxa"/>
            <w:shd w:val="clear" w:color="000000" w:fill="FFFFFF"/>
            <w:noWrap w:val="0"/>
            <w:vAlign w:val="center"/>
          </w:tcPr>
          <w:p>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指标大于等于95%，得满分；低于95%，每1%扣0.2分，扣完</w:t>
            </w:r>
          </w:p>
          <w:p>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为止。</w:t>
            </w:r>
          </w:p>
        </w:tc>
        <w:tc>
          <w:tcPr>
            <w:tcW w:w="583" w:type="dxa"/>
            <w:shd w:val="clear" w:color="000000" w:fill="FFFFFF"/>
            <w:noWrap w:val="0"/>
            <w:vAlign w:val="center"/>
          </w:tcPr>
          <w:p>
            <w:pPr>
              <w:widowControl/>
              <w:spacing w:line="0" w:lineRule="atLeast"/>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trPr>
        <w:tc>
          <w:tcPr>
            <w:tcW w:w="861" w:type="dxa"/>
            <w:shd w:val="clear" w:color="auto" w:fill="FFFFFF"/>
            <w:noWrap w:val="0"/>
            <w:vAlign w:val="center"/>
          </w:tcPr>
          <w:p>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总计</w:t>
            </w:r>
          </w:p>
        </w:tc>
        <w:tc>
          <w:tcPr>
            <w:tcW w:w="963" w:type="dxa"/>
            <w:shd w:val="clear" w:color="auto" w:fill="FFFFFF"/>
            <w:noWrap w:val="0"/>
            <w:vAlign w:val="center"/>
          </w:tcPr>
          <w:p>
            <w:pPr>
              <w:widowControl/>
              <w:spacing w:line="0" w:lineRule="atLeast"/>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100分</w:t>
            </w:r>
          </w:p>
        </w:tc>
        <w:tc>
          <w:tcPr>
            <w:tcW w:w="1338" w:type="dxa"/>
            <w:shd w:val="clear" w:color="auto" w:fill="FFFFFF"/>
            <w:noWrap w:val="0"/>
            <w:vAlign w:val="center"/>
          </w:tcPr>
          <w:p>
            <w:pPr>
              <w:widowControl/>
              <w:spacing w:line="0" w:lineRule="atLeast"/>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100分</w:t>
            </w:r>
          </w:p>
        </w:tc>
        <w:tc>
          <w:tcPr>
            <w:tcW w:w="2687"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c>
          <w:tcPr>
            <w:tcW w:w="232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c>
          <w:tcPr>
            <w:tcW w:w="2860" w:type="dxa"/>
            <w:shd w:val="clear" w:color="000000" w:fill="FFFFFF"/>
            <w:noWrap w:val="0"/>
            <w:vAlign w:val="center"/>
          </w:tcPr>
          <w:p>
            <w:pPr>
              <w:widowControl/>
              <w:spacing w:line="0" w:lineRule="atLeast"/>
              <w:rPr>
                <w:rFonts w:hint="eastAsia" w:ascii="宋体" w:hAnsi="宋体" w:eastAsia="宋体" w:cs="宋体"/>
                <w:color w:val="000000"/>
                <w:kern w:val="0"/>
                <w:sz w:val="22"/>
                <w:szCs w:val="22"/>
              </w:rPr>
            </w:pPr>
          </w:p>
        </w:tc>
        <w:tc>
          <w:tcPr>
            <w:tcW w:w="583" w:type="dxa"/>
            <w:shd w:val="clear" w:color="000000" w:fill="FFFFFF"/>
            <w:noWrap w:val="0"/>
            <w:vAlign w:val="center"/>
          </w:tcPr>
          <w:p>
            <w:pPr>
              <w:widowControl/>
              <w:spacing w:line="0" w:lineRule="atLeast"/>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96分</w:t>
            </w:r>
          </w:p>
        </w:tc>
      </w:tr>
    </w:tbl>
    <w:p>
      <w:pPr>
        <w:pStyle w:val="3"/>
        <w:spacing w:before="0" w:after="0" w:line="240" w:lineRule="auto"/>
        <w:jc w:val="center"/>
        <w:rPr>
          <w:rFonts w:hint="eastAsia"/>
          <w:bCs/>
          <w:color w:val="000000"/>
        </w:rPr>
      </w:pPr>
    </w:p>
    <w:p>
      <w:pPr>
        <w:spacing w:line="600" w:lineRule="exact"/>
        <w:ind w:firstLine="600" w:firstLineChars="200"/>
        <w:rPr>
          <w:rFonts w:hint="eastAsia" w:ascii="黑体" w:hAnsi="黑体" w:eastAsia="黑体"/>
        </w:rPr>
      </w:pPr>
    </w:p>
    <w:p>
      <w:pPr>
        <w:spacing w:line="600" w:lineRule="exact"/>
        <w:ind w:firstLine="600" w:firstLineChars="200"/>
        <w:rPr>
          <w:rFonts w:ascii="黑体" w:hAnsi="黑体" w:eastAsia="黑体"/>
        </w:rPr>
      </w:pPr>
      <w:r>
        <w:rPr>
          <w:rFonts w:hint="eastAsia" w:ascii="黑体" w:hAnsi="黑体" w:eastAsia="黑体"/>
        </w:rPr>
        <w:t>四、绩效评价指标分析</w:t>
      </w:r>
    </w:p>
    <w:p>
      <w:pPr>
        <w:spacing w:line="600" w:lineRule="exact"/>
        <w:ind w:firstLine="600" w:firstLineChars="200"/>
        <w:outlineLvl w:val="0"/>
        <w:rPr>
          <w:rFonts w:hint="eastAsia" w:ascii="仿宋_GB2312"/>
        </w:rPr>
      </w:pPr>
      <w:r>
        <w:rPr>
          <w:rFonts w:hint="eastAsia" w:ascii="仿宋_GB2312"/>
        </w:rPr>
        <w:t>（一）项目决策情况。</w:t>
      </w:r>
    </w:p>
    <w:p>
      <w:pPr>
        <w:spacing w:line="600" w:lineRule="exact"/>
        <w:ind w:firstLine="1200" w:firstLineChars="400"/>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0"/>
          <w:szCs w:val="24"/>
          <w:lang w:val="en-US" w:eastAsia="zh-CN" w:bidi="ar-SA"/>
        </w:rPr>
        <w:t>。</w:t>
      </w:r>
    </w:p>
    <w:p>
      <w:pPr>
        <w:numPr>
          <w:ilvl w:val="0"/>
          <w:numId w:val="0"/>
        </w:numPr>
        <w:spacing w:line="600" w:lineRule="exact"/>
        <w:ind w:leftChars="200"/>
        <w:outlineLvl w:val="0"/>
        <w:rPr>
          <w:rFonts w:hint="eastAsia" w:ascii="仿宋_GB2312"/>
        </w:rPr>
      </w:pPr>
      <w:r>
        <w:rPr>
          <w:rFonts w:hint="eastAsia" w:ascii="仿宋_GB2312"/>
          <w:lang w:eastAsia="zh-CN"/>
        </w:rPr>
        <w:t>（二）</w:t>
      </w:r>
      <w:r>
        <w:rPr>
          <w:rFonts w:hint="eastAsia" w:ascii="仿宋_GB2312"/>
        </w:rPr>
        <w:t>项目过程情况。</w:t>
      </w:r>
    </w:p>
    <w:p>
      <w:pPr>
        <w:spacing w:line="600" w:lineRule="exact"/>
        <w:ind w:firstLine="1200" w:firstLineChars="4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区财政拨付了2019年</w:t>
      </w:r>
      <w:r>
        <w:rPr>
          <w:rFonts w:hint="eastAsia" w:ascii="仿宋_GB2312" w:hAnsi="Times New Roman" w:cs="Times New Roman"/>
          <w:kern w:val="2"/>
          <w:sz w:val="30"/>
          <w:szCs w:val="24"/>
          <w:lang w:val="en-US" w:eastAsia="zh-CN" w:bidi="ar-SA"/>
        </w:rPr>
        <w:t>打击两违专项</w:t>
      </w:r>
      <w:r>
        <w:rPr>
          <w:rFonts w:hint="eastAsia" w:ascii="仿宋_GB2312" w:hAnsi="Times New Roman" w:eastAsia="仿宋_GB2312" w:cs="Times New Roman"/>
          <w:kern w:val="2"/>
          <w:sz w:val="30"/>
          <w:szCs w:val="24"/>
          <w:lang w:val="en-US" w:eastAsia="zh-CN" w:bidi="ar-SA"/>
        </w:rPr>
        <w:t>经费，我</w:t>
      </w:r>
      <w:r>
        <w:rPr>
          <w:rFonts w:hint="eastAsia" w:ascii="仿宋_GB2312" w:hAnsi="Times New Roman" w:cs="Times New Roman"/>
          <w:kern w:val="2"/>
          <w:sz w:val="30"/>
          <w:szCs w:val="24"/>
          <w:lang w:val="en-US" w:eastAsia="zh-CN" w:bidi="ar-SA"/>
        </w:rPr>
        <w:t>局</w:t>
      </w:r>
      <w:r>
        <w:rPr>
          <w:rFonts w:hint="eastAsia" w:ascii="仿宋_GB2312" w:hAnsi="Times New Roman" w:eastAsia="仿宋_GB2312" w:cs="Times New Roman"/>
          <w:kern w:val="2"/>
          <w:sz w:val="30"/>
          <w:szCs w:val="24"/>
          <w:lang w:val="en-US" w:eastAsia="zh-CN" w:bidi="ar-SA"/>
        </w:rPr>
        <w:t>按照预算计划列支各项支出，支付过程执行相应的程序，严格遵守各项财经纪律。</w:t>
      </w:r>
    </w:p>
    <w:p>
      <w:pPr>
        <w:numPr>
          <w:ilvl w:val="0"/>
          <w:numId w:val="1"/>
        </w:numPr>
        <w:spacing w:line="600" w:lineRule="exact"/>
        <w:ind w:left="0" w:leftChars="0" w:firstLine="600" w:firstLineChars="200"/>
        <w:outlineLvl w:val="0"/>
        <w:rPr>
          <w:rFonts w:hint="eastAsia" w:ascii="仿宋_GB2312"/>
        </w:rPr>
      </w:pPr>
      <w:r>
        <w:rPr>
          <w:rFonts w:hint="eastAsia" w:ascii="仿宋_GB2312"/>
        </w:rPr>
        <w:t>项目产出情况。</w:t>
      </w:r>
    </w:p>
    <w:p>
      <w:pPr>
        <w:numPr>
          <w:ilvl w:val="0"/>
          <w:numId w:val="0"/>
        </w:numPr>
        <w:spacing w:line="600" w:lineRule="exact"/>
        <w:ind w:leftChars="200" w:firstLine="600" w:firstLineChars="200"/>
        <w:outlineLvl w:val="0"/>
        <w:rPr>
          <w:rFonts w:hint="eastAsia" w:ascii="仿宋_GB2312" w:hAnsi="Times New Roman" w:cs="Times New Roman"/>
        </w:rPr>
      </w:pPr>
      <w:r>
        <w:rPr>
          <w:rFonts w:hint="eastAsia" w:ascii="仿宋_GB2312" w:hAnsi="Times New Roman" w:cs="Times New Roman"/>
        </w:rPr>
        <w:t>我局依据市、区打击“两违”工作</w:t>
      </w:r>
      <w:r>
        <w:rPr>
          <w:rFonts w:hint="eastAsia" w:ascii="仿宋_GB2312" w:hAnsi="Times New Roman" w:cs="Times New Roman"/>
          <w:lang w:val="en-US" w:eastAsia="zh-CN"/>
        </w:rPr>
        <w:t>相关</w:t>
      </w:r>
      <w:r>
        <w:rPr>
          <w:rFonts w:hint="eastAsia" w:ascii="仿宋_GB2312" w:hAnsi="Times New Roman" w:cs="Times New Roman"/>
        </w:rPr>
        <w:t>要求，大力打击区域“两违”行为，</w:t>
      </w:r>
      <w:r>
        <w:rPr>
          <w:rFonts w:hint="eastAsia" w:ascii="仿宋_GB2312" w:hAnsi="Times New Roman" w:cs="Times New Roman"/>
          <w:lang w:val="en-US" w:eastAsia="zh-CN"/>
        </w:rPr>
        <w:t>坚持抓细、抓早、抓了，将违建苗头控制在萌芽；坚持控增量，去存量，违法建设大幅度减少。</w:t>
      </w:r>
      <w:r>
        <w:rPr>
          <w:rFonts w:hint="eastAsia" w:ascii="仿宋_GB2312" w:hAnsi="Times New Roman" w:cs="Times New Roman"/>
        </w:rPr>
        <w:t>有效地维护城市规划和城市建设秩序。</w:t>
      </w:r>
    </w:p>
    <w:p>
      <w:pPr>
        <w:numPr>
          <w:ilvl w:val="0"/>
          <w:numId w:val="1"/>
        </w:numPr>
        <w:spacing w:line="600" w:lineRule="exact"/>
        <w:ind w:left="0" w:leftChars="0" w:firstLine="600" w:firstLineChars="200"/>
        <w:outlineLvl w:val="0"/>
      </w:pPr>
      <w:r>
        <w:rPr>
          <w:rFonts w:hint="eastAsia" w:ascii="仿宋_GB2312"/>
        </w:rPr>
        <w:t>项目效益情况。</w:t>
      </w:r>
    </w:p>
    <w:p>
      <w:pPr>
        <w:numPr>
          <w:ilvl w:val="0"/>
          <w:numId w:val="0"/>
        </w:numPr>
        <w:spacing w:line="600" w:lineRule="exact"/>
        <w:ind w:firstLine="1200" w:firstLineChars="400"/>
        <w:outlineLvl w:val="0"/>
      </w:pPr>
      <w:r>
        <w:rPr>
          <w:rFonts w:hint="eastAsia" w:ascii="仿宋_GB2312" w:hAnsi="Times New Roman" w:eastAsia="仿宋_GB2312" w:cs="Times New Roman"/>
          <w:kern w:val="2"/>
          <w:sz w:val="30"/>
          <w:szCs w:val="24"/>
          <w:lang w:val="en-US" w:eastAsia="zh-CN" w:bidi="ar-SA"/>
        </w:rPr>
        <w:t>我局依据市、区打击“两违”工作相关要求，大力打击区域“两违”行为，今年以来共下发违法用地和违章建筑告知单233份；下发各乡镇（街道）催办单39份，其中转督办单33份；建立拆违台账538份；接收审查“两违”行为个案调查表82处；我局开展打击“两违”工作共出动执法人员5000余人次，大小机械18余台，拆除违章建筑658处，拆除面积约为45179平方米。</w:t>
      </w:r>
    </w:p>
    <w:p>
      <w:pPr>
        <w:numPr>
          <w:ilvl w:val="0"/>
          <w:numId w:val="0"/>
        </w:numPr>
        <w:spacing w:line="600" w:lineRule="exact"/>
        <w:ind w:firstLine="600" w:firstLineChars="200"/>
      </w:pPr>
      <w:r>
        <w:rPr>
          <w:rFonts w:hint="eastAsia" w:ascii="黑体" w:hAnsi="黑体" w:eastAsia="黑体"/>
          <w:lang w:eastAsia="zh-CN"/>
        </w:rPr>
        <w:t>五、</w:t>
      </w:r>
      <w:r>
        <w:rPr>
          <w:rFonts w:hint="eastAsia" w:ascii="黑体" w:hAnsi="黑体" w:eastAsia="黑体"/>
        </w:rPr>
        <w:t>主要经验及做法、存在的问题及原因分析</w:t>
      </w:r>
    </w:p>
    <w:p>
      <w:pPr>
        <w:numPr>
          <w:ilvl w:val="0"/>
          <w:numId w:val="0"/>
        </w:numPr>
        <w:spacing w:line="600" w:lineRule="exact"/>
        <w:ind w:firstLine="900" w:firstLineChars="3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cs="Times New Roman"/>
          <w:kern w:val="2"/>
          <w:sz w:val="30"/>
          <w:szCs w:val="24"/>
          <w:lang w:val="en-US" w:eastAsia="zh-CN" w:bidi="ar-SA"/>
        </w:rPr>
        <w:t>受条件制约，存在反复修补、整治的情况。城管执法队员在对马路市场、流动摊贩等进行整治后，容易出现反弹，从而进入“整治-反弹-整治”的怪圈；停车设施不足，导致有些市民将机动车开到人行道上停放，容易使人行道受到损坏。</w:t>
      </w:r>
    </w:p>
    <w:p>
      <w:pPr>
        <w:numPr>
          <w:ilvl w:val="0"/>
          <w:numId w:val="0"/>
        </w:numPr>
        <w:spacing w:line="600" w:lineRule="exact"/>
        <w:ind w:firstLine="600" w:firstLineChars="200"/>
      </w:pPr>
      <w:r>
        <w:rPr>
          <w:rFonts w:hint="eastAsia" w:ascii="黑体" w:hAnsi="黑体" w:eastAsia="黑体"/>
          <w:lang w:eastAsia="zh-CN"/>
        </w:rPr>
        <w:t>六、</w:t>
      </w:r>
      <w:r>
        <w:rPr>
          <w:rFonts w:hint="eastAsia" w:ascii="黑体" w:hAnsi="黑体" w:eastAsia="黑体"/>
        </w:rPr>
        <w:t>有关建议</w:t>
      </w:r>
    </w:p>
    <w:p>
      <w:pPr>
        <w:numPr>
          <w:ilvl w:val="0"/>
          <w:numId w:val="0"/>
        </w:numPr>
        <w:spacing w:line="600" w:lineRule="exact"/>
        <w:ind w:firstLine="900" w:firstLineChars="300"/>
      </w:pPr>
      <w:r>
        <w:rPr>
          <w:rFonts w:hint="eastAsia"/>
          <w:lang w:eastAsia="zh-CN"/>
        </w:rPr>
        <w:t>加强制度建设，结合我局实际，进一步完善内部财务制度、资金拨付制度、审计监督制度，以制度化规范专项资金使用。定期对专项资金使用情况进行督查监管，确保专项资金安全高效使用。</w:t>
      </w:r>
    </w:p>
    <w:p>
      <w:pPr>
        <w:spacing w:line="600" w:lineRule="exact"/>
        <w:ind w:firstLine="600" w:firstLineChars="200"/>
        <w:rPr>
          <w:rFonts w:hint="eastAsia" w:ascii="黑体" w:hAnsi="黑体" w:eastAsia="黑体"/>
        </w:rPr>
      </w:pPr>
      <w:r>
        <w:rPr>
          <w:rFonts w:hint="eastAsia" w:ascii="黑体" w:hAnsi="黑体" w:eastAsia="黑体"/>
        </w:rPr>
        <w:t>七、其他需要说明的问题</w:t>
      </w:r>
    </w:p>
    <w:p>
      <w:pPr>
        <w:tabs>
          <w:tab w:val="left" w:pos="1017"/>
        </w:tabs>
        <w:bidi w:val="0"/>
        <w:jc w:val="left"/>
        <w:rPr>
          <w:rFonts w:ascii="Times New Roman" w:hAnsi="Times New Roman" w:eastAsia="仿宋_GB2312" w:cs="Times New Roman"/>
          <w:kern w:val="2"/>
          <w:sz w:val="30"/>
          <w:szCs w:val="24"/>
          <w:lang w:val="en-US" w:eastAsia="zh-CN" w:bidi="ar-SA"/>
        </w:rPr>
      </w:pPr>
      <w:r>
        <w:rPr>
          <w:rFonts w:hint="eastAsia" w:cs="Times New Roman"/>
          <w:kern w:val="2"/>
          <w:sz w:val="30"/>
          <w:szCs w:val="24"/>
          <w:lang w:val="en-US" w:eastAsia="zh-CN" w:bidi="ar-SA"/>
        </w:rPr>
        <w:tab/>
      </w:r>
      <w:r>
        <w:rPr>
          <w:rFonts w:hint="eastAsia" w:cs="Times New Roman"/>
          <w:kern w:val="2"/>
          <w:sz w:val="30"/>
          <w:szCs w:val="24"/>
          <w:lang w:val="en-US" w:eastAsia="zh-CN" w:bidi="ar-SA"/>
        </w:rPr>
        <w:t>无</w:t>
      </w:r>
    </w:p>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99E00"/>
    <w:multiLevelType w:val="singleLevel"/>
    <w:tmpl w:val="21B99E00"/>
    <w:lvl w:ilvl="0" w:tentative="0">
      <w:start w:val="1"/>
      <w:numFmt w:val="decimal"/>
      <w:suff w:val="nothing"/>
      <w:lvlText w:val="%1、"/>
      <w:lvlJc w:val="left"/>
    </w:lvl>
  </w:abstractNum>
  <w:abstractNum w:abstractNumId="1">
    <w:nsid w:val="5F4EAB72"/>
    <w:multiLevelType w:val="singleLevel"/>
    <w:tmpl w:val="5F4EAB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75C21"/>
    <w:rsid w:val="68DC6B41"/>
    <w:rsid w:val="6AA6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2021-05-21T05:01:00Z</dcterms:created>
  <dc:creator>Administrator</dc:creator>
  <cp:lastModifiedBy>Administrator</cp:lastModifiedBy>
  <dcterms:modified xsi:type="dcterms:W3CDTF">2021-05-21T05:07:55Z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264E3E33764B44E0B863B3BFCEECCF68</vt:lpwstr>
  </property>
</Properties>
</file>