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CDD" w:rsidRDefault="00CC0705" w:rsidP="00636CDD">
      <w:pPr>
        <w:spacing w:line="600" w:lineRule="exact"/>
        <w:jc w:val="center"/>
        <w:rPr>
          <w:rFonts w:ascii="宋体" w:hAnsi="宋体" w:cs="宋体"/>
          <w:b/>
          <w:bCs/>
          <w:sz w:val="44"/>
          <w:szCs w:val="36"/>
        </w:rPr>
      </w:pPr>
      <w:bookmarkStart w:id="0" w:name="_GoBack"/>
      <w:bookmarkStart w:id="1" w:name="正文"/>
      <w:bookmarkEnd w:id="0"/>
      <w:r>
        <w:rPr>
          <w:rFonts w:ascii="黑体" w:eastAsia="黑体" w:hAnsi="黑体" w:hint="eastAsia"/>
          <w:sz w:val="44"/>
          <w:szCs w:val="36"/>
        </w:rPr>
        <w:t>昌江区城市管理行政执法局</w:t>
      </w:r>
      <w:r>
        <w:rPr>
          <w:rFonts w:ascii="宋体" w:hAnsi="宋体" w:cs="宋体" w:hint="eastAsia"/>
          <w:b/>
          <w:bCs/>
          <w:sz w:val="44"/>
          <w:szCs w:val="36"/>
        </w:rPr>
        <w:t>2020年度</w:t>
      </w:r>
    </w:p>
    <w:p w:rsidR="00976A7D" w:rsidRDefault="00CC0705" w:rsidP="00636CDD">
      <w:pPr>
        <w:spacing w:line="600" w:lineRule="exact"/>
        <w:jc w:val="center"/>
        <w:rPr>
          <w:rFonts w:ascii="宋体" w:hAnsi="宋体" w:cs="宋体"/>
          <w:b/>
          <w:bCs/>
          <w:sz w:val="44"/>
          <w:szCs w:val="36"/>
        </w:rPr>
      </w:pPr>
      <w:r>
        <w:rPr>
          <w:rFonts w:ascii="宋体" w:hAnsi="宋体" w:cs="宋体" w:hint="eastAsia"/>
          <w:b/>
          <w:bCs/>
          <w:sz w:val="44"/>
          <w:szCs w:val="36"/>
        </w:rPr>
        <w:t>部门决算</w:t>
      </w:r>
    </w:p>
    <w:p w:rsidR="00976A7D" w:rsidRDefault="00976A7D">
      <w:pPr>
        <w:spacing w:line="600" w:lineRule="exact"/>
        <w:jc w:val="center"/>
        <w:rPr>
          <w:rFonts w:ascii="黑体" w:eastAsia="黑体" w:hAnsi="Calibri"/>
          <w:sz w:val="44"/>
          <w:szCs w:val="36"/>
        </w:rPr>
      </w:pPr>
    </w:p>
    <w:p w:rsidR="00976A7D" w:rsidRDefault="00CC0705">
      <w:pPr>
        <w:spacing w:line="600" w:lineRule="exact"/>
        <w:jc w:val="center"/>
        <w:rPr>
          <w:rFonts w:ascii="宋体" w:hAnsi="宋体" w:cs="宋体"/>
          <w:b/>
          <w:bCs/>
          <w:sz w:val="40"/>
          <w:szCs w:val="36"/>
        </w:rPr>
      </w:pPr>
      <w:r>
        <w:rPr>
          <w:rFonts w:ascii="宋体" w:hAnsi="宋体" w:cs="宋体" w:hint="eastAsia"/>
          <w:b/>
          <w:bCs/>
          <w:sz w:val="40"/>
          <w:szCs w:val="36"/>
        </w:rPr>
        <w:t>目    录</w:t>
      </w:r>
    </w:p>
    <w:p w:rsidR="00976A7D" w:rsidRDefault="00976A7D">
      <w:pPr>
        <w:widowControl/>
        <w:spacing w:line="600" w:lineRule="exact"/>
        <w:ind w:firstLine="640"/>
        <w:jc w:val="left"/>
        <w:rPr>
          <w:rFonts w:ascii="仿宋_GB2312" w:eastAsia="仿宋_GB2312" w:hAnsi="Calibri"/>
          <w:sz w:val="32"/>
          <w:szCs w:val="30"/>
        </w:rPr>
      </w:pPr>
    </w:p>
    <w:p w:rsidR="00976A7D" w:rsidRDefault="00CC0705">
      <w:pPr>
        <w:widowControl/>
        <w:spacing w:line="600" w:lineRule="exact"/>
        <w:ind w:firstLine="640"/>
        <w:jc w:val="left"/>
        <w:rPr>
          <w:rFonts w:ascii="黑体" w:eastAsia="黑体" w:hAnsi="黑体"/>
          <w:b/>
          <w:sz w:val="32"/>
          <w:szCs w:val="32"/>
        </w:rPr>
      </w:pPr>
      <w:r>
        <w:rPr>
          <w:rFonts w:ascii="黑体" w:eastAsia="黑体" w:hAnsi="黑体" w:hint="eastAsia"/>
          <w:sz w:val="32"/>
          <w:szCs w:val="32"/>
        </w:rPr>
        <w:t>第一部分</w:t>
      </w:r>
      <w:r>
        <w:rPr>
          <w:rFonts w:ascii="黑体" w:eastAsia="黑体" w:hAnsi="黑体" w:hint="eastAsia"/>
          <w:b/>
          <w:sz w:val="32"/>
          <w:szCs w:val="32"/>
        </w:rPr>
        <w:t xml:space="preserve">  昌江区城市管理行政执法局</w:t>
      </w:r>
      <w:r>
        <w:rPr>
          <w:rFonts w:ascii="黑体" w:eastAsia="黑体" w:hAnsi="黑体" w:hint="eastAsia"/>
          <w:sz w:val="32"/>
          <w:szCs w:val="32"/>
        </w:rPr>
        <w:t>部门概况</w:t>
      </w:r>
    </w:p>
    <w:p w:rsidR="00976A7D" w:rsidRDefault="00CC0705">
      <w:pPr>
        <w:widowControl/>
        <w:spacing w:line="600" w:lineRule="exact"/>
        <w:ind w:firstLine="640"/>
        <w:jc w:val="left"/>
        <w:rPr>
          <w:rFonts w:ascii="仿宋_GB2312" w:eastAsia="仿宋_GB2312" w:cs="仿宋_GB2312"/>
          <w:kern w:val="0"/>
          <w:sz w:val="32"/>
          <w:szCs w:val="32"/>
          <w:lang w:val="zh-CN"/>
        </w:rPr>
      </w:pPr>
      <w:r>
        <w:rPr>
          <w:rFonts w:ascii="仿宋_GB2312" w:eastAsia="仿宋_GB2312" w:hint="eastAsia"/>
          <w:b/>
          <w:sz w:val="32"/>
          <w:szCs w:val="30"/>
        </w:rPr>
        <w:t xml:space="preserve"> </w:t>
      </w:r>
      <w:r>
        <w:rPr>
          <w:rFonts w:ascii="仿宋_GB2312" w:eastAsia="仿宋_GB2312" w:cs="仿宋_GB2312" w:hint="eastAsia"/>
          <w:kern w:val="0"/>
          <w:sz w:val="32"/>
          <w:szCs w:val="32"/>
          <w:lang w:val="zh-CN"/>
        </w:rPr>
        <w:t xml:space="preserve">   一、部门主要职责</w:t>
      </w:r>
    </w:p>
    <w:p w:rsidR="00976A7D" w:rsidRDefault="00CC0705">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二、部门基本情况</w:t>
      </w:r>
    </w:p>
    <w:p w:rsidR="00976A7D" w:rsidRDefault="00CC0705">
      <w:pPr>
        <w:widowControl/>
        <w:spacing w:line="600" w:lineRule="exact"/>
        <w:ind w:firstLine="640"/>
        <w:jc w:val="left"/>
        <w:rPr>
          <w:rFonts w:ascii="黑体" w:eastAsia="黑体" w:hAnsi="黑体"/>
          <w:sz w:val="32"/>
          <w:szCs w:val="32"/>
        </w:rPr>
      </w:pPr>
      <w:r>
        <w:rPr>
          <w:rFonts w:ascii="黑体" w:eastAsia="黑体" w:hAnsi="黑体" w:hint="eastAsia"/>
          <w:sz w:val="32"/>
          <w:szCs w:val="32"/>
        </w:rPr>
        <w:t>第二部分  2020年度部门决算表</w:t>
      </w:r>
    </w:p>
    <w:p w:rsidR="00976A7D" w:rsidRDefault="00CC0705">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一、收入支出决算总表</w:t>
      </w:r>
    </w:p>
    <w:p w:rsidR="00976A7D" w:rsidRDefault="00CC0705">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二、收入决算表</w:t>
      </w:r>
    </w:p>
    <w:p w:rsidR="00976A7D" w:rsidRDefault="00CC0705">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三、支出决算表</w:t>
      </w:r>
    </w:p>
    <w:p w:rsidR="00976A7D" w:rsidRDefault="00CC0705">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四、财政拨款收入支出决算总表</w:t>
      </w:r>
    </w:p>
    <w:p w:rsidR="00976A7D" w:rsidRDefault="00CC0705">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五、一般公共预算财政拨款支出决算表</w:t>
      </w:r>
    </w:p>
    <w:p w:rsidR="00976A7D" w:rsidRDefault="00CC0705">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六、一般公共预算财政拨款基本支出决算表</w:t>
      </w:r>
    </w:p>
    <w:p w:rsidR="00976A7D" w:rsidRDefault="00CC0705">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七、一般公共预算财政拨款“三公”经费支出决算表</w:t>
      </w:r>
    </w:p>
    <w:p w:rsidR="00976A7D" w:rsidRDefault="00CC0705">
      <w:pPr>
        <w:widowControl/>
        <w:numPr>
          <w:ilvl w:val="0"/>
          <w:numId w:val="1"/>
        </w:numPr>
        <w:spacing w:line="600" w:lineRule="exact"/>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政府性基金预算财政拨款收入支出决算表</w:t>
      </w:r>
    </w:p>
    <w:p w:rsidR="00976A7D" w:rsidRDefault="00CC0705">
      <w:pPr>
        <w:widowControl/>
        <w:numPr>
          <w:ilvl w:val="0"/>
          <w:numId w:val="1"/>
        </w:numPr>
        <w:spacing w:line="600" w:lineRule="exact"/>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国有资本经营预算财政拨款支出决算表</w:t>
      </w:r>
    </w:p>
    <w:p w:rsidR="00976A7D" w:rsidRDefault="00CC0705">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十、国有资产占用情况表</w:t>
      </w:r>
    </w:p>
    <w:p w:rsidR="00976A7D" w:rsidRDefault="00CC0705">
      <w:pPr>
        <w:widowControl/>
        <w:spacing w:line="600" w:lineRule="exact"/>
        <w:jc w:val="left"/>
        <w:rPr>
          <w:rFonts w:ascii="黑体" w:eastAsia="黑体" w:hAnsi="黑体"/>
          <w:sz w:val="32"/>
          <w:szCs w:val="32"/>
        </w:rPr>
      </w:pPr>
      <w:r>
        <w:rPr>
          <w:rFonts w:ascii="仿宋" w:eastAsia="仿宋" w:hAnsi="仿宋" w:cs="宋体" w:hint="eastAsia"/>
          <w:kern w:val="0"/>
          <w:sz w:val="32"/>
          <w:szCs w:val="32"/>
        </w:rPr>
        <w:t xml:space="preserve">    </w:t>
      </w:r>
      <w:r>
        <w:rPr>
          <w:rFonts w:ascii="黑体" w:eastAsia="黑体" w:hAnsi="黑体" w:hint="eastAsia"/>
          <w:sz w:val="32"/>
          <w:szCs w:val="32"/>
        </w:rPr>
        <w:t>第三部分  2020年度部门决算情况说明</w:t>
      </w:r>
    </w:p>
    <w:p w:rsidR="00976A7D" w:rsidRDefault="00CC0705">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一、收入决算情况说明</w:t>
      </w:r>
    </w:p>
    <w:p w:rsidR="00976A7D" w:rsidRDefault="00CC0705">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二、支出决算情况说明</w:t>
      </w:r>
    </w:p>
    <w:p w:rsidR="00976A7D" w:rsidRDefault="00CC0705">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三、财政拨款支出决算情况说明</w:t>
      </w:r>
    </w:p>
    <w:p w:rsidR="00976A7D" w:rsidRDefault="00CC0705">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lastRenderedPageBreak/>
        <w:t>四、一般公共预算财政拨款基本支出决算情况说明</w:t>
      </w:r>
    </w:p>
    <w:p w:rsidR="00976A7D" w:rsidRDefault="00CC0705">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五、一般公共预算财政拨款“三公”经费支出决算情况说明</w:t>
      </w:r>
    </w:p>
    <w:p w:rsidR="00976A7D" w:rsidRDefault="00CC0705">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六、机关运行经费支出情况说明</w:t>
      </w:r>
    </w:p>
    <w:p w:rsidR="00976A7D" w:rsidRDefault="00CC0705">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七、政府采购支出情况说明</w:t>
      </w:r>
    </w:p>
    <w:p w:rsidR="00976A7D" w:rsidRDefault="00CC0705">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八、国有资产占用情况说明</w:t>
      </w:r>
    </w:p>
    <w:p w:rsidR="00976A7D" w:rsidRDefault="00CC0705">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九、预算绩效情况说明</w:t>
      </w:r>
    </w:p>
    <w:p w:rsidR="00976A7D" w:rsidRDefault="00CC0705">
      <w:pPr>
        <w:widowControl/>
        <w:spacing w:line="600" w:lineRule="exact"/>
        <w:ind w:firstLine="640"/>
        <w:jc w:val="left"/>
        <w:rPr>
          <w:rFonts w:ascii="仿宋" w:eastAsia="仿宋" w:hAnsi="仿宋"/>
          <w:sz w:val="32"/>
          <w:szCs w:val="30"/>
        </w:rPr>
      </w:pPr>
      <w:r>
        <w:rPr>
          <w:rFonts w:ascii="黑体" w:eastAsia="黑体" w:hAnsi="黑体" w:hint="eastAsia"/>
          <w:sz w:val="32"/>
          <w:szCs w:val="32"/>
        </w:rPr>
        <w:t>第四部分  名词解释</w:t>
      </w:r>
    </w:p>
    <w:p w:rsidR="00976A7D" w:rsidRDefault="00976A7D">
      <w:pPr>
        <w:ind w:firstLine="630"/>
        <w:jc w:val="center"/>
        <w:rPr>
          <w:rFonts w:ascii="宋体" w:hAnsi="宋体"/>
          <w:b/>
          <w:sz w:val="36"/>
          <w:szCs w:val="36"/>
        </w:rPr>
      </w:pPr>
    </w:p>
    <w:p w:rsidR="00976A7D" w:rsidRDefault="00976A7D">
      <w:pPr>
        <w:ind w:firstLine="630"/>
        <w:jc w:val="center"/>
        <w:rPr>
          <w:rFonts w:ascii="宋体" w:hAnsi="宋体"/>
          <w:b/>
          <w:sz w:val="36"/>
          <w:szCs w:val="36"/>
        </w:rPr>
      </w:pPr>
    </w:p>
    <w:p w:rsidR="00976A7D" w:rsidRDefault="00976A7D">
      <w:pPr>
        <w:ind w:firstLine="630"/>
        <w:jc w:val="center"/>
        <w:rPr>
          <w:rFonts w:ascii="宋体" w:hAnsi="宋体"/>
          <w:b/>
          <w:sz w:val="36"/>
          <w:szCs w:val="36"/>
        </w:rPr>
      </w:pPr>
    </w:p>
    <w:p w:rsidR="00976A7D" w:rsidRDefault="00976A7D">
      <w:pPr>
        <w:ind w:firstLine="630"/>
        <w:jc w:val="center"/>
        <w:rPr>
          <w:rFonts w:ascii="宋体" w:hAnsi="宋体"/>
          <w:b/>
          <w:sz w:val="36"/>
          <w:szCs w:val="36"/>
        </w:rPr>
      </w:pPr>
    </w:p>
    <w:p w:rsidR="00976A7D" w:rsidRDefault="00976A7D">
      <w:pPr>
        <w:ind w:firstLine="630"/>
        <w:jc w:val="center"/>
        <w:rPr>
          <w:rFonts w:ascii="仿宋_GB2312" w:eastAsia="仿宋_GB2312" w:cs="仿宋_GB2312"/>
          <w:kern w:val="0"/>
          <w:sz w:val="32"/>
          <w:szCs w:val="32"/>
          <w:lang w:val="zh-CN"/>
        </w:rPr>
      </w:pPr>
    </w:p>
    <w:p w:rsidR="00976A7D" w:rsidRDefault="00976A7D">
      <w:pPr>
        <w:ind w:firstLine="630"/>
        <w:jc w:val="center"/>
        <w:rPr>
          <w:rFonts w:ascii="仿宋_GB2312" w:eastAsia="仿宋_GB2312" w:cs="仿宋_GB2312"/>
          <w:kern w:val="0"/>
          <w:sz w:val="32"/>
          <w:szCs w:val="32"/>
          <w:lang w:val="zh-CN"/>
        </w:rPr>
      </w:pPr>
    </w:p>
    <w:p w:rsidR="00976A7D" w:rsidRDefault="00976A7D">
      <w:pPr>
        <w:ind w:firstLine="630"/>
        <w:jc w:val="center"/>
        <w:rPr>
          <w:rFonts w:ascii="宋体" w:hAnsi="宋体"/>
          <w:b/>
          <w:sz w:val="36"/>
          <w:szCs w:val="36"/>
        </w:rPr>
      </w:pPr>
    </w:p>
    <w:p w:rsidR="00976A7D" w:rsidRDefault="00976A7D">
      <w:pPr>
        <w:ind w:firstLine="630"/>
        <w:jc w:val="center"/>
        <w:rPr>
          <w:rFonts w:ascii="宋体" w:hAnsi="宋体"/>
          <w:b/>
          <w:sz w:val="36"/>
          <w:szCs w:val="36"/>
        </w:rPr>
      </w:pPr>
    </w:p>
    <w:p w:rsidR="00976A7D" w:rsidRDefault="00976A7D">
      <w:pPr>
        <w:ind w:firstLine="630"/>
        <w:jc w:val="center"/>
        <w:rPr>
          <w:rFonts w:ascii="宋体" w:hAnsi="宋体"/>
          <w:b/>
          <w:sz w:val="36"/>
          <w:szCs w:val="36"/>
        </w:rPr>
      </w:pPr>
    </w:p>
    <w:p w:rsidR="00976A7D" w:rsidRDefault="00976A7D">
      <w:pPr>
        <w:ind w:firstLine="630"/>
        <w:jc w:val="center"/>
        <w:rPr>
          <w:rFonts w:ascii="宋体" w:hAnsi="宋体"/>
          <w:b/>
          <w:sz w:val="36"/>
          <w:szCs w:val="36"/>
        </w:rPr>
      </w:pPr>
    </w:p>
    <w:p w:rsidR="00976A7D" w:rsidRDefault="00976A7D">
      <w:pPr>
        <w:ind w:firstLine="630"/>
        <w:jc w:val="center"/>
        <w:rPr>
          <w:rFonts w:ascii="宋体" w:hAnsi="宋体"/>
          <w:b/>
          <w:sz w:val="36"/>
          <w:szCs w:val="36"/>
        </w:rPr>
      </w:pPr>
    </w:p>
    <w:p w:rsidR="00976A7D" w:rsidRDefault="00976A7D">
      <w:pPr>
        <w:ind w:firstLine="630"/>
        <w:jc w:val="center"/>
        <w:rPr>
          <w:rFonts w:ascii="宋体" w:hAnsi="宋体"/>
          <w:b/>
          <w:sz w:val="36"/>
          <w:szCs w:val="36"/>
        </w:rPr>
      </w:pPr>
    </w:p>
    <w:p w:rsidR="00976A7D" w:rsidRDefault="00976A7D">
      <w:pPr>
        <w:ind w:firstLine="630"/>
        <w:jc w:val="center"/>
        <w:rPr>
          <w:rFonts w:ascii="宋体" w:hAnsi="宋体"/>
          <w:b/>
          <w:sz w:val="36"/>
          <w:szCs w:val="36"/>
        </w:rPr>
      </w:pPr>
    </w:p>
    <w:p w:rsidR="00976A7D" w:rsidRDefault="00976A7D">
      <w:pPr>
        <w:widowControl/>
        <w:spacing w:line="580" w:lineRule="exact"/>
        <w:jc w:val="center"/>
        <w:rPr>
          <w:rFonts w:ascii="宋体" w:hAnsi="宋体"/>
          <w:b/>
          <w:sz w:val="32"/>
          <w:szCs w:val="30"/>
        </w:rPr>
      </w:pPr>
    </w:p>
    <w:p w:rsidR="00976A7D" w:rsidRDefault="00976A7D">
      <w:pPr>
        <w:widowControl/>
        <w:spacing w:line="580" w:lineRule="exact"/>
        <w:jc w:val="center"/>
        <w:rPr>
          <w:rFonts w:ascii="宋体" w:hAnsi="宋体"/>
          <w:b/>
          <w:sz w:val="32"/>
          <w:szCs w:val="30"/>
        </w:rPr>
      </w:pPr>
    </w:p>
    <w:p w:rsidR="00976A7D" w:rsidRDefault="00CC0705">
      <w:pPr>
        <w:widowControl/>
        <w:spacing w:line="580" w:lineRule="exact"/>
        <w:jc w:val="center"/>
        <w:rPr>
          <w:rFonts w:ascii="宋体" w:hAnsi="宋体"/>
          <w:b/>
          <w:sz w:val="32"/>
          <w:szCs w:val="30"/>
        </w:rPr>
      </w:pPr>
      <w:r>
        <w:rPr>
          <w:rFonts w:ascii="宋体" w:hAnsi="宋体" w:hint="eastAsia"/>
          <w:b/>
          <w:sz w:val="32"/>
          <w:szCs w:val="30"/>
        </w:rPr>
        <w:t>第一部分  昌江区城市管理行政执法局</w:t>
      </w:r>
      <w:r>
        <w:rPr>
          <w:rFonts w:ascii="宋体" w:hAnsi="宋体" w:hint="eastAsia"/>
          <w:b/>
          <w:sz w:val="32"/>
          <w:szCs w:val="32"/>
        </w:rPr>
        <w:t>部门</w:t>
      </w:r>
      <w:r>
        <w:rPr>
          <w:rFonts w:ascii="宋体" w:hAnsi="宋体" w:hint="eastAsia"/>
          <w:b/>
          <w:sz w:val="32"/>
          <w:szCs w:val="30"/>
        </w:rPr>
        <w:t>概况</w:t>
      </w:r>
    </w:p>
    <w:p w:rsidR="00976A7D" w:rsidRDefault="00976A7D">
      <w:pPr>
        <w:ind w:firstLine="630"/>
        <w:jc w:val="center"/>
        <w:rPr>
          <w:rFonts w:ascii="Calibri" w:hAnsi="Calibri"/>
          <w:sz w:val="32"/>
          <w:szCs w:val="32"/>
        </w:rPr>
      </w:pPr>
    </w:p>
    <w:p w:rsidR="00976A7D" w:rsidRDefault="00CC0705">
      <w:pPr>
        <w:ind w:firstLine="630"/>
        <w:jc w:val="left"/>
        <w:rPr>
          <w:rFonts w:ascii="黑体" w:eastAsia="黑体" w:hAnsi="黑体"/>
          <w:sz w:val="32"/>
          <w:szCs w:val="32"/>
        </w:rPr>
      </w:pPr>
      <w:r>
        <w:rPr>
          <w:rFonts w:ascii="黑体" w:eastAsia="黑体" w:hAnsi="黑体" w:hint="eastAsia"/>
          <w:sz w:val="32"/>
          <w:szCs w:val="32"/>
        </w:rPr>
        <w:t>一、部门主要职能</w:t>
      </w:r>
    </w:p>
    <w:p w:rsidR="00976A7D" w:rsidRDefault="00CC070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依据市委、市政府（景办发[2015]14号）《关于进一步调整景德镇市城市管理体制的工作方案(试行)》，我们主要工作职责是打击“两违”和市容环境管理。</w:t>
      </w:r>
    </w:p>
    <w:p w:rsidR="00976A7D" w:rsidRDefault="00CC070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主要职责是：</w:t>
      </w:r>
    </w:p>
    <w:p w:rsidR="00976A7D" w:rsidRDefault="00CC070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贯彻执行辖区内有关城市管理工作的方针、政策和法律、法规，组织起草有关规章和规范性文件草案；拟定城乡环境卫生管理规范、规划和年度计划，经批准后组织实施；负责建立健全统一管理的城乡环卫一体化工作体系。</w:t>
      </w:r>
    </w:p>
    <w:p w:rsidR="00976A7D" w:rsidRDefault="00CC070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（二）负责城区城市生活垃圾经营性服务审批和城市建筑垃圾处置核准、非建设类临时占道许可、城市户外广告设置审批。</w:t>
      </w:r>
    </w:p>
    <w:p w:rsidR="00976A7D" w:rsidRDefault="00CC070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（三）负责城区内数字化城市管理的规划、建设及管理工作，建立监督考评体系，负责受理、办理和反馈人民群众有关城区内城市管理方面的投诉和建议。</w:t>
      </w:r>
    </w:p>
    <w:p w:rsidR="00976A7D" w:rsidRDefault="00CC070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（四）负责监督管理城区违规设置广告、店招等行为。</w:t>
      </w:r>
    </w:p>
    <w:p w:rsidR="00976A7D" w:rsidRDefault="00CC070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五）负责监督管理城区内工地外部扬尘、污染路面行为。负责监督管理城区内焚烧沥青、塑料垃圾、露天焚烧秸秆落叶等烟尘和恶臭污染行为。负责监督管理经营性餐饮业油烟污染行为；联合其他部门负责禁止燃放烟花爆竹工作。</w:t>
      </w:r>
    </w:p>
    <w:p w:rsidR="00976A7D" w:rsidRDefault="00CC070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（六）负责监督管理城市河道倾倒废弃物和垃圾及违规取土行为。负责城市河道违法建筑物拆除等工作。</w:t>
      </w:r>
    </w:p>
    <w:p w:rsidR="00976A7D" w:rsidRDefault="00CC070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（七）负责监督管理城区内户外公共场所食品销售和餐饮摊点无证经营、违法回收贩卖药品等行为。负责监督管理在公共场</w:t>
      </w:r>
      <w:r>
        <w:rPr>
          <w:rFonts w:ascii="仿宋_GB2312" w:eastAsia="仿宋_GB2312" w:hAnsi="仿宋" w:hint="eastAsia"/>
          <w:sz w:val="32"/>
          <w:szCs w:val="32"/>
        </w:rPr>
        <w:lastRenderedPageBreak/>
        <w:t>所办丧事行为。</w:t>
      </w:r>
    </w:p>
    <w:p w:rsidR="00976A7D" w:rsidRDefault="00CC070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（八）负责监督管理城区内商品房屋租赁和白蚁防治工作。</w:t>
      </w:r>
    </w:p>
    <w:p w:rsidR="00976A7D" w:rsidRDefault="00CC070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（九）负责查违控违拆违工作的综合监督和考核。负责主次干道未经规划行政许可违规建设的监督管理和强制拆除工作。</w:t>
      </w:r>
    </w:p>
    <w:p w:rsidR="00976A7D" w:rsidRDefault="00CC070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（十）监督管理辖区内建（构）筑物立面乱贴、乱吊、乱挂以及临时宣传活动（彩虹门、条幅、横幅、气球、气模、彩旗、布幔等）的违法（章）行为；</w:t>
      </w:r>
    </w:p>
    <w:p w:rsidR="00976A7D" w:rsidRDefault="00CC070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（十一）负责组织辖区内城市管理重大专项行动；指导城市管理执法大队工作。</w:t>
      </w:r>
    </w:p>
    <w:p w:rsidR="00976A7D" w:rsidRDefault="00CC070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（十二）宣传和执行国家、省、市、区关于城市市容和环境卫生、建筑垃圾、工程渣土管理等有关规定；负责特种垃圾和建筑渣土运输实行监督管理；查处违反建筑垃圾、工程渣土管理规定的违法行为。</w:t>
      </w:r>
    </w:p>
    <w:p w:rsidR="00976A7D" w:rsidRDefault="004628DB">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（十三</w:t>
      </w:r>
      <w:r w:rsidR="00CC0705">
        <w:rPr>
          <w:rFonts w:ascii="仿宋_GB2312" w:eastAsia="仿宋_GB2312" w:hAnsi="仿宋" w:hint="eastAsia"/>
          <w:sz w:val="32"/>
          <w:szCs w:val="32"/>
        </w:rPr>
        <w:t>）负责辖区内所管辖的广告牌建设工程的安全生产监督管理。严厉打击辖区内规划方面违法非法建设和施工行为，主要是未取得建设工程规划许可证或者未按照建设工程规划许可证的规定进行建设，未经批准进行临时建设或者未按照批准内容进行临时建设，临时建筑物、构建物超过批准限期不拆除等行为。</w:t>
      </w:r>
    </w:p>
    <w:p w:rsidR="00976A7D" w:rsidRDefault="00CC070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（十</w:t>
      </w:r>
      <w:r w:rsidR="004628DB">
        <w:rPr>
          <w:rFonts w:ascii="仿宋_GB2312" w:eastAsia="仿宋_GB2312" w:hAnsi="仿宋" w:hint="eastAsia"/>
          <w:sz w:val="32"/>
          <w:szCs w:val="32"/>
        </w:rPr>
        <w:t>四</w:t>
      </w:r>
      <w:r>
        <w:rPr>
          <w:rFonts w:ascii="仿宋_GB2312" w:eastAsia="仿宋_GB2312" w:hAnsi="仿宋" w:hint="eastAsia"/>
          <w:sz w:val="32"/>
          <w:szCs w:val="32"/>
        </w:rPr>
        <w:t>）完成区委、区政府交办的其他任务。</w:t>
      </w:r>
    </w:p>
    <w:p w:rsidR="00976A7D" w:rsidRDefault="00CC0705">
      <w:pPr>
        <w:ind w:firstLine="630"/>
        <w:jc w:val="left"/>
        <w:rPr>
          <w:rFonts w:ascii="黑体" w:eastAsia="黑体" w:hAnsi="黑体"/>
          <w:sz w:val="32"/>
          <w:szCs w:val="32"/>
        </w:rPr>
      </w:pPr>
      <w:r>
        <w:rPr>
          <w:rFonts w:ascii="黑体" w:eastAsia="黑体" w:hAnsi="黑体" w:hint="eastAsia"/>
          <w:sz w:val="32"/>
          <w:szCs w:val="32"/>
        </w:rPr>
        <w:t>二、部门基本情况</w:t>
      </w:r>
    </w:p>
    <w:p w:rsidR="00976A7D" w:rsidRDefault="00CC0705">
      <w:pPr>
        <w:ind w:firstLine="630"/>
        <w:jc w:val="left"/>
        <w:rPr>
          <w:rFonts w:ascii="仿宋_GB2312" w:eastAsia="仿宋_GB2312" w:hAnsi="仿宋"/>
          <w:sz w:val="32"/>
          <w:szCs w:val="32"/>
        </w:rPr>
      </w:pPr>
      <w:r>
        <w:rPr>
          <w:rFonts w:ascii="仿宋_GB2312" w:eastAsia="仿宋_GB2312" w:hAnsi="仿宋" w:hint="eastAsia"/>
          <w:sz w:val="32"/>
          <w:szCs w:val="32"/>
        </w:rPr>
        <w:t>纳入本套部门决算汇编范围的单位共2个，包括</w:t>
      </w:r>
      <w:r>
        <w:rPr>
          <w:rFonts w:ascii="仿宋" w:eastAsia="仿宋" w:hAnsi="仿宋" w:hint="eastAsia"/>
          <w:sz w:val="30"/>
          <w:szCs w:val="30"/>
        </w:rPr>
        <w:t>昌江区城市管理行政执法局，昌江区环境卫生管理局。</w:t>
      </w:r>
    </w:p>
    <w:p w:rsidR="00C74366" w:rsidRDefault="00CC0705" w:rsidP="00C74366">
      <w:pPr>
        <w:ind w:firstLine="630"/>
        <w:jc w:val="left"/>
        <w:rPr>
          <w:rFonts w:ascii="仿宋" w:eastAsia="仿宋" w:hAnsi="仿宋"/>
          <w:sz w:val="30"/>
          <w:szCs w:val="30"/>
        </w:rPr>
      </w:pPr>
      <w:r>
        <w:rPr>
          <w:rFonts w:ascii="仿宋_GB2312" w:eastAsia="仿宋_GB2312" w:hAnsi="仿宋" w:hint="eastAsia"/>
          <w:sz w:val="32"/>
          <w:szCs w:val="32"/>
        </w:rPr>
        <w:t>本部门2020年年末实有人数 413人，其中在职人员 189 人，</w:t>
      </w:r>
      <w:r>
        <w:rPr>
          <w:rFonts w:ascii="仿宋" w:eastAsia="仿宋" w:hAnsi="仿宋" w:hint="eastAsia"/>
          <w:sz w:val="30"/>
          <w:szCs w:val="30"/>
        </w:rPr>
        <w:t>离休人员 0 人，退休人员38人；年末其他人员 186人；年末学生人数  0 人。</w:t>
      </w:r>
    </w:p>
    <w:p w:rsidR="00976A7D" w:rsidRPr="00C74366" w:rsidRDefault="00CC0705" w:rsidP="00C74366">
      <w:pPr>
        <w:ind w:firstLineChars="700" w:firstLine="2249"/>
        <w:jc w:val="left"/>
        <w:rPr>
          <w:rFonts w:ascii="仿宋" w:eastAsia="仿宋" w:hAnsi="仿宋"/>
          <w:sz w:val="30"/>
          <w:szCs w:val="30"/>
        </w:rPr>
      </w:pPr>
      <w:r>
        <w:rPr>
          <w:rFonts w:ascii="宋体" w:hAnsi="宋体" w:hint="eastAsia"/>
          <w:b/>
          <w:sz w:val="32"/>
          <w:szCs w:val="32"/>
        </w:rPr>
        <w:lastRenderedPageBreak/>
        <w:t>第二部分  2020年度部门决算表</w:t>
      </w:r>
    </w:p>
    <w:p w:rsidR="00976A7D" w:rsidRDefault="00976A7D">
      <w:pPr>
        <w:widowControl/>
        <w:spacing w:line="600" w:lineRule="exact"/>
        <w:ind w:firstLine="640"/>
        <w:jc w:val="center"/>
        <w:rPr>
          <w:rFonts w:ascii="宋体" w:hAnsi="宋体"/>
          <w:b/>
          <w:sz w:val="32"/>
          <w:szCs w:val="32"/>
        </w:rPr>
      </w:pPr>
    </w:p>
    <w:p w:rsidR="00976A7D" w:rsidRDefault="00976A7D">
      <w:pPr>
        <w:autoSpaceDE w:val="0"/>
        <w:autoSpaceDN w:val="0"/>
        <w:adjustRightInd w:val="0"/>
        <w:spacing w:line="360" w:lineRule="auto"/>
        <w:jc w:val="left"/>
        <w:rPr>
          <w:rFonts w:ascii="Calibri" w:hAnsi="Calibri"/>
          <w:szCs w:val="30"/>
        </w:rPr>
      </w:pPr>
    </w:p>
    <w:p w:rsidR="00976A7D" w:rsidRDefault="00C74366">
      <w:pPr>
        <w:autoSpaceDE w:val="0"/>
        <w:autoSpaceDN w:val="0"/>
        <w:adjustRightInd w:val="0"/>
        <w:spacing w:line="360" w:lineRule="auto"/>
        <w:jc w:val="left"/>
        <w:rPr>
          <w:szCs w:val="30"/>
        </w:rPr>
      </w:pPr>
      <w:r>
        <w:rPr>
          <w:noProof/>
        </w:rPr>
        <w:drawing>
          <wp:inline distT="0" distB="0" distL="0" distR="0">
            <wp:extent cx="5615940" cy="3623310"/>
            <wp:effectExtent l="19050" t="0" r="3810" b="0"/>
            <wp:docPr id="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7" cstate="print"/>
                    <a:srcRect/>
                    <a:stretch>
                      <a:fillRect/>
                    </a:stretch>
                  </pic:blipFill>
                  <pic:spPr bwMode="auto">
                    <a:xfrm>
                      <a:off x="0" y="0"/>
                      <a:ext cx="5615940" cy="3623310"/>
                    </a:xfrm>
                    <a:prstGeom prst="rect">
                      <a:avLst/>
                    </a:prstGeom>
                    <a:noFill/>
                    <a:ln w="9525" cmpd="sng">
                      <a:noFill/>
                      <a:miter lim="800000"/>
                      <a:headEnd/>
                      <a:tailEnd/>
                    </a:ln>
                  </pic:spPr>
                </pic:pic>
              </a:graphicData>
            </a:graphic>
          </wp:inline>
        </w:drawing>
      </w:r>
    </w:p>
    <w:p w:rsidR="00976A7D" w:rsidRDefault="00976A7D">
      <w:pPr>
        <w:autoSpaceDE w:val="0"/>
        <w:autoSpaceDN w:val="0"/>
        <w:adjustRightInd w:val="0"/>
        <w:spacing w:line="360" w:lineRule="auto"/>
        <w:jc w:val="left"/>
        <w:rPr>
          <w:rFonts w:ascii="仿宋" w:eastAsia="仿宋" w:hAnsi="仿宋" w:cs="仿宋_GB2312"/>
          <w:kern w:val="0"/>
          <w:sz w:val="30"/>
          <w:szCs w:val="30"/>
        </w:rPr>
      </w:pPr>
    </w:p>
    <w:p w:rsidR="00976A7D" w:rsidRDefault="00CC0705">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w:t>
      </w:r>
    </w:p>
    <w:p w:rsidR="00976A7D" w:rsidRDefault="00C74366">
      <w:pPr>
        <w:autoSpaceDE w:val="0"/>
        <w:autoSpaceDN w:val="0"/>
        <w:adjustRightInd w:val="0"/>
        <w:spacing w:line="360" w:lineRule="auto"/>
        <w:jc w:val="left"/>
        <w:rPr>
          <w:rFonts w:ascii="Calibri" w:hAnsi="Calibri"/>
          <w:szCs w:val="22"/>
        </w:rPr>
      </w:pPr>
      <w:r>
        <w:rPr>
          <w:noProof/>
        </w:rPr>
        <w:lastRenderedPageBreak/>
        <w:drawing>
          <wp:inline distT="0" distB="0" distL="0" distR="0">
            <wp:extent cx="5607050" cy="3631565"/>
            <wp:effectExtent l="19050" t="0" r="0" b="0"/>
            <wp:docPr id="2"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8" cstate="print"/>
                    <a:srcRect/>
                    <a:stretch>
                      <a:fillRect/>
                    </a:stretch>
                  </pic:blipFill>
                  <pic:spPr bwMode="auto">
                    <a:xfrm>
                      <a:off x="0" y="0"/>
                      <a:ext cx="5607050" cy="3631565"/>
                    </a:xfrm>
                    <a:prstGeom prst="rect">
                      <a:avLst/>
                    </a:prstGeom>
                    <a:noFill/>
                    <a:ln w="9525" cmpd="sng">
                      <a:noFill/>
                      <a:miter lim="800000"/>
                      <a:headEnd/>
                      <a:tailEnd/>
                    </a:ln>
                    <a:effectLst/>
                  </pic:spPr>
                </pic:pic>
              </a:graphicData>
            </a:graphic>
          </wp:inline>
        </w:drawing>
      </w:r>
    </w:p>
    <w:p w:rsidR="00976A7D" w:rsidRDefault="00976A7D">
      <w:pPr>
        <w:autoSpaceDE w:val="0"/>
        <w:autoSpaceDN w:val="0"/>
        <w:adjustRightInd w:val="0"/>
        <w:spacing w:line="360" w:lineRule="auto"/>
        <w:jc w:val="left"/>
      </w:pPr>
    </w:p>
    <w:p w:rsidR="00976A7D" w:rsidRDefault="00976A7D">
      <w:pPr>
        <w:autoSpaceDE w:val="0"/>
        <w:autoSpaceDN w:val="0"/>
        <w:adjustRightInd w:val="0"/>
        <w:spacing w:line="360" w:lineRule="auto"/>
        <w:jc w:val="left"/>
      </w:pPr>
    </w:p>
    <w:p w:rsidR="00976A7D" w:rsidRDefault="00C74366">
      <w:pPr>
        <w:autoSpaceDE w:val="0"/>
        <w:autoSpaceDN w:val="0"/>
        <w:adjustRightInd w:val="0"/>
        <w:spacing w:line="360" w:lineRule="auto"/>
        <w:jc w:val="left"/>
      </w:pPr>
      <w:r>
        <w:rPr>
          <w:noProof/>
        </w:rPr>
        <w:drawing>
          <wp:inline distT="0" distB="0" distL="0" distR="0">
            <wp:extent cx="5917565" cy="4468495"/>
            <wp:effectExtent l="19050" t="0" r="6985" b="0"/>
            <wp:docPr id="3"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9" cstate="print"/>
                    <a:srcRect/>
                    <a:stretch>
                      <a:fillRect/>
                    </a:stretch>
                  </pic:blipFill>
                  <pic:spPr bwMode="auto">
                    <a:xfrm>
                      <a:off x="0" y="0"/>
                      <a:ext cx="5917565" cy="4468495"/>
                    </a:xfrm>
                    <a:prstGeom prst="rect">
                      <a:avLst/>
                    </a:prstGeom>
                    <a:noFill/>
                    <a:ln w="9525" cmpd="sng">
                      <a:noFill/>
                      <a:miter lim="800000"/>
                      <a:headEnd/>
                      <a:tailEnd/>
                    </a:ln>
                    <a:effectLst/>
                  </pic:spPr>
                </pic:pic>
              </a:graphicData>
            </a:graphic>
          </wp:inline>
        </w:drawing>
      </w:r>
    </w:p>
    <w:p w:rsidR="00976A7D" w:rsidRDefault="00976A7D">
      <w:pPr>
        <w:autoSpaceDE w:val="0"/>
        <w:autoSpaceDN w:val="0"/>
        <w:adjustRightInd w:val="0"/>
        <w:spacing w:line="360" w:lineRule="auto"/>
        <w:jc w:val="left"/>
      </w:pPr>
    </w:p>
    <w:p w:rsidR="00976A7D" w:rsidRDefault="00976A7D">
      <w:pPr>
        <w:autoSpaceDE w:val="0"/>
        <w:autoSpaceDN w:val="0"/>
        <w:adjustRightInd w:val="0"/>
        <w:spacing w:line="360" w:lineRule="auto"/>
        <w:jc w:val="left"/>
      </w:pPr>
    </w:p>
    <w:p w:rsidR="00976A7D" w:rsidRDefault="00976A7D">
      <w:pPr>
        <w:autoSpaceDE w:val="0"/>
        <w:autoSpaceDN w:val="0"/>
        <w:adjustRightInd w:val="0"/>
        <w:spacing w:line="360" w:lineRule="auto"/>
        <w:jc w:val="left"/>
      </w:pPr>
    </w:p>
    <w:p w:rsidR="00976A7D" w:rsidRDefault="00976A7D">
      <w:pPr>
        <w:autoSpaceDE w:val="0"/>
        <w:autoSpaceDN w:val="0"/>
        <w:adjustRightInd w:val="0"/>
        <w:spacing w:line="360" w:lineRule="auto"/>
        <w:jc w:val="left"/>
        <w:rPr>
          <w:b/>
          <w:bCs/>
        </w:rPr>
      </w:pPr>
    </w:p>
    <w:p w:rsidR="00976A7D" w:rsidRDefault="00C74366">
      <w:pPr>
        <w:autoSpaceDE w:val="0"/>
        <w:autoSpaceDN w:val="0"/>
        <w:adjustRightInd w:val="0"/>
        <w:spacing w:line="360" w:lineRule="auto"/>
        <w:jc w:val="left"/>
      </w:pPr>
      <w:r>
        <w:rPr>
          <w:noProof/>
        </w:rPr>
        <w:drawing>
          <wp:inline distT="0" distB="0" distL="0" distR="0">
            <wp:extent cx="6012815" cy="5624195"/>
            <wp:effectExtent l="19050" t="0" r="6985" b="0"/>
            <wp:docPr id="4"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10" cstate="print"/>
                    <a:srcRect/>
                    <a:stretch>
                      <a:fillRect/>
                    </a:stretch>
                  </pic:blipFill>
                  <pic:spPr bwMode="auto">
                    <a:xfrm>
                      <a:off x="0" y="0"/>
                      <a:ext cx="6012815" cy="5624195"/>
                    </a:xfrm>
                    <a:prstGeom prst="rect">
                      <a:avLst/>
                    </a:prstGeom>
                    <a:noFill/>
                    <a:ln w="9525" cmpd="sng">
                      <a:noFill/>
                      <a:miter lim="800000"/>
                      <a:headEnd/>
                      <a:tailEnd/>
                    </a:ln>
                    <a:effectLst/>
                  </pic:spPr>
                </pic:pic>
              </a:graphicData>
            </a:graphic>
          </wp:inline>
        </w:drawing>
      </w:r>
    </w:p>
    <w:p w:rsidR="00976A7D" w:rsidRDefault="00976A7D">
      <w:pPr>
        <w:autoSpaceDE w:val="0"/>
        <w:autoSpaceDN w:val="0"/>
        <w:adjustRightInd w:val="0"/>
        <w:spacing w:line="360" w:lineRule="auto"/>
        <w:jc w:val="left"/>
      </w:pPr>
    </w:p>
    <w:p w:rsidR="00976A7D" w:rsidRDefault="00C74366">
      <w:pPr>
        <w:autoSpaceDE w:val="0"/>
        <w:autoSpaceDN w:val="0"/>
        <w:adjustRightInd w:val="0"/>
        <w:spacing w:line="360" w:lineRule="auto"/>
        <w:jc w:val="left"/>
        <w:rPr>
          <w:szCs w:val="30"/>
        </w:rPr>
      </w:pPr>
      <w:r>
        <w:rPr>
          <w:noProof/>
        </w:rPr>
        <w:lastRenderedPageBreak/>
        <w:drawing>
          <wp:inline distT="0" distB="0" distL="0" distR="0">
            <wp:extent cx="5607050" cy="4666615"/>
            <wp:effectExtent l="19050" t="0" r="0" b="0"/>
            <wp:docPr id="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1" cstate="print"/>
                    <a:srcRect/>
                    <a:stretch>
                      <a:fillRect/>
                    </a:stretch>
                  </pic:blipFill>
                  <pic:spPr bwMode="auto">
                    <a:xfrm>
                      <a:off x="0" y="0"/>
                      <a:ext cx="5607050" cy="4666615"/>
                    </a:xfrm>
                    <a:prstGeom prst="rect">
                      <a:avLst/>
                    </a:prstGeom>
                    <a:noFill/>
                    <a:ln w="9525" cmpd="sng">
                      <a:noFill/>
                      <a:miter lim="800000"/>
                      <a:headEnd/>
                      <a:tailEnd/>
                    </a:ln>
                    <a:effectLst/>
                  </pic:spPr>
                </pic:pic>
              </a:graphicData>
            </a:graphic>
          </wp:inline>
        </w:drawing>
      </w:r>
    </w:p>
    <w:p w:rsidR="00976A7D" w:rsidRDefault="00976A7D">
      <w:pPr>
        <w:autoSpaceDE w:val="0"/>
        <w:autoSpaceDN w:val="0"/>
        <w:adjustRightInd w:val="0"/>
        <w:spacing w:line="360" w:lineRule="auto"/>
        <w:jc w:val="left"/>
        <w:rPr>
          <w:szCs w:val="22"/>
        </w:rPr>
      </w:pPr>
    </w:p>
    <w:p w:rsidR="00976A7D" w:rsidRDefault="00C74366">
      <w:pPr>
        <w:autoSpaceDE w:val="0"/>
        <w:autoSpaceDN w:val="0"/>
        <w:adjustRightInd w:val="0"/>
        <w:spacing w:line="360" w:lineRule="auto"/>
        <w:jc w:val="left"/>
        <w:rPr>
          <w:rFonts w:ascii="仿宋" w:eastAsia="仿宋" w:hAnsi="仿宋" w:cs="仿宋_GB2312"/>
          <w:b/>
          <w:bCs/>
          <w:kern w:val="0"/>
          <w:sz w:val="30"/>
          <w:szCs w:val="30"/>
        </w:rPr>
      </w:pPr>
      <w:r>
        <w:rPr>
          <w:noProof/>
        </w:rPr>
        <w:lastRenderedPageBreak/>
        <w:drawing>
          <wp:inline distT="0" distB="0" distL="0" distR="0">
            <wp:extent cx="5943600" cy="6624955"/>
            <wp:effectExtent l="19050" t="0" r="0" b="0"/>
            <wp:docPr id="6"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12" cstate="print"/>
                    <a:srcRect/>
                    <a:stretch>
                      <a:fillRect/>
                    </a:stretch>
                  </pic:blipFill>
                  <pic:spPr bwMode="auto">
                    <a:xfrm>
                      <a:off x="0" y="0"/>
                      <a:ext cx="5943600" cy="6624955"/>
                    </a:xfrm>
                    <a:prstGeom prst="rect">
                      <a:avLst/>
                    </a:prstGeom>
                    <a:noFill/>
                    <a:ln w="9525" cmpd="sng">
                      <a:noFill/>
                      <a:miter lim="800000"/>
                      <a:headEnd/>
                      <a:tailEnd/>
                    </a:ln>
                    <a:effectLst/>
                  </pic:spPr>
                </pic:pic>
              </a:graphicData>
            </a:graphic>
          </wp:inline>
        </w:drawing>
      </w:r>
    </w:p>
    <w:p w:rsidR="00976A7D" w:rsidRDefault="00976A7D">
      <w:pPr>
        <w:autoSpaceDE w:val="0"/>
        <w:autoSpaceDN w:val="0"/>
        <w:adjustRightInd w:val="0"/>
        <w:spacing w:line="360" w:lineRule="auto"/>
        <w:jc w:val="left"/>
        <w:rPr>
          <w:rFonts w:ascii="仿宋" w:eastAsia="仿宋" w:hAnsi="仿宋" w:cs="仿宋_GB2312"/>
          <w:kern w:val="0"/>
          <w:sz w:val="30"/>
          <w:szCs w:val="30"/>
        </w:rPr>
      </w:pPr>
    </w:p>
    <w:p w:rsidR="00976A7D" w:rsidRDefault="00976A7D">
      <w:pPr>
        <w:autoSpaceDE w:val="0"/>
        <w:autoSpaceDN w:val="0"/>
        <w:adjustRightInd w:val="0"/>
        <w:spacing w:line="360" w:lineRule="auto"/>
        <w:jc w:val="left"/>
        <w:rPr>
          <w:rFonts w:ascii="Calibri" w:hAnsi="Calibri"/>
          <w:szCs w:val="30"/>
        </w:rPr>
      </w:pPr>
    </w:p>
    <w:p w:rsidR="00976A7D" w:rsidRDefault="00976A7D">
      <w:pPr>
        <w:autoSpaceDE w:val="0"/>
        <w:autoSpaceDN w:val="0"/>
        <w:adjustRightInd w:val="0"/>
        <w:spacing w:line="360" w:lineRule="auto"/>
        <w:jc w:val="left"/>
      </w:pPr>
    </w:p>
    <w:p w:rsidR="00976A7D" w:rsidRDefault="00976A7D">
      <w:pPr>
        <w:autoSpaceDE w:val="0"/>
        <w:autoSpaceDN w:val="0"/>
        <w:adjustRightInd w:val="0"/>
        <w:spacing w:line="360" w:lineRule="auto"/>
        <w:jc w:val="left"/>
        <w:rPr>
          <w:szCs w:val="30"/>
        </w:rPr>
      </w:pPr>
    </w:p>
    <w:p w:rsidR="00976A7D" w:rsidRDefault="00C74366">
      <w:pPr>
        <w:autoSpaceDE w:val="0"/>
        <w:autoSpaceDN w:val="0"/>
        <w:adjustRightInd w:val="0"/>
        <w:spacing w:line="360" w:lineRule="auto"/>
        <w:jc w:val="left"/>
        <w:rPr>
          <w:szCs w:val="30"/>
        </w:rPr>
      </w:pPr>
      <w:r>
        <w:rPr>
          <w:noProof/>
        </w:rPr>
        <w:lastRenderedPageBreak/>
        <w:drawing>
          <wp:inline distT="0" distB="0" distL="0" distR="0">
            <wp:extent cx="6210935" cy="4545965"/>
            <wp:effectExtent l="19050" t="0" r="0" b="0"/>
            <wp:docPr id="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13" cstate="print"/>
                    <a:srcRect/>
                    <a:stretch>
                      <a:fillRect/>
                    </a:stretch>
                  </pic:blipFill>
                  <pic:spPr bwMode="auto">
                    <a:xfrm>
                      <a:off x="0" y="0"/>
                      <a:ext cx="6210935" cy="4545965"/>
                    </a:xfrm>
                    <a:prstGeom prst="rect">
                      <a:avLst/>
                    </a:prstGeom>
                    <a:noFill/>
                    <a:ln w="9525" cmpd="sng">
                      <a:noFill/>
                      <a:miter lim="800000"/>
                      <a:headEnd/>
                      <a:tailEnd/>
                    </a:ln>
                    <a:effectLst/>
                  </pic:spPr>
                </pic:pic>
              </a:graphicData>
            </a:graphic>
          </wp:inline>
        </w:drawing>
      </w:r>
    </w:p>
    <w:p w:rsidR="00976A7D" w:rsidRDefault="00976A7D">
      <w:pPr>
        <w:autoSpaceDE w:val="0"/>
        <w:autoSpaceDN w:val="0"/>
        <w:adjustRightInd w:val="0"/>
        <w:spacing w:line="360" w:lineRule="auto"/>
        <w:jc w:val="left"/>
        <w:rPr>
          <w:szCs w:val="30"/>
        </w:rPr>
      </w:pPr>
    </w:p>
    <w:p w:rsidR="00976A7D" w:rsidRDefault="00976A7D">
      <w:pPr>
        <w:autoSpaceDE w:val="0"/>
        <w:autoSpaceDN w:val="0"/>
        <w:adjustRightInd w:val="0"/>
        <w:spacing w:line="360" w:lineRule="auto"/>
        <w:jc w:val="left"/>
        <w:rPr>
          <w:szCs w:val="30"/>
        </w:rPr>
      </w:pPr>
    </w:p>
    <w:p w:rsidR="00976A7D" w:rsidRDefault="00C74366">
      <w:pPr>
        <w:autoSpaceDE w:val="0"/>
        <w:autoSpaceDN w:val="0"/>
        <w:adjustRightInd w:val="0"/>
        <w:spacing w:line="360" w:lineRule="auto"/>
        <w:jc w:val="left"/>
        <w:rPr>
          <w:szCs w:val="30"/>
        </w:rPr>
      </w:pPr>
      <w:r>
        <w:rPr>
          <w:noProof/>
        </w:rPr>
        <w:drawing>
          <wp:inline distT="0" distB="0" distL="0" distR="0">
            <wp:extent cx="5615940" cy="1941195"/>
            <wp:effectExtent l="19050" t="0" r="3810" b="0"/>
            <wp:docPr id="8"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14" cstate="print"/>
                    <a:srcRect/>
                    <a:stretch>
                      <a:fillRect/>
                    </a:stretch>
                  </pic:blipFill>
                  <pic:spPr bwMode="auto">
                    <a:xfrm>
                      <a:off x="0" y="0"/>
                      <a:ext cx="5615940" cy="1941195"/>
                    </a:xfrm>
                    <a:prstGeom prst="rect">
                      <a:avLst/>
                    </a:prstGeom>
                    <a:noFill/>
                    <a:ln w="9525" cmpd="sng">
                      <a:noFill/>
                      <a:miter lim="800000"/>
                      <a:headEnd/>
                      <a:tailEnd/>
                    </a:ln>
                  </pic:spPr>
                </pic:pic>
              </a:graphicData>
            </a:graphic>
          </wp:inline>
        </w:drawing>
      </w:r>
    </w:p>
    <w:p w:rsidR="00976A7D" w:rsidRDefault="00976A7D">
      <w:pPr>
        <w:autoSpaceDE w:val="0"/>
        <w:autoSpaceDN w:val="0"/>
        <w:adjustRightInd w:val="0"/>
        <w:spacing w:line="360" w:lineRule="auto"/>
        <w:jc w:val="left"/>
        <w:rPr>
          <w:szCs w:val="30"/>
        </w:rPr>
      </w:pPr>
    </w:p>
    <w:p w:rsidR="00976A7D" w:rsidRDefault="00C74366">
      <w:pPr>
        <w:autoSpaceDE w:val="0"/>
        <w:autoSpaceDN w:val="0"/>
        <w:adjustRightInd w:val="0"/>
        <w:spacing w:line="360" w:lineRule="auto"/>
        <w:jc w:val="left"/>
        <w:rPr>
          <w:szCs w:val="22"/>
        </w:rPr>
      </w:pPr>
      <w:r>
        <w:rPr>
          <w:noProof/>
        </w:rPr>
        <w:lastRenderedPageBreak/>
        <w:drawing>
          <wp:inline distT="0" distB="0" distL="0" distR="0">
            <wp:extent cx="5615940" cy="1776730"/>
            <wp:effectExtent l="19050" t="0" r="3810" b="0"/>
            <wp:docPr id="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15" cstate="print"/>
                    <a:srcRect/>
                    <a:stretch>
                      <a:fillRect/>
                    </a:stretch>
                  </pic:blipFill>
                  <pic:spPr bwMode="auto">
                    <a:xfrm>
                      <a:off x="0" y="0"/>
                      <a:ext cx="5615940" cy="1776730"/>
                    </a:xfrm>
                    <a:prstGeom prst="rect">
                      <a:avLst/>
                    </a:prstGeom>
                    <a:noFill/>
                    <a:ln w="9525" cmpd="sng">
                      <a:noFill/>
                      <a:miter lim="800000"/>
                      <a:headEnd/>
                      <a:tailEnd/>
                    </a:ln>
                  </pic:spPr>
                </pic:pic>
              </a:graphicData>
            </a:graphic>
          </wp:inline>
        </w:drawing>
      </w:r>
    </w:p>
    <w:p w:rsidR="00976A7D" w:rsidRDefault="00976A7D">
      <w:pPr>
        <w:autoSpaceDE w:val="0"/>
        <w:autoSpaceDN w:val="0"/>
        <w:adjustRightInd w:val="0"/>
        <w:spacing w:line="360" w:lineRule="auto"/>
        <w:jc w:val="left"/>
      </w:pPr>
    </w:p>
    <w:p w:rsidR="00976A7D" w:rsidRDefault="00C74366">
      <w:pPr>
        <w:autoSpaceDE w:val="0"/>
        <w:autoSpaceDN w:val="0"/>
        <w:adjustRightInd w:val="0"/>
        <w:spacing w:line="360" w:lineRule="auto"/>
        <w:jc w:val="left"/>
      </w:pPr>
      <w:r>
        <w:rPr>
          <w:noProof/>
        </w:rPr>
        <w:drawing>
          <wp:inline distT="0" distB="0" distL="0" distR="0">
            <wp:extent cx="5615940" cy="3312795"/>
            <wp:effectExtent l="19050" t="0" r="3810" b="0"/>
            <wp:docPr id="10"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16" cstate="print"/>
                    <a:srcRect/>
                    <a:stretch>
                      <a:fillRect/>
                    </a:stretch>
                  </pic:blipFill>
                  <pic:spPr bwMode="auto">
                    <a:xfrm>
                      <a:off x="0" y="0"/>
                      <a:ext cx="5615940" cy="3312795"/>
                    </a:xfrm>
                    <a:prstGeom prst="rect">
                      <a:avLst/>
                    </a:prstGeom>
                    <a:noFill/>
                    <a:ln w="9525" cmpd="sng">
                      <a:noFill/>
                      <a:miter lim="800000"/>
                      <a:headEnd/>
                      <a:tailEnd/>
                    </a:ln>
                  </pic:spPr>
                </pic:pic>
              </a:graphicData>
            </a:graphic>
          </wp:inline>
        </w:drawing>
      </w:r>
    </w:p>
    <w:p w:rsidR="00976A7D" w:rsidRDefault="00976A7D">
      <w:pPr>
        <w:widowControl/>
        <w:spacing w:line="600" w:lineRule="exact"/>
        <w:ind w:firstLine="640"/>
        <w:jc w:val="center"/>
        <w:rPr>
          <w:rFonts w:ascii="宋体" w:hAnsi="宋体"/>
          <w:b/>
          <w:sz w:val="32"/>
          <w:szCs w:val="32"/>
        </w:rPr>
      </w:pPr>
    </w:p>
    <w:p w:rsidR="00976A7D" w:rsidRDefault="00CC0705" w:rsidP="00C74366">
      <w:pPr>
        <w:widowControl/>
        <w:spacing w:line="600" w:lineRule="exact"/>
        <w:ind w:firstLineChars="500" w:firstLine="1606"/>
        <w:rPr>
          <w:rFonts w:ascii="宋体" w:hAnsi="宋体"/>
          <w:b/>
          <w:sz w:val="32"/>
          <w:szCs w:val="32"/>
        </w:rPr>
      </w:pPr>
      <w:r>
        <w:rPr>
          <w:rFonts w:ascii="宋体" w:hAnsi="宋体" w:hint="eastAsia"/>
          <w:b/>
          <w:sz w:val="32"/>
          <w:szCs w:val="32"/>
        </w:rPr>
        <w:t>第三部分  2020年度部门决算情况说明</w:t>
      </w:r>
    </w:p>
    <w:p w:rsidR="00976A7D" w:rsidRDefault="00976A7D">
      <w:pPr>
        <w:ind w:firstLine="630"/>
        <w:jc w:val="left"/>
        <w:rPr>
          <w:rFonts w:ascii="仿宋" w:eastAsia="仿宋" w:hAnsi="仿宋"/>
          <w:sz w:val="30"/>
          <w:szCs w:val="30"/>
        </w:rPr>
      </w:pPr>
    </w:p>
    <w:p w:rsidR="00976A7D" w:rsidRDefault="00CC0705">
      <w:pPr>
        <w:ind w:firstLine="630"/>
        <w:jc w:val="left"/>
        <w:rPr>
          <w:rFonts w:ascii="黑体" w:eastAsia="黑体" w:hAnsi="黑体"/>
          <w:sz w:val="32"/>
          <w:szCs w:val="32"/>
        </w:rPr>
      </w:pPr>
      <w:r>
        <w:rPr>
          <w:rFonts w:ascii="黑体" w:eastAsia="黑体" w:hAnsi="黑体" w:hint="eastAsia"/>
          <w:sz w:val="32"/>
          <w:szCs w:val="32"/>
        </w:rPr>
        <w:t>一、收入决算情况说明</w:t>
      </w:r>
    </w:p>
    <w:p w:rsidR="00976A7D" w:rsidRDefault="00CC0705">
      <w:pPr>
        <w:ind w:firstLine="630"/>
        <w:jc w:val="left"/>
        <w:rPr>
          <w:rFonts w:ascii="仿宋_GB2312" w:eastAsia="仿宋_GB2312" w:hAnsi="仿宋"/>
          <w:sz w:val="32"/>
          <w:szCs w:val="32"/>
        </w:rPr>
      </w:pPr>
      <w:r>
        <w:rPr>
          <w:rFonts w:ascii="仿宋_GB2312" w:eastAsia="仿宋_GB2312" w:hAnsi="仿宋" w:hint="eastAsia"/>
          <w:sz w:val="32"/>
          <w:szCs w:val="32"/>
        </w:rPr>
        <w:t>本部门2020年度收入总计 5271.21万元，其中年初结转和结余 596.25 万元，较2019年减少699.11万元，下降53.97%；本年收入合计4674.96万元，较2019年增加624.97万元，增长15.43%，主要原因是：“双创双修”工作的开展。</w:t>
      </w:r>
    </w:p>
    <w:p w:rsidR="00976A7D" w:rsidRPr="00C74366" w:rsidRDefault="00CC0705">
      <w:pPr>
        <w:ind w:firstLine="630"/>
        <w:jc w:val="left"/>
        <w:rPr>
          <w:rFonts w:ascii="仿宋_GB2312" w:eastAsia="仿宋_GB2312" w:hAnsi="仿宋"/>
          <w:sz w:val="32"/>
          <w:szCs w:val="32"/>
        </w:rPr>
      </w:pPr>
      <w:r>
        <w:rPr>
          <w:rFonts w:ascii="仿宋_GB2312" w:eastAsia="仿宋_GB2312" w:hAnsi="仿宋" w:hint="eastAsia"/>
          <w:sz w:val="32"/>
          <w:szCs w:val="32"/>
        </w:rPr>
        <w:lastRenderedPageBreak/>
        <w:t>本年收入的具体构成为：财政拨款收入4578.39万元，占97.93%。</w:t>
      </w:r>
      <w:r w:rsidRPr="00C74366">
        <w:rPr>
          <w:rFonts w:ascii="仿宋_GB2312" w:eastAsia="仿宋_GB2312" w:hAnsi="仿宋" w:hint="eastAsia"/>
          <w:sz w:val="32"/>
          <w:szCs w:val="32"/>
        </w:rPr>
        <w:t xml:space="preserve">；事业收入0万元，占0 %；经营收入 0万元，占 0 %；其他收入 96.57万元，占2.07%。  </w:t>
      </w:r>
    </w:p>
    <w:p w:rsidR="00976A7D" w:rsidRPr="00C74366" w:rsidRDefault="00CC0705" w:rsidP="00C74366">
      <w:pPr>
        <w:ind w:firstLine="630"/>
        <w:jc w:val="left"/>
        <w:rPr>
          <w:rFonts w:ascii="仿宋_GB2312" w:eastAsia="仿宋_GB2312" w:hAnsi="仿宋"/>
          <w:sz w:val="32"/>
          <w:szCs w:val="32"/>
        </w:rPr>
      </w:pPr>
      <w:r>
        <w:rPr>
          <w:rFonts w:ascii="仿宋_GB2312" w:eastAsia="仿宋_GB2312" w:hAnsi="仿宋" w:hint="eastAsia"/>
          <w:sz w:val="32"/>
          <w:szCs w:val="32"/>
        </w:rPr>
        <w:t xml:space="preserve"> </w:t>
      </w:r>
      <w:r>
        <w:rPr>
          <w:rFonts w:ascii="黑体" w:eastAsia="黑体" w:hAnsi="黑体" w:hint="eastAsia"/>
          <w:sz w:val="32"/>
          <w:szCs w:val="32"/>
        </w:rPr>
        <w:t>二、支出决算情况说明</w:t>
      </w:r>
    </w:p>
    <w:p w:rsidR="00976A7D" w:rsidRDefault="00CC0705">
      <w:pPr>
        <w:ind w:firstLine="630"/>
        <w:jc w:val="left"/>
        <w:rPr>
          <w:rFonts w:ascii="仿宋_GB2312" w:eastAsia="仿宋_GB2312" w:hAnsi="仿宋"/>
          <w:sz w:val="32"/>
          <w:szCs w:val="32"/>
        </w:rPr>
      </w:pPr>
      <w:r>
        <w:rPr>
          <w:rFonts w:ascii="仿宋_GB2312" w:eastAsia="仿宋_GB2312" w:hAnsi="仿宋" w:hint="eastAsia"/>
          <w:sz w:val="32"/>
          <w:szCs w:val="32"/>
        </w:rPr>
        <w:t>本部门2020年度支出总计5271.21万元，其中本年支出合计5114.11万元，较2019年增加691.48万元，增长15.63%，主要原因是：“双创双修”工作的开展；年末结转和结余157.10万元，较2019年减少441.59万元，下降73.76%，主要原因是：加大了存量资金清理力度和预算支出执行力度。</w:t>
      </w:r>
    </w:p>
    <w:p w:rsidR="00976A7D" w:rsidRPr="00C74366" w:rsidRDefault="00CC0705">
      <w:pPr>
        <w:ind w:firstLine="630"/>
        <w:jc w:val="left"/>
        <w:rPr>
          <w:rFonts w:ascii="仿宋_GB2312" w:eastAsia="仿宋_GB2312" w:hAnsi="仿宋"/>
          <w:sz w:val="32"/>
          <w:szCs w:val="32"/>
        </w:rPr>
      </w:pPr>
      <w:r>
        <w:rPr>
          <w:rFonts w:ascii="仿宋_GB2312" w:eastAsia="仿宋_GB2312" w:hAnsi="仿宋" w:hint="eastAsia"/>
          <w:sz w:val="32"/>
          <w:szCs w:val="32"/>
        </w:rPr>
        <w:t>本年支出的具体构成为：基本支出4368.18万元，占85.41%；</w:t>
      </w:r>
      <w:r w:rsidRPr="00C74366">
        <w:rPr>
          <w:rFonts w:ascii="仿宋_GB2312" w:eastAsia="仿宋_GB2312" w:hAnsi="仿宋" w:hint="eastAsia"/>
          <w:sz w:val="32"/>
          <w:szCs w:val="32"/>
        </w:rPr>
        <w:t>项目支出745.94万元，占 14.59%；经营支出0万元，占0 %；其他支出（对附属单位补助支出、上缴上级支出）0万元，占0%。</w:t>
      </w:r>
    </w:p>
    <w:p w:rsidR="00976A7D" w:rsidRDefault="00CC0705" w:rsidP="00C74366">
      <w:pPr>
        <w:ind w:firstLineChars="200" w:firstLine="640"/>
        <w:jc w:val="left"/>
        <w:rPr>
          <w:rFonts w:ascii="黑体" w:eastAsia="黑体" w:hAnsi="黑体"/>
          <w:sz w:val="32"/>
          <w:szCs w:val="32"/>
        </w:rPr>
      </w:pPr>
      <w:r>
        <w:rPr>
          <w:rFonts w:ascii="黑体" w:eastAsia="黑体" w:hAnsi="黑体" w:hint="eastAsia"/>
          <w:sz w:val="32"/>
          <w:szCs w:val="32"/>
        </w:rPr>
        <w:t>三、财政拨款支出决算情况说明</w:t>
      </w:r>
    </w:p>
    <w:p w:rsidR="00976A7D" w:rsidRDefault="00CC0705">
      <w:pPr>
        <w:ind w:firstLine="630"/>
        <w:jc w:val="left"/>
        <w:rPr>
          <w:rFonts w:ascii="仿宋_GB2312" w:eastAsia="仿宋_GB2312" w:hAnsi="仿宋"/>
          <w:sz w:val="32"/>
          <w:szCs w:val="32"/>
        </w:rPr>
      </w:pPr>
      <w:r>
        <w:rPr>
          <w:rFonts w:ascii="仿宋_GB2312" w:eastAsia="仿宋_GB2312" w:hAnsi="仿宋" w:hint="eastAsia"/>
          <w:sz w:val="32"/>
          <w:szCs w:val="32"/>
        </w:rPr>
        <w:t>本部门2020年度财政拨款本年支出年初预算数为 4180.00万元，决算数为5114.11万元，完成年初预算的 122.35%。其中：</w:t>
      </w:r>
    </w:p>
    <w:p w:rsidR="00976A7D" w:rsidRPr="00C74366" w:rsidRDefault="00CC0705">
      <w:pPr>
        <w:numPr>
          <w:ilvl w:val="0"/>
          <w:numId w:val="2"/>
        </w:numPr>
        <w:ind w:firstLine="630"/>
        <w:jc w:val="left"/>
        <w:rPr>
          <w:rFonts w:ascii="仿宋_GB2312" w:eastAsia="仿宋_GB2312" w:hAnsi="仿宋"/>
          <w:sz w:val="32"/>
          <w:szCs w:val="32"/>
        </w:rPr>
      </w:pPr>
      <w:r>
        <w:rPr>
          <w:rFonts w:ascii="仿宋_GB2312" w:eastAsia="仿宋_GB2312" w:hAnsi="仿宋" w:hint="eastAsia"/>
          <w:sz w:val="32"/>
          <w:szCs w:val="32"/>
        </w:rPr>
        <w:t>城乡社区支出年初预算数为3759.34万元，决算数为  4459.95万元，完成年初预算的118.64%。</w:t>
      </w:r>
      <w:r w:rsidRPr="00C74366">
        <w:rPr>
          <w:rFonts w:ascii="仿宋_GB2312" w:eastAsia="仿宋_GB2312" w:hAnsi="仿宋" w:hint="eastAsia"/>
          <w:sz w:val="32"/>
          <w:szCs w:val="32"/>
        </w:rPr>
        <w:t>主要原因是：人员经费，公用经费较年初预算有所增加。</w:t>
      </w:r>
    </w:p>
    <w:p w:rsidR="00976A7D" w:rsidRDefault="00CC0705">
      <w:pPr>
        <w:ind w:firstLineChars="200" w:firstLine="640"/>
        <w:jc w:val="left"/>
        <w:rPr>
          <w:rFonts w:ascii="仿宋_GB2312" w:eastAsia="仿宋_GB2312" w:hAnsi="仿宋"/>
          <w:sz w:val="32"/>
          <w:szCs w:val="32"/>
        </w:rPr>
      </w:pPr>
      <w:r>
        <w:rPr>
          <w:rFonts w:ascii="仿宋_GB2312" w:eastAsia="仿宋_GB2312" w:hAnsi="仿宋" w:hint="eastAsia"/>
          <w:sz w:val="32"/>
          <w:szCs w:val="32"/>
        </w:rPr>
        <w:t>（二）社会保障和就业支出年初预算数为181.86万元，决算数为181.86万元，完成年初预算的100%。</w:t>
      </w:r>
    </w:p>
    <w:p w:rsidR="00976A7D" w:rsidRDefault="00CC0705">
      <w:pPr>
        <w:ind w:firstLine="630"/>
        <w:jc w:val="left"/>
        <w:rPr>
          <w:rFonts w:ascii="仿宋_GB2312" w:eastAsia="仿宋_GB2312" w:hAnsi="仿宋"/>
          <w:sz w:val="32"/>
          <w:szCs w:val="32"/>
        </w:rPr>
      </w:pPr>
      <w:r>
        <w:rPr>
          <w:rFonts w:ascii="仿宋_GB2312" w:eastAsia="仿宋_GB2312" w:hAnsi="仿宋" w:hint="eastAsia"/>
          <w:sz w:val="32"/>
          <w:szCs w:val="32"/>
        </w:rPr>
        <w:lastRenderedPageBreak/>
        <w:t>（三）卫生健康支出年初预算数为90.22万元，决算数为 90.22万元，完成年初预算的100%。</w:t>
      </w:r>
    </w:p>
    <w:p w:rsidR="00976A7D" w:rsidRDefault="00CC0705">
      <w:pPr>
        <w:ind w:firstLineChars="200" w:firstLine="640"/>
        <w:jc w:val="left"/>
        <w:rPr>
          <w:rFonts w:ascii="仿宋_GB2312" w:eastAsia="仿宋_GB2312" w:hAnsi="仿宋"/>
          <w:sz w:val="32"/>
          <w:szCs w:val="32"/>
        </w:rPr>
      </w:pPr>
      <w:r>
        <w:rPr>
          <w:rFonts w:ascii="仿宋_GB2312" w:eastAsia="仿宋_GB2312" w:hAnsi="仿宋" w:hint="eastAsia"/>
          <w:sz w:val="32"/>
          <w:szCs w:val="32"/>
        </w:rPr>
        <w:t>（四）住房保障支出年初预算数为148.58万元，决算数为 167.89万元，完成年初预算的113%。</w:t>
      </w:r>
      <w:r>
        <w:rPr>
          <w:rFonts w:ascii="仿宋" w:eastAsia="仿宋" w:hAnsi="仿宋" w:hint="eastAsia"/>
          <w:sz w:val="30"/>
          <w:szCs w:val="30"/>
        </w:rPr>
        <w:t>主要原因是：缴费基数调整。</w:t>
      </w:r>
    </w:p>
    <w:p w:rsidR="00976A7D" w:rsidRDefault="00CC0705" w:rsidP="00C74366">
      <w:pPr>
        <w:ind w:firstLineChars="200" w:firstLine="640"/>
        <w:jc w:val="left"/>
        <w:rPr>
          <w:rFonts w:ascii="黑体" w:eastAsia="黑体" w:hAnsi="黑体"/>
          <w:sz w:val="32"/>
          <w:szCs w:val="32"/>
        </w:rPr>
      </w:pPr>
      <w:r>
        <w:rPr>
          <w:rFonts w:ascii="黑体" w:eastAsia="黑体" w:hAnsi="黑体" w:hint="eastAsia"/>
          <w:sz w:val="32"/>
          <w:szCs w:val="32"/>
        </w:rPr>
        <w:t>四、一般公共预算财政拨款基本支出决算情况说明</w:t>
      </w:r>
    </w:p>
    <w:p w:rsidR="00976A7D" w:rsidRDefault="00CC0705">
      <w:pPr>
        <w:ind w:firstLine="585"/>
        <w:jc w:val="left"/>
        <w:rPr>
          <w:rFonts w:ascii="仿宋_GB2312" w:eastAsia="仿宋_GB2312" w:hAnsi="仿宋"/>
          <w:sz w:val="32"/>
          <w:szCs w:val="32"/>
        </w:rPr>
      </w:pPr>
      <w:r>
        <w:rPr>
          <w:rFonts w:ascii="仿宋_GB2312" w:eastAsia="仿宋_GB2312" w:hAnsi="仿宋" w:hint="eastAsia"/>
          <w:sz w:val="32"/>
          <w:szCs w:val="32"/>
        </w:rPr>
        <w:t>本部门2020年度一般公共预算财政拨款基本支出4249.99万元，其中：</w:t>
      </w:r>
    </w:p>
    <w:p w:rsidR="00976A7D" w:rsidRDefault="00CC0705">
      <w:pPr>
        <w:ind w:firstLine="585"/>
        <w:jc w:val="left"/>
        <w:rPr>
          <w:rFonts w:ascii="仿宋_GB2312" w:eastAsia="仿宋_GB2312" w:hAnsi="仿宋"/>
          <w:sz w:val="32"/>
          <w:szCs w:val="32"/>
        </w:rPr>
      </w:pPr>
      <w:r>
        <w:rPr>
          <w:rFonts w:ascii="仿宋_GB2312" w:eastAsia="仿宋_GB2312" w:hAnsi="仿宋" w:hint="eastAsia"/>
          <w:sz w:val="32"/>
          <w:szCs w:val="32"/>
        </w:rPr>
        <w:t>（一）工资福利支出2498.96万元，较2019年减少477.82万元，下降16.05%，主要原因是：其他工资福利支出减少。</w:t>
      </w:r>
    </w:p>
    <w:p w:rsidR="00976A7D" w:rsidRDefault="00CC0705">
      <w:pPr>
        <w:ind w:firstLine="585"/>
        <w:jc w:val="left"/>
        <w:rPr>
          <w:rFonts w:ascii="仿宋_GB2312" w:eastAsia="仿宋_GB2312" w:hAnsi="仿宋"/>
          <w:sz w:val="32"/>
          <w:szCs w:val="32"/>
        </w:rPr>
      </w:pPr>
      <w:r>
        <w:rPr>
          <w:rFonts w:ascii="仿宋_GB2312" w:eastAsia="仿宋_GB2312" w:hAnsi="仿宋" w:hint="eastAsia"/>
          <w:sz w:val="32"/>
          <w:szCs w:val="32"/>
        </w:rPr>
        <w:t>（二）商品和服务支出615.47万元，较2019年增加182.84万元，增长42.26%，主要原因是：委托业务费及专用材料费较上年增加。</w:t>
      </w:r>
    </w:p>
    <w:p w:rsidR="00976A7D" w:rsidRDefault="00CC0705">
      <w:pPr>
        <w:ind w:firstLine="585"/>
        <w:jc w:val="left"/>
        <w:rPr>
          <w:rFonts w:ascii="仿宋_GB2312" w:eastAsia="仿宋_GB2312" w:hAnsi="仿宋"/>
          <w:sz w:val="32"/>
          <w:szCs w:val="32"/>
        </w:rPr>
      </w:pPr>
      <w:r>
        <w:rPr>
          <w:rFonts w:ascii="仿宋_GB2312" w:eastAsia="仿宋_GB2312" w:hAnsi="仿宋" w:hint="eastAsia"/>
          <w:sz w:val="32"/>
          <w:szCs w:val="32"/>
        </w:rPr>
        <w:t>（三）对个人和家庭补助支出1102.39万元，较2019年增加396.19万元，增长56.10%，主要原因是：生活补贴有所增加。</w:t>
      </w:r>
    </w:p>
    <w:p w:rsidR="00976A7D" w:rsidRPr="00C74366" w:rsidRDefault="00CC0705" w:rsidP="00C74366">
      <w:pPr>
        <w:ind w:leftChars="100" w:left="210" w:firstLine="585"/>
        <w:jc w:val="left"/>
        <w:rPr>
          <w:rFonts w:ascii="仿宋_GB2312" w:eastAsia="仿宋_GB2312" w:hAnsi="仿宋"/>
          <w:sz w:val="32"/>
          <w:szCs w:val="32"/>
        </w:rPr>
      </w:pPr>
      <w:r w:rsidRPr="00C74366">
        <w:rPr>
          <w:rFonts w:ascii="仿宋_GB2312" w:eastAsia="仿宋_GB2312" w:hAnsi="仿宋" w:hint="eastAsia"/>
          <w:sz w:val="32"/>
          <w:szCs w:val="32"/>
        </w:rPr>
        <w:t>（四）资本性支出33.17万元，较2019年减少0.41万元，下降1.22%，主要原因是：办公设备购置减少。</w:t>
      </w:r>
    </w:p>
    <w:p w:rsidR="00976A7D" w:rsidRDefault="00CC0705" w:rsidP="00C74366">
      <w:pPr>
        <w:ind w:firstLineChars="200" w:firstLine="640"/>
        <w:jc w:val="left"/>
        <w:rPr>
          <w:rFonts w:ascii="黑体" w:eastAsia="黑体" w:hAnsi="黑体"/>
          <w:sz w:val="32"/>
          <w:szCs w:val="32"/>
        </w:rPr>
      </w:pPr>
      <w:r>
        <w:rPr>
          <w:rFonts w:ascii="黑体" w:eastAsia="黑体" w:hAnsi="黑体" w:hint="eastAsia"/>
          <w:sz w:val="32"/>
          <w:szCs w:val="32"/>
        </w:rPr>
        <w:t>五、一般公共预算财政拨款“三公”经费支出决算情况说明</w:t>
      </w:r>
    </w:p>
    <w:p w:rsidR="00976A7D" w:rsidRDefault="00CC0705">
      <w:pPr>
        <w:ind w:firstLine="630"/>
        <w:jc w:val="left"/>
        <w:rPr>
          <w:rFonts w:ascii="仿宋_GB2312" w:eastAsia="仿宋_GB2312" w:hAnsi="仿宋"/>
          <w:sz w:val="32"/>
          <w:szCs w:val="32"/>
        </w:rPr>
      </w:pPr>
      <w:r>
        <w:rPr>
          <w:rFonts w:ascii="仿宋_GB2312" w:eastAsia="仿宋_GB2312" w:hAnsi="仿宋" w:hint="eastAsia"/>
          <w:sz w:val="32"/>
          <w:szCs w:val="32"/>
        </w:rPr>
        <w:t>本部门2020年度一般公共预算财政拨款“三公”经费支出年初预算数为 136.59万元，决算数为29.60万元，完成预算的 21.67%，决算数较2019年增加0.31万元，增长1.04%，其中：</w:t>
      </w:r>
    </w:p>
    <w:p w:rsidR="00976A7D" w:rsidRDefault="00CC0705">
      <w:pPr>
        <w:ind w:firstLine="630"/>
        <w:jc w:val="left"/>
        <w:rPr>
          <w:rFonts w:ascii="仿宋_GB2312" w:eastAsia="仿宋_GB2312" w:hAnsi="仿宋"/>
          <w:sz w:val="32"/>
          <w:szCs w:val="32"/>
        </w:rPr>
      </w:pPr>
      <w:r>
        <w:rPr>
          <w:rFonts w:ascii="仿宋_GB2312" w:eastAsia="仿宋_GB2312" w:hAnsi="仿宋" w:hint="eastAsia"/>
          <w:sz w:val="32"/>
          <w:szCs w:val="32"/>
        </w:rPr>
        <w:lastRenderedPageBreak/>
        <w:t>（一）因公出国（境）支出年初预算数为0万元，决算数为  0万元，完成预算的 0%，决算数较2019年增加（减少） 0 万元，增长（下降） 0 %。</w:t>
      </w:r>
      <w:r w:rsidRPr="00C74366">
        <w:rPr>
          <w:rFonts w:ascii="仿宋_GB2312" w:eastAsia="仿宋_GB2312" w:hAnsi="仿宋" w:hint="eastAsia"/>
          <w:sz w:val="32"/>
          <w:szCs w:val="32"/>
        </w:rPr>
        <w:t>主要原因是没有发生</w:t>
      </w:r>
      <w:r>
        <w:rPr>
          <w:rFonts w:ascii="仿宋_GB2312" w:eastAsia="仿宋_GB2312" w:hAnsi="仿宋" w:hint="eastAsia"/>
          <w:sz w:val="32"/>
          <w:szCs w:val="32"/>
        </w:rPr>
        <w:t>因公出国（境）支出</w:t>
      </w:r>
      <w:r w:rsidRPr="00C74366">
        <w:rPr>
          <w:rFonts w:ascii="仿宋_GB2312" w:eastAsia="仿宋_GB2312" w:hAnsi="仿宋" w:hint="eastAsia"/>
          <w:sz w:val="32"/>
          <w:szCs w:val="32"/>
        </w:rPr>
        <w:t xml:space="preserve">。                          </w:t>
      </w:r>
      <w:r>
        <w:rPr>
          <w:rFonts w:ascii="仿宋" w:eastAsia="仿宋" w:hAnsi="仿宋" w:hint="eastAsia"/>
          <w:sz w:val="30"/>
          <w:szCs w:val="30"/>
        </w:rPr>
        <w:t xml:space="preserve">                                 </w:t>
      </w:r>
    </w:p>
    <w:p w:rsidR="00976A7D" w:rsidRDefault="00CC0705">
      <w:pPr>
        <w:ind w:firstLine="630"/>
        <w:jc w:val="left"/>
        <w:rPr>
          <w:rFonts w:ascii="仿宋_GB2312" w:eastAsia="仿宋_GB2312" w:hAnsi="仿宋"/>
          <w:sz w:val="32"/>
          <w:szCs w:val="32"/>
        </w:rPr>
      </w:pPr>
      <w:r>
        <w:rPr>
          <w:rFonts w:ascii="仿宋_GB2312" w:eastAsia="仿宋_GB2312" w:hAnsi="仿宋" w:hint="eastAsia"/>
          <w:sz w:val="32"/>
          <w:szCs w:val="32"/>
        </w:rPr>
        <w:t>（二）公务接待费支出年初预算数为2.30万元，决算数为  0万元，完成预算的0%，决算数较2019年减少0万元，下降0%。</w:t>
      </w:r>
      <w:r w:rsidRPr="00C74366">
        <w:rPr>
          <w:rFonts w:ascii="仿宋_GB2312" w:eastAsia="仿宋_GB2312" w:hAnsi="仿宋" w:hint="eastAsia"/>
          <w:sz w:val="32"/>
          <w:szCs w:val="32"/>
        </w:rPr>
        <w:t>主要原因是</w:t>
      </w:r>
      <w:r w:rsidRPr="00C74366">
        <w:rPr>
          <w:rFonts w:ascii="仿宋_GB2312" w:eastAsia="仿宋_GB2312" w:hAnsi="仿宋"/>
          <w:sz w:val="32"/>
          <w:szCs w:val="32"/>
        </w:rPr>
        <w:t>认真贯彻落实八项规定，严格遵守有关公务接待规定</w:t>
      </w:r>
      <w:r w:rsidRPr="00C74366">
        <w:rPr>
          <w:rFonts w:ascii="仿宋_GB2312" w:eastAsia="仿宋_GB2312" w:hAnsi="仿宋" w:hint="eastAsia"/>
          <w:sz w:val="32"/>
          <w:szCs w:val="32"/>
        </w:rPr>
        <w:t>。</w:t>
      </w:r>
    </w:p>
    <w:p w:rsidR="00976A7D" w:rsidRPr="00C74366" w:rsidRDefault="00CC0705">
      <w:pPr>
        <w:ind w:firstLine="630"/>
        <w:jc w:val="left"/>
        <w:rPr>
          <w:rFonts w:ascii="仿宋_GB2312" w:eastAsia="仿宋_GB2312" w:hAnsi="仿宋"/>
          <w:sz w:val="32"/>
          <w:szCs w:val="32"/>
        </w:rPr>
      </w:pPr>
      <w:r>
        <w:rPr>
          <w:rFonts w:ascii="仿宋_GB2312" w:eastAsia="仿宋_GB2312" w:hAnsi="仿宋" w:hint="eastAsia"/>
          <w:sz w:val="32"/>
          <w:szCs w:val="32"/>
        </w:rPr>
        <w:t>（三）公务用车购置及运行维护费支出29.60万元，其中公务用车购置年初预算数为0 万元，决算数为0万元，完成预算的0 %。</w:t>
      </w:r>
      <w:r w:rsidRPr="00C74366">
        <w:rPr>
          <w:rFonts w:ascii="仿宋_GB2312" w:eastAsia="仿宋_GB2312" w:hAnsi="仿宋" w:hint="eastAsia"/>
          <w:sz w:val="32"/>
          <w:szCs w:val="32"/>
        </w:rPr>
        <w:t>决算数较2019年增加（减少）0万元，增长（下降）0%，主要原因是没有发生这项支出，全年购置公务用车 0辆。决算数较年初预算数减少的主要原因是：贯彻落实过紧日子要求，压减相关支出；公务用车运行维护费支出年初预算数为134.29万元，决算数为29.60万元，完成预算的22.04%，决算数较2019年增加0.31万元，增长1.04%，年末公务用车保有31辆。</w:t>
      </w:r>
    </w:p>
    <w:p w:rsidR="00976A7D" w:rsidRDefault="00CC0705">
      <w:pPr>
        <w:ind w:firstLineChars="200" w:firstLine="640"/>
        <w:jc w:val="left"/>
        <w:rPr>
          <w:rFonts w:ascii="黑体" w:eastAsia="黑体" w:hAnsi="黑体"/>
          <w:sz w:val="32"/>
          <w:szCs w:val="32"/>
        </w:rPr>
      </w:pPr>
      <w:r>
        <w:rPr>
          <w:rFonts w:ascii="黑体" w:eastAsia="黑体" w:hAnsi="黑体" w:hint="eastAsia"/>
          <w:sz w:val="32"/>
          <w:szCs w:val="32"/>
        </w:rPr>
        <w:t>六、机关运行经费支出情况说明</w:t>
      </w:r>
    </w:p>
    <w:p w:rsidR="00976A7D" w:rsidRPr="00C74366" w:rsidRDefault="00CC0705">
      <w:pPr>
        <w:ind w:firstLine="630"/>
        <w:jc w:val="left"/>
        <w:rPr>
          <w:rFonts w:ascii="仿宋_GB2312" w:eastAsia="仿宋_GB2312" w:hAnsi="仿宋"/>
          <w:sz w:val="32"/>
          <w:szCs w:val="32"/>
        </w:rPr>
      </w:pPr>
      <w:r w:rsidRPr="00C74366">
        <w:rPr>
          <w:rFonts w:ascii="仿宋_GB2312" w:eastAsia="仿宋_GB2312" w:hAnsi="仿宋" w:hint="eastAsia"/>
          <w:sz w:val="32"/>
          <w:szCs w:val="32"/>
        </w:rPr>
        <w:t>本部门2020年度机关运行经费支出489.46万元（与部门决算中行政单位和参照公务员法管理事业单位一般公共预算财政拨款基本支出中公用经费之和一致），较上年决算数增加182.43万元，增长59.42%，主要原因是：“双创”工作开展。</w:t>
      </w:r>
    </w:p>
    <w:p w:rsidR="00976A7D" w:rsidRDefault="00CC0705">
      <w:pPr>
        <w:ind w:firstLine="630"/>
        <w:jc w:val="left"/>
        <w:rPr>
          <w:rFonts w:ascii="黑体" w:eastAsia="黑体" w:hAnsi="黑体"/>
          <w:sz w:val="32"/>
          <w:szCs w:val="32"/>
        </w:rPr>
      </w:pPr>
      <w:r>
        <w:rPr>
          <w:rFonts w:ascii="黑体" w:eastAsia="黑体" w:hAnsi="黑体" w:hint="eastAsia"/>
          <w:sz w:val="32"/>
          <w:szCs w:val="32"/>
        </w:rPr>
        <w:t>七、政府采购支出情况说明</w:t>
      </w:r>
    </w:p>
    <w:p w:rsidR="00976A7D" w:rsidRPr="00C74366" w:rsidRDefault="00CC0705">
      <w:pPr>
        <w:pStyle w:val="p0"/>
        <w:spacing w:line="600" w:lineRule="atLeast"/>
        <w:ind w:firstLine="600"/>
        <w:rPr>
          <w:rFonts w:ascii="仿宋_GB2312" w:eastAsia="仿宋_GB2312" w:hAnsi="仿宋"/>
          <w:kern w:val="2"/>
          <w:sz w:val="32"/>
          <w:szCs w:val="32"/>
        </w:rPr>
      </w:pPr>
      <w:r w:rsidRPr="00C74366">
        <w:rPr>
          <w:rFonts w:ascii="仿宋_GB2312" w:eastAsia="仿宋_GB2312" w:hAnsi="仿宋" w:hint="eastAsia"/>
          <w:kern w:val="2"/>
          <w:sz w:val="32"/>
          <w:szCs w:val="32"/>
        </w:rPr>
        <w:lastRenderedPageBreak/>
        <w:t>本部门2020年度政府采购支出总额723.18万元，其中：政府采购货物支出 95.77万元、政府采购工程支出 0万元、政府采购服务支出627.41万元。授予中小企业合同金额723.18万元，占政府采购支出总额的 100%，其中：授予小微企业合同金额723.18万元，占政府采购支出总额的 100 %。（省级部门公开的政府采购金额的计算口径为：本部门纳入2020年部门预算范围的各项政府采购支出金额之和，不包括涉密采购项目的支出金额。）</w:t>
      </w:r>
    </w:p>
    <w:p w:rsidR="00976A7D" w:rsidRDefault="00CC0705">
      <w:pPr>
        <w:ind w:firstLine="630"/>
        <w:jc w:val="left"/>
        <w:rPr>
          <w:rFonts w:ascii="黑体" w:eastAsia="黑体" w:hAnsi="黑体"/>
          <w:sz w:val="32"/>
          <w:szCs w:val="32"/>
        </w:rPr>
      </w:pPr>
      <w:r>
        <w:rPr>
          <w:rFonts w:ascii="黑体" w:eastAsia="黑体" w:hAnsi="黑体" w:hint="eastAsia"/>
          <w:sz w:val="32"/>
          <w:szCs w:val="32"/>
        </w:rPr>
        <w:t>八、国有资产占用情况说明</w:t>
      </w:r>
    </w:p>
    <w:p w:rsidR="00976A7D" w:rsidRPr="00C74366" w:rsidRDefault="00CC0705">
      <w:pPr>
        <w:ind w:firstLine="630"/>
        <w:jc w:val="left"/>
        <w:rPr>
          <w:rFonts w:ascii="仿宋_GB2312" w:eastAsia="仿宋_GB2312" w:hAnsi="仿宋"/>
          <w:sz w:val="32"/>
          <w:szCs w:val="32"/>
        </w:rPr>
      </w:pPr>
      <w:r w:rsidRPr="00C74366">
        <w:rPr>
          <w:rFonts w:ascii="仿宋_GB2312" w:eastAsia="仿宋_GB2312" w:hAnsi="仿宋" w:hint="eastAsia"/>
          <w:sz w:val="32"/>
          <w:szCs w:val="32"/>
        </w:rPr>
        <w:t>截止2020年12月31日，本部门（单位）国有资产占用情况见公开10表《国有资产占用情况表》。其中车辆中的其他用车主要是业务用车。</w:t>
      </w:r>
    </w:p>
    <w:p w:rsidR="00976A7D" w:rsidRDefault="00CC0705">
      <w:pPr>
        <w:ind w:firstLine="630"/>
        <w:jc w:val="left"/>
        <w:rPr>
          <w:rFonts w:ascii="黑体" w:eastAsia="黑体" w:hAnsi="黑体"/>
          <w:sz w:val="32"/>
          <w:szCs w:val="32"/>
        </w:rPr>
      </w:pPr>
      <w:r>
        <w:rPr>
          <w:rFonts w:ascii="黑体" w:eastAsia="黑体" w:hAnsi="黑体" w:hint="eastAsia"/>
          <w:sz w:val="32"/>
          <w:szCs w:val="32"/>
        </w:rPr>
        <w:t>九、预算绩效情况说明</w:t>
      </w:r>
    </w:p>
    <w:p w:rsidR="00976A7D" w:rsidRPr="00C74366" w:rsidRDefault="00CC0705">
      <w:pPr>
        <w:autoSpaceDE w:val="0"/>
        <w:autoSpaceDN w:val="0"/>
        <w:adjustRightInd w:val="0"/>
        <w:spacing w:line="360" w:lineRule="auto"/>
        <w:jc w:val="left"/>
        <w:rPr>
          <w:rFonts w:ascii="仿宋_GB2312" w:eastAsia="仿宋_GB2312" w:hAnsi="仿宋"/>
          <w:sz w:val="32"/>
          <w:szCs w:val="32"/>
        </w:rPr>
      </w:pPr>
      <w:r>
        <w:rPr>
          <w:rFonts w:ascii="仿宋_GB2312" w:eastAsia="仿宋_GB2312" w:hAnsi="仿宋" w:cs="仿宋_GB2312" w:hint="eastAsia"/>
          <w:kern w:val="0"/>
          <w:sz w:val="32"/>
          <w:szCs w:val="32"/>
        </w:rPr>
        <w:t xml:space="preserve">   </w:t>
      </w:r>
      <w:r>
        <w:rPr>
          <w:rFonts w:ascii="楷体_GB2312" w:eastAsia="楷体_GB2312" w:hAnsi="仿宋" w:cs="仿宋_GB2312" w:hint="eastAsia"/>
          <w:b/>
          <w:kern w:val="0"/>
          <w:sz w:val="32"/>
          <w:szCs w:val="32"/>
        </w:rPr>
        <w:t xml:space="preserve"> </w:t>
      </w:r>
      <w:r w:rsidRPr="00C74366">
        <w:rPr>
          <w:rFonts w:ascii="仿宋_GB2312" w:eastAsia="仿宋_GB2312" w:hAnsi="仿宋" w:hint="eastAsia"/>
          <w:sz w:val="32"/>
          <w:szCs w:val="32"/>
        </w:rPr>
        <w:t>（一）绩效管理工作开展情况。</w:t>
      </w:r>
    </w:p>
    <w:p w:rsidR="00976A7D" w:rsidRPr="00C74366" w:rsidRDefault="00CC0705">
      <w:pPr>
        <w:autoSpaceDE w:val="0"/>
        <w:autoSpaceDN w:val="0"/>
        <w:adjustRightInd w:val="0"/>
        <w:spacing w:line="360" w:lineRule="auto"/>
        <w:ind w:firstLine="600"/>
        <w:jc w:val="left"/>
        <w:rPr>
          <w:rFonts w:ascii="仿宋_GB2312" w:eastAsia="仿宋_GB2312" w:hAnsi="仿宋"/>
          <w:sz w:val="32"/>
          <w:szCs w:val="32"/>
        </w:rPr>
      </w:pPr>
      <w:r w:rsidRPr="00C74366">
        <w:rPr>
          <w:rFonts w:ascii="仿宋_GB2312" w:eastAsia="仿宋_GB2312" w:hAnsi="仿宋" w:hint="eastAsia"/>
          <w:sz w:val="32"/>
          <w:szCs w:val="32"/>
        </w:rPr>
        <w:t>根据预算绩效管理要求，我部门组织对</w:t>
      </w:r>
      <w:r w:rsidRPr="00C74366">
        <w:rPr>
          <w:rFonts w:ascii="仿宋_GB2312" w:eastAsia="仿宋_GB2312" w:hAnsi="仿宋"/>
          <w:sz w:val="32"/>
          <w:szCs w:val="32"/>
        </w:rPr>
        <w:t>20</w:t>
      </w:r>
      <w:r w:rsidRPr="00C74366">
        <w:rPr>
          <w:rFonts w:ascii="仿宋_GB2312" w:eastAsia="仿宋_GB2312" w:hAnsi="仿宋" w:hint="eastAsia"/>
          <w:sz w:val="32"/>
          <w:szCs w:val="32"/>
        </w:rPr>
        <w:t>20年度一般公共预算项目支出全面开展绩效自评，其中，一级项目0个，二级项目12个，共涉及资金1402.77万元，占一般公共预算项目支出总额的 100%。</w:t>
      </w:r>
    </w:p>
    <w:p w:rsidR="00976A7D" w:rsidRPr="00C74366" w:rsidRDefault="00CC0705">
      <w:pPr>
        <w:autoSpaceDE w:val="0"/>
        <w:autoSpaceDN w:val="0"/>
        <w:adjustRightInd w:val="0"/>
        <w:spacing w:line="360" w:lineRule="auto"/>
        <w:jc w:val="left"/>
        <w:rPr>
          <w:rFonts w:ascii="仿宋_GB2312" w:eastAsia="仿宋_GB2312" w:hAnsi="仿宋"/>
          <w:sz w:val="32"/>
          <w:szCs w:val="32"/>
        </w:rPr>
      </w:pPr>
      <w:r w:rsidRPr="00C74366">
        <w:rPr>
          <w:rFonts w:ascii="仿宋_GB2312" w:eastAsia="仿宋_GB2312" w:hAnsi="仿宋" w:hint="eastAsia"/>
          <w:sz w:val="32"/>
          <w:szCs w:val="32"/>
        </w:rPr>
        <w:t xml:space="preserve">    组织对“打击两违专项经费”1个项目开展了部门评价，涉及一般公共预算支出50万元。</w:t>
      </w:r>
      <w:r w:rsidRPr="00C74366">
        <w:rPr>
          <w:rFonts w:ascii="仿宋_GB2312" w:eastAsia="仿宋_GB2312" w:hAnsi="仿宋"/>
          <w:sz w:val="32"/>
          <w:szCs w:val="32"/>
        </w:rPr>
        <w:t>从评价情况来看，项目立项依据充分，立项程序规范，绩效目标设置合理，财务管理和业务管理制度较健全，任务完成良好，基本达到预期效果。</w:t>
      </w:r>
    </w:p>
    <w:p w:rsidR="00976A7D" w:rsidRPr="00C74366" w:rsidRDefault="00CC0705">
      <w:pPr>
        <w:autoSpaceDE w:val="0"/>
        <w:autoSpaceDN w:val="0"/>
        <w:adjustRightInd w:val="0"/>
        <w:spacing w:line="360" w:lineRule="auto"/>
        <w:ind w:firstLine="585"/>
        <w:jc w:val="left"/>
        <w:rPr>
          <w:rFonts w:ascii="仿宋_GB2312" w:eastAsia="仿宋_GB2312" w:hAnsi="仿宋"/>
          <w:sz w:val="32"/>
          <w:szCs w:val="32"/>
        </w:rPr>
      </w:pPr>
      <w:r w:rsidRPr="00C74366">
        <w:rPr>
          <w:rFonts w:ascii="仿宋_GB2312" w:eastAsia="仿宋_GB2312" w:hAnsi="仿宋" w:hint="eastAsia"/>
          <w:sz w:val="32"/>
          <w:szCs w:val="32"/>
        </w:rPr>
        <w:lastRenderedPageBreak/>
        <w:t>（二）部门决算中项目绩效自评结果。（应当将2020年度省级部门决算项目绩效自评综述和《项目支出绩效自评表》进行公开。）</w:t>
      </w:r>
    </w:p>
    <w:p w:rsidR="00976A7D" w:rsidRPr="00C74366" w:rsidRDefault="00CC0705">
      <w:pPr>
        <w:autoSpaceDE w:val="0"/>
        <w:autoSpaceDN w:val="0"/>
        <w:adjustRightInd w:val="0"/>
        <w:spacing w:line="360" w:lineRule="auto"/>
        <w:ind w:firstLine="585"/>
        <w:jc w:val="left"/>
        <w:rPr>
          <w:rFonts w:ascii="仿宋_GB2312" w:eastAsia="仿宋_GB2312" w:hAnsi="仿宋"/>
          <w:sz w:val="32"/>
          <w:szCs w:val="32"/>
        </w:rPr>
      </w:pPr>
      <w:r w:rsidRPr="00C74366">
        <w:rPr>
          <w:rFonts w:ascii="仿宋_GB2312" w:eastAsia="仿宋_GB2312" w:hAnsi="仿宋" w:hint="eastAsia"/>
          <w:sz w:val="32"/>
          <w:szCs w:val="32"/>
        </w:rPr>
        <w:t>我部门今年在省级部门决算中反映“打击两违专项经费”项目绩效自评结果。</w:t>
      </w:r>
    </w:p>
    <w:p w:rsidR="00976A7D" w:rsidRPr="00C74366" w:rsidRDefault="00CC0705" w:rsidP="00C74366">
      <w:pPr>
        <w:autoSpaceDE w:val="0"/>
        <w:autoSpaceDN w:val="0"/>
        <w:adjustRightInd w:val="0"/>
        <w:spacing w:line="360" w:lineRule="auto"/>
        <w:ind w:firstLineChars="200" w:firstLine="640"/>
        <w:jc w:val="left"/>
        <w:rPr>
          <w:rFonts w:ascii="仿宋_GB2312" w:eastAsia="仿宋_GB2312" w:hAnsi="仿宋"/>
          <w:sz w:val="32"/>
          <w:szCs w:val="32"/>
        </w:rPr>
      </w:pPr>
      <w:r w:rsidRPr="00C74366">
        <w:rPr>
          <w:rFonts w:ascii="仿宋_GB2312" w:eastAsia="仿宋_GB2312" w:hAnsi="仿宋" w:hint="eastAsia"/>
          <w:sz w:val="32"/>
          <w:szCs w:val="32"/>
        </w:rPr>
        <w:t>项目绩效自评综述：</w:t>
      </w:r>
      <w:r w:rsidRPr="00C74366">
        <w:rPr>
          <w:rFonts w:ascii="仿宋_GB2312" w:eastAsia="仿宋_GB2312" w:hAnsi="仿宋"/>
          <w:sz w:val="32"/>
          <w:szCs w:val="32"/>
        </w:rPr>
        <w:t xml:space="preserve">根据年初设定的绩效目标， </w:t>
      </w:r>
      <w:r w:rsidRPr="00C74366">
        <w:rPr>
          <w:rFonts w:ascii="仿宋_GB2312" w:eastAsia="仿宋_GB2312" w:hAnsi="仿宋"/>
          <w:sz w:val="32"/>
          <w:szCs w:val="32"/>
        </w:rPr>
        <w:t>“</w:t>
      </w:r>
      <w:r w:rsidRPr="00C74366">
        <w:rPr>
          <w:rFonts w:ascii="仿宋_GB2312" w:eastAsia="仿宋_GB2312" w:hAnsi="仿宋" w:hint="eastAsia"/>
          <w:sz w:val="32"/>
          <w:szCs w:val="32"/>
        </w:rPr>
        <w:t>打击两违专项经费</w:t>
      </w:r>
      <w:r w:rsidRPr="00C74366">
        <w:rPr>
          <w:rFonts w:ascii="仿宋_GB2312" w:eastAsia="仿宋_GB2312" w:hAnsi="仿宋"/>
          <w:sz w:val="32"/>
          <w:szCs w:val="32"/>
        </w:rPr>
        <w:t>”</w:t>
      </w:r>
      <w:r w:rsidRPr="00C74366">
        <w:rPr>
          <w:rFonts w:ascii="仿宋_GB2312" w:eastAsia="仿宋_GB2312" w:hAnsi="仿宋"/>
          <w:sz w:val="32"/>
          <w:szCs w:val="32"/>
        </w:rPr>
        <w:t>项目自评</w:t>
      </w:r>
      <w:r w:rsidRPr="00C74366">
        <w:rPr>
          <w:rFonts w:ascii="仿宋_GB2312" w:eastAsia="仿宋_GB2312" w:hAnsi="仿宋" w:hint="eastAsia"/>
          <w:sz w:val="32"/>
          <w:szCs w:val="32"/>
        </w:rPr>
        <w:t>100</w:t>
      </w:r>
      <w:r w:rsidRPr="00C74366">
        <w:rPr>
          <w:rFonts w:ascii="仿宋_GB2312" w:eastAsia="仿宋_GB2312" w:hAnsi="仿宋"/>
          <w:sz w:val="32"/>
          <w:szCs w:val="32"/>
        </w:rPr>
        <w:t>分。项目全年预算数为</w:t>
      </w:r>
      <w:r w:rsidRPr="00C74366">
        <w:rPr>
          <w:rFonts w:ascii="仿宋_GB2312" w:eastAsia="仿宋_GB2312" w:hAnsi="仿宋" w:hint="eastAsia"/>
          <w:sz w:val="32"/>
          <w:szCs w:val="32"/>
        </w:rPr>
        <w:t>50</w:t>
      </w:r>
      <w:r w:rsidRPr="00C74366">
        <w:rPr>
          <w:rFonts w:ascii="仿宋_GB2312" w:eastAsia="仿宋_GB2312" w:hAnsi="仿宋"/>
          <w:sz w:val="32"/>
          <w:szCs w:val="32"/>
        </w:rPr>
        <w:t>万元，执行数为</w:t>
      </w:r>
      <w:r w:rsidRPr="00C74366">
        <w:rPr>
          <w:rFonts w:ascii="仿宋_GB2312" w:eastAsia="仿宋_GB2312" w:hAnsi="仿宋" w:hint="eastAsia"/>
          <w:sz w:val="32"/>
          <w:szCs w:val="32"/>
        </w:rPr>
        <w:t>50</w:t>
      </w:r>
      <w:r w:rsidRPr="00C74366">
        <w:rPr>
          <w:rFonts w:ascii="仿宋_GB2312" w:eastAsia="仿宋_GB2312" w:hAnsi="仿宋"/>
          <w:sz w:val="32"/>
          <w:szCs w:val="32"/>
        </w:rPr>
        <w:t>万元，完成预算的100%。</w:t>
      </w:r>
    </w:p>
    <w:p w:rsidR="00976A7D" w:rsidRPr="00C74366" w:rsidRDefault="00CC0705" w:rsidP="00C74366">
      <w:pPr>
        <w:spacing w:line="600" w:lineRule="exact"/>
        <w:ind w:firstLineChars="200" w:firstLine="640"/>
        <w:outlineLvl w:val="0"/>
        <w:rPr>
          <w:rFonts w:ascii="仿宋_GB2312" w:eastAsia="仿宋_GB2312" w:hAnsi="仿宋"/>
          <w:sz w:val="32"/>
          <w:szCs w:val="32"/>
        </w:rPr>
      </w:pPr>
      <w:r w:rsidRPr="00C74366">
        <w:rPr>
          <w:rFonts w:ascii="仿宋_GB2312" w:eastAsia="仿宋_GB2312" w:hAnsi="仿宋" w:hint="eastAsia"/>
          <w:sz w:val="32"/>
          <w:szCs w:val="32"/>
        </w:rPr>
        <w:t>项目绩效目标完成情况：我局依据市、区打击“两违”工作相关要求，大力打击区域“两违”行为，今年以来共下发违法用地和违章建筑告知单233份；下发各乡镇（街道）催办单39份，其中转督办单33份；建立拆违台账538份；接收审查“两违”行为个案调查表82处；我局开展打击“两违”工作共出动执法人员5000余人次，大小机械18余台，拆除违章建筑658处，拆除面积约为45179平方米。</w:t>
      </w:r>
    </w:p>
    <w:p w:rsidR="00976A7D" w:rsidRPr="00C74366" w:rsidRDefault="00CC0705" w:rsidP="00C74366">
      <w:pPr>
        <w:spacing w:line="600" w:lineRule="exact"/>
        <w:ind w:firstLineChars="200" w:firstLine="640"/>
        <w:outlineLvl w:val="0"/>
        <w:rPr>
          <w:rFonts w:ascii="仿宋_GB2312" w:eastAsia="仿宋_GB2312" w:hAnsi="仿宋"/>
          <w:sz w:val="32"/>
          <w:szCs w:val="32"/>
        </w:rPr>
      </w:pPr>
      <w:r w:rsidRPr="00C74366">
        <w:rPr>
          <w:rFonts w:ascii="仿宋_GB2312" w:eastAsia="仿宋_GB2312" w:hAnsi="仿宋" w:hint="eastAsia"/>
          <w:sz w:val="32"/>
          <w:szCs w:val="32"/>
        </w:rPr>
        <w:t>发现的问题及原因：受条件制约，存在反复修补、整治的情况。城管执法队员在对马路市场、流动摊贩等进行整治后，容易出现反弹，从而进入“整治-反弹-整治”的怪圈；停车设施不足，导致有些市民将机动车开到人行道上停放，容易使人行道受到损坏。</w:t>
      </w:r>
    </w:p>
    <w:p w:rsidR="00976A7D" w:rsidRPr="00C74366" w:rsidRDefault="00CC0705" w:rsidP="00C74366">
      <w:pPr>
        <w:spacing w:line="600" w:lineRule="exact"/>
        <w:ind w:firstLineChars="200" w:firstLine="640"/>
        <w:rPr>
          <w:rFonts w:ascii="仿宋_GB2312" w:eastAsia="仿宋_GB2312" w:hAnsi="仿宋"/>
          <w:sz w:val="32"/>
          <w:szCs w:val="32"/>
        </w:rPr>
      </w:pPr>
      <w:r w:rsidRPr="00C74366">
        <w:rPr>
          <w:rFonts w:ascii="仿宋_GB2312" w:eastAsia="仿宋_GB2312" w:hAnsi="仿宋" w:hint="eastAsia"/>
          <w:sz w:val="32"/>
          <w:szCs w:val="32"/>
        </w:rPr>
        <w:t>下一步改进措施：加强制度建设，结合我局实际，进一步完善内部财务制度、资金拨付制度、审计监督制度，以制度化规范专项资金使用。定期对专项资金使用情况进行督查监管，确保专</w:t>
      </w:r>
      <w:r w:rsidRPr="00C74366">
        <w:rPr>
          <w:rFonts w:ascii="仿宋_GB2312" w:eastAsia="仿宋_GB2312" w:hAnsi="仿宋" w:hint="eastAsia"/>
          <w:sz w:val="32"/>
          <w:szCs w:val="32"/>
        </w:rPr>
        <w:lastRenderedPageBreak/>
        <w:t>项资金安全高效使用。</w:t>
      </w:r>
    </w:p>
    <w:p w:rsidR="00976A7D" w:rsidRPr="00C74366" w:rsidRDefault="00CC0705">
      <w:pPr>
        <w:autoSpaceDE w:val="0"/>
        <w:autoSpaceDN w:val="0"/>
        <w:adjustRightInd w:val="0"/>
        <w:spacing w:line="360" w:lineRule="auto"/>
        <w:ind w:firstLine="600"/>
        <w:jc w:val="left"/>
        <w:rPr>
          <w:rFonts w:ascii="仿宋_GB2312" w:eastAsia="仿宋_GB2312" w:hAnsi="仿宋"/>
          <w:sz w:val="32"/>
          <w:szCs w:val="32"/>
        </w:rPr>
      </w:pPr>
      <w:r w:rsidRPr="00C74366">
        <w:rPr>
          <w:rFonts w:ascii="仿宋_GB2312" w:eastAsia="仿宋_GB2312" w:hAnsi="仿宋" w:hint="eastAsia"/>
          <w:sz w:val="32"/>
          <w:szCs w:val="32"/>
        </w:rPr>
        <w:t>（三）部门评价项目绩效评价结果。</w:t>
      </w:r>
    </w:p>
    <w:p w:rsidR="00976A7D" w:rsidRDefault="00976A7D"/>
    <w:tbl>
      <w:tblPr>
        <w:tblW w:w="9060" w:type="dxa"/>
        <w:tblInd w:w="135" w:type="dxa"/>
        <w:tblLayout w:type="fixed"/>
        <w:tblLook w:val="0000"/>
      </w:tblPr>
      <w:tblGrid>
        <w:gridCol w:w="602"/>
        <w:gridCol w:w="493"/>
        <w:gridCol w:w="468"/>
        <w:gridCol w:w="1135"/>
        <w:gridCol w:w="333"/>
        <w:gridCol w:w="1142"/>
        <w:gridCol w:w="1045"/>
        <w:gridCol w:w="673"/>
        <w:gridCol w:w="754"/>
        <w:gridCol w:w="110"/>
        <w:gridCol w:w="627"/>
        <w:gridCol w:w="568"/>
        <w:gridCol w:w="355"/>
        <w:gridCol w:w="755"/>
      </w:tblGrid>
      <w:tr w:rsidR="00976A7D">
        <w:trPr>
          <w:trHeight w:val="1241"/>
        </w:trPr>
        <w:tc>
          <w:tcPr>
            <w:tcW w:w="9060" w:type="dxa"/>
            <w:gridSpan w:val="14"/>
            <w:tcBorders>
              <w:top w:val="nil"/>
              <w:left w:val="nil"/>
              <w:bottom w:val="nil"/>
              <w:right w:val="nil"/>
            </w:tcBorders>
            <w:vAlign w:val="center"/>
          </w:tcPr>
          <w:p w:rsidR="00976A7D" w:rsidRDefault="00976A7D">
            <w:pPr>
              <w:spacing w:line="640" w:lineRule="exact"/>
              <w:rPr>
                <w:rFonts w:ascii="黑体" w:eastAsia="黑体" w:hAnsi="黑体" w:cs="仿宋_GB2312"/>
                <w:sz w:val="32"/>
                <w:szCs w:val="32"/>
              </w:rPr>
            </w:pPr>
          </w:p>
          <w:p w:rsidR="00976A7D" w:rsidRDefault="00CC0705">
            <w:pPr>
              <w:spacing w:line="640" w:lineRule="exact"/>
              <w:jc w:val="center"/>
              <w:rPr>
                <w:rFonts w:ascii="仿宋" w:eastAsia="仿宋" w:hAnsi="仿宋"/>
                <w:b/>
                <w:bCs/>
              </w:rPr>
            </w:pPr>
            <w:r>
              <w:rPr>
                <w:rFonts w:ascii="方正小标宋简体" w:hAnsi="方正小标宋简体"/>
                <w:sz w:val="44"/>
                <w:szCs w:val="44"/>
              </w:rPr>
              <w:t>项目支出绩效自评表</w:t>
            </w:r>
          </w:p>
        </w:tc>
      </w:tr>
      <w:tr w:rsidR="00976A7D">
        <w:trPr>
          <w:trHeight w:val="296"/>
        </w:trPr>
        <w:tc>
          <w:tcPr>
            <w:tcW w:w="9060" w:type="dxa"/>
            <w:gridSpan w:val="14"/>
            <w:tcBorders>
              <w:top w:val="nil"/>
              <w:left w:val="nil"/>
              <w:bottom w:val="nil"/>
              <w:right w:val="nil"/>
            </w:tcBorders>
          </w:tcPr>
          <w:p w:rsidR="00976A7D" w:rsidRDefault="00CC0705">
            <w:pPr>
              <w:jc w:val="center"/>
              <w:rPr>
                <w:rFonts w:ascii="宋体" w:hAnsi="宋体"/>
              </w:rPr>
            </w:pPr>
            <w:r>
              <w:rPr>
                <w:rFonts w:ascii="楷体_GB2312" w:hAnsi="楷体_GB2312"/>
                <w:sz w:val="18"/>
                <w:szCs w:val="18"/>
              </w:rPr>
              <w:t>（</w:t>
            </w:r>
            <w:r>
              <w:rPr>
                <w:rFonts w:ascii="楷体_GB2312" w:hAnsi="楷体_GB2312"/>
                <w:sz w:val="18"/>
                <w:szCs w:val="18"/>
              </w:rPr>
              <w:t xml:space="preserve">   2020 </w:t>
            </w:r>
            <w:r>
              <w:rPr>
                <w:rFonts w:ascii="楷体_GB2312" w:hAnsi="楷体_GB2312"/>
                <w:sz w:val="18"/>
                <w:szCs w:val="18"/>
              </w:rPr>
              <w:t>年度）</w:t>
            </w:r>
          </w:p>
        </w:tc>
      </w:tr>
      <w:tr w:rsidR="00976A7D">
        <w:trPr>
          <w:trHeight w:val="300"/>
        </w:trPr>
        <w:tc>
          <w:tcPr>
            <w:tcW w:w="1095" w:type="dxa"/>
            <w:gridSpan w:val="2"/>
            <w:tcBorders>
              <w:top w:val="single" w:sz="4" w:space="0" w:color="auto"/>
              <w:left w:val="single" w:sz="4" w:space="0" w:color="auto"/>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项目名称</w:t>
            </w:r>
          </w:p>
        </w:tc>
        <w:tc>
          <w:tcPr>
            <w:tcW w:w="7965" w:type="dxa"/>
            <w:gridSpan w:val="12"/>
            <w:tcBorders>
              <w:top w:val="single" w:sz="4" w:space="0" w:color="auto"/>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打击两违专项经费</w:t>
            </w:r>
          </w:p>
        </w:tc>
      </w:tr>
      <w:tr w:rsidR="00976A7D">
        <w:trPr>
          <w:trHeight w:val="300"/>
        </w:trPr>
        <w:tc>
          <w:tcPr>
            <w:tcW w:w="1095" w:type="dxa"/>
            <w:gridSpan w:val="2"/>
            <w:tcBorders>
              <w:top w:val="single" w:sz="4" w:space="0" w:color="auto"/>
              <w:left w:val="single" w:sz="4" w:space="0" w:color="auto"/>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主管部门</w:t>
            </w:r>
          </w:p>
        </w:tc>
        <w:tc>
          <w:tcPr>
            <w:tcW w:w="4796" w:type="dxa"/>
            <w:gridSpan w:val="6"/>
            <w:tcBorders>
              <w:top w:val="single" w:sz="4" w:space="0" w:color="auto"/>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昌江区城市管理行政执法局</w:t>
            </w:r>
          </w:p>
        </w:tc>
        <w:tc>
          <w:tcPr>
            <w:tcW w:w="864"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实施单位</w:t>
            </w:r>
          </w:p>
        </w:tc>
        <w:tc>
          <w:tcPr>
            <w:tcW w:w="2305" w:type="dxa"/>
            <w:gridSpan w:val="4"/>
            <w:tcBorders>
              <w:top w:val="single" w:sz="4" w:space="0" w:color="auto"/>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昌江区城市管理行政执法局</w:t>
            </w:r>
          </w:p>
        </w:tc>
      </w:tr>
      <w:tr w:rsidR="00976A7D">
        <w:trPr>
          <w:trHeight w:val="300"/>
        </w:trPr>
        <w:tc>
          <w:tcPr>
            <w:tcW w:w="1095" w:type="dxa"/>
            <w:gridSpan w:val="2"/>
            <w:vMerge w:val="restart"/>
            <w:tcBorders>
              <w:top w:val="nil"/>
              <w:left w:val="single" w:sz="4" w:space="0" w:color="auto"/>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项目资金</w:t>
            </w:r>
            <w:r>
              <w:rPr>
                <w:rFonts w:ascii="宋体" w:hAnsi="宋体" w:hint="eastAsia"/>
                <w:sz w:val="18"/>
                <w:szCs w:val="18"/>
              </w:rPr>
              <w:br/>
              <w:t>（万元）</w:t>
            </w:r>
          </w:p>
        </w:tc>
        <w:tc>
          <w:tcPr>
            <w:tcW w:w="1936" w:type="dxa"/>
            <w:gridSpan w:val="3"/>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42"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年初预算数</w:t>
            </w:r>
          </w:p>
        </w:tc>
        <w:tc>
          <w:tcPr>
            <w:tcW w:w="1718"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全年预算数A</w:t>
            </w:r>
          </w:p>
        </w:tc>
        <w:tc>
          <w:tcPr>
            <w:tcW w:w="864"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全年执行数B</w:t>
            </w:r>
          </w:p>
        </w:tc>
        <w:tc>
          <w:tcPr>
            <w:tcW w:w="1195"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分值</w:t>
            </w:r>
          </w:p>
        </w:tc>
        <w:tc>
          <w:tcPr>
            <w:tcW w:w="355" w:type="dxa"/>
            <w:tcBorders>
              <w:top w:val="single" w:sz="4" w:space="0" w:color="auto"/>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执行率</w:t>
            </w:r>
          </w:p>
        </w:tc>
        <w:tc>
          <w:tcPr>
            <w:tcW w:w="755"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得分</w:t>
            </w:r>
          </w:p>
        </w:tc>
      </w:tr>
      <w:tr w:rsidR="00976A7D">
        <w:trPr>
          <w:trHeight w:val="300"/>
        </w:trPr>
        <w:tc>
          <w:tcPr>
            <w:tcW w:w="1095" w:type="dxa"/>
            <w:gridSpan w:val="2"/>
            <w:vMerge/>
            <w:tcBorders>
              <w:top w:val="nil"/>
              <w:left w:val="single" w:sz="4" w:space="0" w:color="auto"/>
              <w:bottom w:val="single" w:sz="4" w:space="0" w:color="auto"/>
              <w:right w:val="single" w:sz="4" w:space="0" w:color="auto"/>
            </w:tcBorders>
            <w:vAlign w:val="center"/>
          </w:tcPr>
          <w:p w:rsidR="00976A7D" w:rsidRDefault="00976A7D">
            <w:pPr>
              <w:widowControl/>
              <w:rPr>
                <w:rFonts w:ascii="宋体" w:hAnsi="宋体"/>
                <w:sz w:val="18"/>
                <w:szCs w:val="18"/>
              </w:rPr>
            </w:pPr>
          </w:p>
        </w:tc>
        <w:tc>
          <w:tcPr>
            <w:tcW w:w="1936"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sz w:val="18"/>
                <w:szCs w:val="18"/>
              </w:rPr>
            </w:pPr>
            <w:r>
              <w:rPr>
                <w:rFonts w:ascii="宋体" w:hAnsi="宋体" w:hint="eastAsia"/>
                <w:sz w:val="18"/>
                <w:szCs w:val="18"/>
              </w:rPr>
              <w:t>年度资金总额</w:t>
            </w:r>
          </w:p>
        </w:tc>
        <w:tc>
          <w:tcPr>
            <w:tcW w:w="1142"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50</w:t>
            </w:r>
          </w:p>
        </w:tc>
        <w:tc>
          <w:tcPr>
            <w:tcW w:w="1718"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50</w:t>
            </w:r>
          </w:p>
        </w:tc>
        <w:tc>
          <w:tcPr>
            <w:tcW w:w="864"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50</w:t>
            </w:r>
          </w:p>
        </w:tc>
        <w:tc>
          <w:tcPr>
            <w:tcW w:w="1195"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10</w:t>
            </w:r>
          </w:p>
        </w:tc>
        <w:tc>
          <w:tcPr>
            <w:tcW w:w="355" w:type="dxa"/>
            <w:tcBorders>
              <w:top w:val="single" w:sz="4" w:space="0" w:color="auto"/>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100%</w:t>
            </w:r>
          </w:p>
        </w:tc>
        <w:tc>
          <w:tcPr>
            <w:tcW w:w="755"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10</w:t>
            </w:r>
          </w:p>
        </w:tc>
      </w:tr>
      <w:tr w:rsidR="00976A7D">
        <w:trPr>
          <w:trHeight w:val="300"/>
        </w:trPr>
        <w:tc>
          <w:tcPr>
            <w:tcW w:w="1095" w:type="dxa"/>
            <w:gridSpan w:val="2"/>
            <w:vMerge/>
            <w:tcBorders>
              <w:top w:val="nil"/>
              <w:left w:val="single" w:sz="4" w:space="0" w:color="auto"/>
              <w:bottom w:val="single" w:sz="4" w:space="0" w:color="auto"/>
              <w:right w:val="single" w:sz="4" w:space="0" w:color="auto"/>
            </w:tcBorders>
            <w:vAlign w:val="center"/>
          </w:tcPr>
          <w:p w:rsidR="00976A7D" w:rsidRDefault="00976A7D">
            <w:pPr>
              <w:widowControl/>
              <w:rPr>
                <w:rFonts w:ascii="宋体" w:hAnsi="宋体"/>
                <w:sz w:val="18"/>
                <w:szCs w:val="18"/>
              </w:rPr>
            </w:pPr>
          </w:p>
        </w:tc>
        <w:tc>
          <w:tcPr>
            <w:tcW w:w="1936"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其中：当年财政拨款</w:t>
            </w:r>
          </w:p>
        </w:tc>
        <w:tc>
          <w:tcPr>
            <w:tcW w:w="1142"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50</w:t>
            </w:r>
          </w:p>
        </w:tc>
        <w:tc>
          <w:tcPr>
            <w:tcW w:w="1718"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50</w:t>
            </w:r>
          </w:p>
        </w:tc>
        <w:tc>
          <w:tcPr>
            <w:tcW w:w="864"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50</w:t>
            </w:r>
          </w:p>
        </w:tc>
        <w:tc>
          <w:tcPr>
            <w:tcW w:w="1195"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w:t>
            </w:r>
          </w:p>
        </w:tc>
        <w:tc>
          <w:tcPr>
            <w:tcW w:w="355" w:type="dxa"/>
            <w:tcBorders>
              <w:top w:val="single" w:sz="4" w:space="0" w:color="auto"/>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100%</w:t>
            </w:r>
          </w:p>
        </w:tc>
        <w:tc>
          <w:tcPr>
            <w:tcW w:w="755"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w:t>
            </w:r>
          </w:p>
        </w:tc>
      </w:tr>
      <w:tr w:rsidR="00976A7D">
        <w:trPr>
          <w:trHeight w:val="300"/>
        </w:trPr>
        <w:tc>
          <w:tcPr>
            <w:tcW w:w="1095" w:type="dxa"/>
            <w:gridSpan w:val="2"/>
            <w:vMerge/>
            <w:tcBorders>
              <w:top w:val="nil"/>
              <w:left w:val="single" w:sz="4" w:space="0" w:color="auto"/>
              <w:bottom w:val="single" w:sz="4" w:space="0" w:color="auto"/>
              <w:right w:val="single" w:sz="4" w:space="0" w:color="auto"/>
            </w:tcBorders>
            <w:vAlign w:val="center"/>
          </w:tcPr>
          <w:p w:rsidR="00976A7D" w:rsidRDefault="00976A7D">
            <w:pPr>
              <w:widowControl/>
              <w:rPr>
                <w:rFonts w:ascii="宋体" w:hAnsi="宋体"/>
                <w:sz w:val="18"/>
                <w:szCs w:val="18"/>
              </w:rPr>
            </w:pPr>
          </w:p>
        </w:tc>
        <w:tc>
          <w:tcPr>
            <w:tcW w:w="1936"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 xml:space="preserve">      上年结转资金</w:t>
            </w:r>
          </w:p>
        </w:tc>
        <w:tc>
          <w:tcPr>
            <w:tcW w:w="1142"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718"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864"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95"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w:t>
            </w:r>
          </w:p>
        </w:tc>
        <w:tc>
          <w:tcPr>
            <w:tcW w:w="355" w:type="dxa"/>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5"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w:t>
            </w:r>
          </w:p>
        </w:tc>
      </w:tr>
      <w:tr w:rsidR="00976A7D">
        <w:trPr>
          <w:trHeight w:val="300"/>
        </w:trPr>
        <w:tc>
          <w:tcPr>
            <w:tcW w:w="1095" w:type="dxa"/>
            <w:gridSpan w:val="2"/>
            <w:vMerge/>
            <w:tcBorders>
              <w:top w:val="nil"/>
              <w:left w:val="single" w:sz="4" w:space="0" w:color="auto"/>
              <w:bottom w:val="single" w:sz="4" w:space="0" w:color="auto"/>
              <w:right w:val="single" w:sz="4" w:space="0" w:color="auto"/>
            </w:tcBorders>
            <w:vAlign w:val="center"/>
          </w:tcPr>
          <w:p w:rsidR="00976A7D" w:rsidRDefault="00976A7D">
            <w:pPr>
              <w:widowControl/>
              <w:rPr>
                <w:rFonts w:ascii="宋体" w:hAnsi="宋体"/>
                <w:sz w:val="18"/>
                <w:szCs w:val="18"/>
              </w:rPr>
            </w:pPr>
          </w:p>
        </w:tc>
        <w:tc>
          <w:tcPr>
            <w:tcW w:w="1936"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 xml:space="preserve">  其他资金</w:t>
            </w:r>
          </w:p>
        </w:tc>
        <w:tc>
          <w:tcPr>
            <w:tcW w:w="1142"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718"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864"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95"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w:t>
            </w:r>
          </w:p>
        </w:tc>
        <w:tc>
          <w:tcPr>
            <w:tcW w:w="355" w:type="dxa"/>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5"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w:t>
            </w:r>
          </w:p>
        </w:tc>
      </w:tr>
      <w:tr w:rsidR="00976A7D">
        <w:trPr>
          <w:trHeight w:val="300"/>
        </w:trPr>
        <w:tc>
          <w:tcPr>
            <w:tcW w:w="602" w:type="dxa"/>
            <w:vMerge w:val="restart"/>
            <w:tcBorders>
              <w:top w:val="nil"/>
              <w:left w:val="single" w:sz="4" w:space="0" w:color="auto"/>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年度总体目标</w:t>
            </w:r>
          </w:p>
        </w:tc>
        <w:tc>
          <w:tcPr>
            <w:tcW w:w="5289" w:type="dxa"/>
            <w:gridSpan w:val="7"/>
            <w:tcBorders>
              <w:top w:val="single" w:sz="4" w:space="0" w:color="auto"/>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预期目标</w:t>
            </w:r>
          </w:p>
        </w:tc>
        <w:tc>
          <w:tcPr>
            <w:tcW w:w="3169" w:type="dxa"/>
            <w:gridSpan w:val="6"/>
            <w:tcBorders>
              <w:top w:val="single" w:sz="4" w:space="0" w:color="auto"/>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实际完成情况</w:t>
            </w:r>
          </w:p>
        </w:tc>
      </w:tr>
      <w:tr w:rsidR="00976A7D">
        <w:trPr>
          <w:trHeight w:val="1693"/>
        </w:trPr>
        <w:tc>
          <w:tcPr>
            <w:tcW w:w="602" w:type="dxa"/>
            <w:vMerge/>
            <w:tcBorders>
              <w:top w:val="nil"/>
              <w:left w:val="single" w:sz="4" w:space="0" w:color="auto"/>
              <w:bottom w:val="single" w:sz="4" w:space="0" w:color="auto"/>
              <w:right w:val="single" w:sz="4" w:space="0" w:color="auto"/>
            </w:tcBorders>
            <w:vAlign w:val="center"/>
          </w:tcPr>
          <w:p w:rsidR="00976A7D" w:rsidRDefault="00976A7D">
            <w:pPr>
              <w:widowControl/>
              <w:rPr>
                <w:rFonts w:ascii="宋体" w:hAnsi="宋体"/>
                <w:sz w:val="18"/>
                <w:szCs w:val="18"/>
              </w:rPr>
            </w:pPr>
          </w:p>
        </w:tc>
        <w:tc>
          <w:tcPr>
            <w:tcW w:w="5289" w:type="dxa"/>
            <w:gridSpan w:val="7"/>
            <w:tcBorders>
              <w:top w:val="single" w:sz="4" w:space="0" w:color="auto"/>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维护全区街道经营秩序，无乱停乱放；做到违法建筑查处率达100%，市政设施修复率达100%，确保城区街道两旁绿化覆盖率达90%；各项工作按计划开展，全年工作完成及时率达100%，</w:t>
            </w:r>
          </w:p>
          <w:p w:rsidR="00976A7D" w:rsidRDefault="00CC0705">
            <w:pPr>
              <w:spacing w:line="240" w:lineRule="exact"/>
              <w:jc w:val="center"/>
              <w:rPr>
                <w:rFonts w:ascii="宋体" w:hAnsi="宋体"/>
                <w:sz w:val="18"/>
                <w:szCs w:val="18"/>
              </w:rPr>
            </w:pPr>
            <w:r>
              <w:rPr>
                <w:rFonts w:ascii="宋体" w:hAnsi="宋体" w:hint="eastAsia"/>
                <w:sz w:val="18"/>
                <w:szCs w:val="18"/>
              </w:rPr>
              <w:t>整个城区管理满意度达90%以上。</w:t>
            </w:r>
          </w:p>
        </w:tc>
        <w:tc>
          <w:tcPr>
            <w:tcW w:w="3169" w:type="dxa"/>
            <w:gridSpan w:val="6"/>
            <w:tcBorders>
              <w:top w:val="single" w:sz="4" w:space="0" w:color="auto"/>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维护全区街道经营秩序，无乱停乱放；做到违法建筑查处率达100%，市政设施修复率达100%，确保城区街道两旁绿化覆盖率达100%；各项工作按计划开展，全年工作完成及时率达100%，整个城区管理满意度达90%以上。</w:t>
            </w:r>
          </w:p>
        </w:tc>
      </w:tr>
      <w:tr w:rsidR="00976A7D">
        <w:trPr>
          <w:trHeight w:val="533"/>
        </w:trPr>
        <w:tc>
          <w:tcPr>
            <w:tcW w:w="602" w:type="dxa"/>
            <w:vMerge w:val="restart"/>
            <w:tcBorders>
              <w:top w:val="nil"/>
              <w:left w:val="single" w:sz="4" w:space="0" w:color="auto"/>
              <w:bottom w:val="nil"/>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绩</w:t>
            </w:r>
            <w:r>
              <w:rPr>
                <w:rFonts w:ascii="宋体" w:hAnsi="宋体" w:hint="eastAsia"/>
                <w:sz w:val="18"/>
                <w:szCs w:val="18"/>
              </w:rPr>
              <w:br/>
              <w:t>效</w:t>
            </w:r>
            <w:r>
              <w:rPr>
                <w:rFonts w:ascii="宋体" w:hAnsi="宋体" w:hint="eastAsia"/>
                <w:sz w:val="18"/>
                <w:szCs w:val="18"/>
              </w:rPr>
              <w:br/>
              <w:t>指</w:t>
            </w:r>
            <w:r>
              <w:rPr>
                <w:rFonts w:ascii="宋体" w:hAnsi="宋体" w:hint="eastAsia"/>
                <w:sz w:val="18"/>
                <w:szCs w:val="18"/>
              </w:rPr>
              <w:br/>
              <w:t>标（90分）</w:t>
            </w:r>
          </w:p>
        </w:tc>
        <w:tc>
          <w:tcPr>
            <w:tcW w:w="961"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一级指标</w:t>
            </w:r>
          </w:p>
        </w:tc>
        <w:tc>
          <w:tcPr>
            <w:tcW w:w="1135"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二级指标</w:t>
            </w: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三级指标</w:t>
            </w:r>
          </w:p>
        </w:tc>
        <w:tc>
          <w:tcPr>
            <w:tcW w:w="673"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年度</w:t>
            </w:r>
          </w:p>
          <w:p w:rsidR="00976A7D" w:rsidRDefault="00CC0705">
            <w:pPr>
              <w:spacing w:line="240" w:lineRule="exact"/>
              <w:jc w:val="center"/>
              <w:rPr>
                <w:rFonts w:ascii="宋体" w:hAnsi="宋体"/>
                <w:sz w:val="18"/>
                <w:szCs w:val="18"/>
              </w:rPr>
            </w:pPr>
            <w:r>
              <w:rPr>
                <w:rFonts w:ascii="宋体" w:hAnsi="宋体" w:hint="eastAsia"/>
                <w:sz w:val="18"/>
                <w:szCs w:val="18"/>
              </w:rPr>
              <w:t>指标值</w:t>
            </w:r>
          </w:p>
        </w:tc>
        <w:tc>
          <w:tcPr>
            <w:tcW w:w="754"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实际</w:t>
            </w:r>
          </w:p>
          <w:p w:rsidR="00976A7D" w:rsidRDefault="00CC0705">
            <w:pPr>
              <w:spacing w:line="240" w:lineRule="exact"/>
              <w:jc w:val="center"/>
              <w:rPr>
                <w:rFonts w:ascii="宋体" w:hAnsi="宋体"/>
                <w:sz w:val="18"/>
                <w:szCs w:val="18"/>
              </w:rPr>
            </w:pPr>
            <w:r>
              <w:rPr>
                <w:rFonts w:ascii="宋体" w:hAnsi="宋体" w:hint="eastAsia"/>
                <w:sz w:val="18"/>
                <w:szCs w:val="18"/>
              </w:rPr>
              <w:t>完成值</w:t>
            </w:r>
          </w:p>
        </w:tc>
        <w:tc>
          <w:tcPr>
            <w:tcW w:w="737"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分值</w:t>
            </w:r>
          </w:p>
        </w:tc>
        <w:tc>
          <w:tcPr>
            <w:tcW w:w="568"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得分</w:t>
            </w:r>
          </w:p>
        </w:tc>
        <w:tc>
          <w:tcPr>
            <w:tcW w:w="1110" w:type="dxa"/>
            <w:gridSpan w:val="2"/>
            <w:tcBorders>
              <w:top w:val="single" w:sz="4" w:space="0" w:color="auto"/>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偏差原因分析及改进措施</w:t>
            </w:r>
          </w:p>
        </w:tc>
      </w:tr>
      <w:tr w:rsidR="00976A7D">
        <w:trPr>
          <w:trHeight w:val="634"/>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val="restart"/>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产出指标（50分）</w:t>
            </w:r>
          </w:p>
        </w:tc>
        <w:tc>
          <w:tcPr>
            <w:tcW w:w="1135" w:type="dxa"/>
            <w:vMerge w:val="restart"/>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数量指标（10分）</w:t>
            </w: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指标1：</w:t>
            </w:r>
            <w:r>
              <w:rPr>
                <w:rFonts w:ascii="宋体" w:hAnsi="宋体"/>
                <w:sz w:val="18"/>
                <w:szCs w:val="18"/>
              </w:rPr>
              <w:t>拆除违法建筑面积数（平方米）</w:t>
            </w:r>
          </w:p>
        </w:tc>
        <w:tc>
          <w:tcPr>
            <w:tcW w:w="673"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500</w:t>
            </w:r>
          </w:p>
        </w:tc>
        <w:tc>
          <w:tcPr>
            <w:tcW w:w="754"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500</w:t>
            </w:r>
          </w:p>
        </w:tc>
        <w:tc>
          <w:tcPr>
            <w:tcW w:w="737"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10</w:t>
            </w:r>
          </w:p>
        </w:tc>
        <w:tc>
          <w:tcPr>
            <w:tcW w:w="568"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10</w:t>
            </w: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91"/>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指标2：</w:t>
            </w:r>
          </w:p>
        </w:tc>
        <w:tc>
          <w:tcPr>
            <w:tcW w:w="673" w:type="dxa"/>
            <w:tcBorders>
              <w:top w:val="nil"/>
              <w:left w:val="nil"/>
              <w:bottom w:val="single" w:sz="4" w:space="0" w:color="auto"/>
              <w:right w:val="single" w:sz="4" w:space="0" w:color="auto"/>
            </w:tcBorders>
            <w:vAlign w:val="center"/>
          </w:tcPr>
          <w:p w:rsidR="00976A7D" w:rsidRDefault="00976A7D">
            <w:pPr>
              <w:widowControl/>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widowControl/>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504"/>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val="restart"/>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质量指标（10分）</w:t>
            </w: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指</w:t>
            </w:r>
            <w:r>
              <w:rPr>
                <w:rFonts w:ascii="宋体" w:hAnsi="宋体" w:hint="eastAsia"/>
                <w:sz w:val="18"/>
                <w:szCs w:val="18"/>
              </w:rPr>
              <w:t>标1：</w:t>
            </w:r>
            <w:r>
              <w:rPr>
                <w:rFonts w:ascii="宋体" w:hAnsi="宋体"/>
                <w:sz w:val="18"/>
                <w:szCs w:val="18"/>
              </w:rPr>
              <w:t>违法建筑拆除验收合格率（%）</w:t>
            </w:r>
          </w:p>
        </w:tc>
        <w:tc>
          <w:tcPr>
            <w:tcW w:w="673"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100%</w:t>
            </w:r>
          </w:p>
        </w:tc>
        <w:tc>
          <w:tcPr>
            <w:tcW w:w="754"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100%</w:t>
            </w:r>
          </w:p>
        </w:tc>
        <w:tc>
          <w:tcPr>
            <w:tcW w:w="737" w:type="dxa"/>
            <w:gridSpan w:val="2"/>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10</w:t>
            </w:r>
          </w:p>
        </w:tc>
        <w:tc>
          <w:tcPr>
            <w:tcW w:w="568"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10</w:t>
            </w: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657"/>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指标2：</w:t>
            </w:r>
          </w:p>
        </w:tc>
        <w:tc>
          <w:tcPr>
            <w:tcW w:w="673" w:type="dxa"/>
            <w:tcBorders>
              <w:top w:val="nil"/>
              <w:left w:val="nil"/>
              <w:bottom w:val="single" w:sz="4" w:space="0" w:color="auto"/>
              <w:right w:val="single" w:sz="4" w:space="0" w:color="auto"/>
            </w:tcBorders>
            <w:vAlign w:val="center"/>
          </w:tcPr>
          <w:p w:rsidR="00976A7D" w:rsidRDefault="00976A7D">
            <w:pPr>
              <w:widowControl/>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widowControl/>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widowControl/>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widowControl/>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504"/>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val="restart"/>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时效指标（15分）</w:t>
            </w: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指标1：</w:t>
            </w:r>
            <w:r>
              <w:rPr>
                <w:rFonts w:ascii="宋体" w:hAnsi="宋体"/>
                <w:color w:val="000000"/>
                <w:sz w:val="18"/>
                <w:szCs w:val="18"/>
              </w:rPr>
              <w:t>违法建筑拆除及时性</w:t>
            </w:r>
          </w:p>
        </w:tc>
        <w:tc>
          <w:tcPr>
            <w:tcW w:w="673"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color w:val="000000"/>
                <w:sz w:val="18"/>
                <w:szCs w:val="18"/>
              </w:rPr>
            </w:pPr>
            <w:r>
              <w:rPr>
                <w:rFonts w:ascii="宋体" w:hAnsi="宋体" w:hint="eastAsia"/>
                <w:color w:val="000000"/>
                <w:sz w:val="18"/>
                <w:szCs w:val="18"/>
              </w:rPr>
              <w:t>及时</w:t>
            </w:r>
          </w:p>
        </w:tc>
        <w:tc>
          <w:tcPr>
            <w:tcW w:w="754"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及时</w:t>
            </w:r>
          </w:p>
        </w:tc>
        <w:tc>
          <w:tcPr>
            <w:tcW w:w="737" w:type="dxa"/>
            <w:gridSpan w:val="2"/>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15</w:t>
            </w:r>
          </w:p>
        </w:tc>
        <w:tc>
          <w:tcPr>
            <w:tcW w:w="568"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15</w:t>
            </w: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指标2：</w:t>
            </w:r>
          </w:p>
        </w:tc>
        <w:tc>
          <w:tcPr>
            <w:tcW w:w="673"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val="restart"/>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成本指标（15分）</w:t>
            </w: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指标1：混凝土构件拆除</w:t>
            </w:r>
          </w:p>
        </w:tc>
        <w:tc>
          <w:tcPr>
            <w:tcW w:w="673"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2443.05元/m³</w:t>
            </w:r>
          </w:p>
        </w:tc>
        <w:tc>
          <w:tcPr>
            <w:tcW w:w="754"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2443.05元/m³</w:t>
            </w:r>
          </w:p>
        </w:tc>
        <w:tc>
          <w:tcPr>
            <w:tcW w:w="737"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15</w:t>
            </w:r>
          </w:p>
        </w:tc>
        <w:tc>
          <w:tcPr>
            <w:tcW w:w="568"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15</w:t>
            </w: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指标2：</w:t>
            </w:r>
          </w:p>
        </w:tc>
        <w:tc>
          <w:tcPr>
            <w:tcW w:w="673"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val="restart"/>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效益指标（40分）</w:t>
            </w:r>
          </w:p>
        </w:tc>
        <w:tc>
          <w:tcPr>
            <w:tcW w:w="1135" w:type="dxa"/>
            <w:vMerge w:val="restart"/>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经济效益</w:t>
            </w:r>
          </w:p>
          <w:p w:rsidR="00976A7D" w:rsidRDefault="00CC0705">
            <w:pPr>
              <w:spacing w:line="240" w:lineRule="exact"/>
              <w:jc w:val="center"/>
              <w:rPr>
                <w:rFonts w:ascii="宋体" w:hAnsi="宋体"/>
                <w:sz w:val="18"/>
                <w:szCs w:val="18"/>
              </w:rPr>
            </w:pPr>
            <w:r>
              <w:rPr>
                <w:rFonts w:ascii="宋体" w:hAnsi="宋体" w:hint="eastAsia"/>
                <w:sz w:val="18"/>
                <w:szCs w:val="18"/>
              </w:rPr>
              <w:t>指标</w:t>
            </w: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指标1：</w:t>
            </w:r>
          </w:p>
        </w:tc>
        <w:tc>
          <w:tcPr>
            <w:tcW w:w="673"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指标2：</w:t>
            </w:r>
          </w:p>
        </w:tc>
        <w:tc>
          <w:tcPr>
            <w:tcW w:w="673"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40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val="restart"/>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社会效益</w:t>
            </w:r>
          </w:p>
          <w:p w:rsidR="00976A7D" w:rsidRDefault="00CC0705">
            <w:pPr>
              <w:spacing w:line="240" w:lineRule="exact"/>
              <w:jc w:val="center"/>
              <w:rPr>
                <w:rFonts w:ascii="宋体" w:hAnsi="宋体"/>
                <w:sz w:val="18"/>
                <w:szCs w:val="18"/>
              </w:rPr>
            </w:pPr>
            <w:r>
              <w:rPr>
                <w:rFonts w:ascii="宋体" w:hAnsi="宋体" w:hint="eastAsia"/>
                <w:sz w:val="18"/>
                <w:szCs w:val="18"/>
              </w:rPr>
              <w:t>指标（20分）</w:t>
            </w: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指标1：</w:t>
            </w:r>
            <w:r>
              <w:rPr>
                <w:rFonts w:ascii="宋体" w:hAnsi="宋体"/>
                <w:sz w:val="18"/>
                <w:szCs w:val="18"/>
              </w:rPr>
              <w:t>安全生产隐患排查数</w:t>
            </w:r>
          </w:p>
        </w:tc>
        <w:tc>
          <w:tcPr>
            <w:tcW w:w="673" w:type="dxa"/>
            <w:tcBorders>
              <w:top w:val="nil"/>
              <w:left w:val="nil"/>
              <w:bottom w:val="single" w:sz="4" w:space="0" w:color="auto"/>
              <w:right w:val="single" w:sz="4" w:space="0" w:color="auto"/>
            </w:tcBorders>
            <w:vAlign w:val="center"/>
          </w:tcPr>
          <w:p w:rsidR="00976A7D" w:rsidRDefault="00CC0705">
            <w:pPr>
              <w:widowControl/>
              <w:spacing w:line="240" w:lineRule="exact"/>
              <w:rPr>
                <w:rFonts w:ascii="宋体" w:hAnsi="宋体"/>
                <w:sz w:val="18"/>
                <w:szCs w:val="18"/>
              </w:rPr>
            </w:pPr>
            <w:r>
              <w:rPr>
                <w:rFonts w:ascii="宋体" w:hAnsi="宋体" w:hint="eastAsia"/>
                <w:sz w:val="18"/>
                <w:szCs w:val="18"/>
              </w:rPr>
              <w:t>100</w:t>
            </w:r>
          </w:p>
        </w:tc>
        <w:tc>
          <w:tcPr>
            <w:tcW w:w="754" w:type="dxa"/>
            <w:tcBorders>
              <w:top w:val="nil"/>
              <w:left w:val="nil"/>
              <w:bottom w:val="single" w:sz="4" w:space="0" w:color="auto"/>
              <w:right w:val="single" w:sz="4" w:space="0" w:color="auto"/>
            </w:tcBorders>
            <w:vAlign w:val="center"/>
          </w:tcPr>
          <w:p w:rsidR="00976A7D" w:rsidRDefault="00CC0705">
            <w:pPr>
              <w:widowControl/>
              <w:spacing w:line="240" w:lineRule="exact"/>
              <w:rPr>
                <w:rFonts w:ascii="宋体" w:hAnsi="宋体"/>
                <w:sz w:val="18"/>
                <w:szCs w:val="18"/>
              </w:rPr>
            </w:pPr>
            <w:r>
              <w:rPr>
                <w:rFonts w:ascii="宋体" w:hAnsi="宋体" w:hint="eastAsia"/>
                <w:sz w:val="18"/>
                <w:szCs w:val="18"/>
              </w:rPr>
              <w:t>100</w:t>
            </w:r>
          </w:p>
        </w:tc>
        <w:tc>
          <w:tcPr>
            <w:tcW w:w="737"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20</w:t>
            </w:r>
          </w:p>
        </w:tc>
        <w:tc>
          <w:tcPr>
            <w:tcW w:w="568"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20</w:t>
            </w: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指标2：</w:t>
            </w:r>
          </w:p>
        </w:tc>
        <w:tc>
          <w:tcPr>
            <w:tcW w:w="673"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val="restart"/>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生态效益</w:t>
            </w:r>
          </w:p>
          <w:p w:rsidR="00976A7D" w:rsidRDefault="00CC0705">
            <w:pPr>
              <w:spacing w:line="240" w:lineRule="exact"/>
              <w:jc w:val="center"/>
              <w:rPr>
                <w:rFonts w:ascii="宋体" w:hAnsi="宋体"/>
                <w:sz w:val="18"/>
                <w:szCs w:val="18"/>
              </w:rPr>
            </w:pPr>
            <w:r>
              <w:rPr>
                <w:rFonts w:ascii="宋体" w:hAnsi="宋体" w:hint="eastAsia"/>
                <w:sz w:val="18"/>
                <w:szCs w:val="18"/>
              </w:rPr>
              <w:t>指标</w:t>
            </w: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widowControl/>
              <w:spacing w:line="23" w:lineRule="atLeast"/>
              <w:jc w:val="center"/>
              <w:textAlignment w:val="center"/>
              <w:rPr>
                <w:sz w:val="18"/>
                <w:szCs w:val="18"/>
              </w:rPr>
            </w:pPr>
            <w:r>
              <w:rPr>
                <w:rFonts w:ascii="宋体" w:hAnsi="宋体" w:hint="eastAsia"/>
                <w:color w:val="000000"/>
                <w:sz w:val="18"/>
                <w:szCs w:val="18"/>
              </w:rPr>
              <w:t>指标1：</w:t>
            </w:r>
            <w:r>
              <w:rPr>
                <w:rFonts w:ascii="宋体" w:hAnsi="宋体"/>
                <w:color w:val="000000"/>
                <w:sz w:val="18"/>
                <w:szCs w:val="18"/>
              </w:rPr>
              <w:t>保护环境，减少</w:t>
            </w:r>
            <w:r>
              <w:rPr>
                <w:rFonts w:ascii="宋体" w:hAnsi="宋体" w:hint="eastAsia"/>
                <w:color w:val="000000"/>
                <w:sz w:val="18"/>
                <w:szCs w:val="18"/>
              </w:rPr>
              <w:t>扬尘污染。</w:t>
            </w:r>
          </w:p>
          <w:p w:rsidR="00976A7D" w:rsidRDefault="00976A7D">
            <w:pPr>
              <w:spacing w:line="240" w:lineRule="exact"/>
              <w:rPr>
                <w:rFonts w:ascii="宋体" w:hAnsi="宋体"/>
                <w:color w:val="000000"/>
                <w:sz w:val="18"/>
                <w:szCs w:val="18"/>
              </w:rPr>
            </w:pPr>
          </w:p>
        </w:tc>
        <w:tc>
          <w:tcPr>
            <w:tcW w:w="673"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良好</w:t>
            </w:r>
          </w:p>
        </w:tc>
        <w:tc>
          <w:tcPr>
            <w:tcW w:w="754"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良好</w:t>
            </w:r>
          </w:p>
        </w:tc>
        <w:tc>
          <w:tcPr>
            <w:tcW w:w="737" w:type="dxa"/>
            <w:gridSpan w:val="2"/>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10</w:t>
            </w:r>
          </w:p>
        </w:tc>
        <w:tc>
          <w:tcPr>
            <w:tcW w:w="568"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10</w:t>
            </w: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widowControl/>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指标2：</w:t>
            </w:r>
          </w:p>
        </w:tc>
        <w:tc>
          <w:tcPr>
            <w:tcW w:w="673"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721"/>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val="restart"/>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可持续影响指标（20分）</w:t>
            </w: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widowControl/>
              <w:spacing w:line="23" w:lineRule="atLeast"/>
              <w:jc w:val="center"/>
              <w:textAlignment w:val="center"/>
            </w:pPr>
            <w:r>
              <w:rPr>
                <w:rFonts w:ascii="宋体" w:hAnsi="宋体" w:hint="eastAsia"/>
                <w:color w:val="000000"/>
                <w:sz w:val="18"/>
                <w:szCs w:val="18"/>
              </w:rPr>
              <w:t>指标1：</w:t>
            </w:r>
            <w:r>
              <w:rPr>
                <w:rFonts w:ascii="宋体" w:hAnsi="宋体"/>
                <w:color w:val="000000"/>
                <w:sz w:val="18"/>
                <w:szCs w:val="18"/>
              </w:rPr>
              <w:t>为城市创造良好生产生活环境，提高城市核心竞争力。</w:t>
            </w:r>
          </w:p>
          <w:p w:rsidR="00976A7D" w:rsidRDefault="00976A7D">
            <w:pPr>
              <w:spacing w:line="240" w:lineRule="exact"/>
              <w:rPr>
                <w:rFonts w:ascii="宋体" w:hAnsi="宋体"/>
                <w:color w:val="000000"/>
                <w:sz w:val="18"/>
                <w:szCs w:val="18"/>
              </w:rPr>
            </w:pPr>
          </w:p>
        </w:tc>
        <w:tc>
          <w:tcPr>
            <w:tcW w:w="673"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长期</w:t>
            </w:r>
          </w:p>
        </w:tc>
        <w:tc>
          <w:tcPr>
            <w:tcW w:w="754"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长期</w:t>
            </w:r>
          </w:p>
        </w:tc>
        <w:tc>
          <w:tcPr>
            <w:tcW w:w="737" w:type="dxa"/>
            <w:gridSpan w:val="2"/>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10</w:t>
            </w:r>
          </w:p>
        </w:tc>
        <w:tc>
          <w:tcPr>
            <w:tcW w:w="568"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10</w:t>
            </w: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960"/>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指标2：</w:t>
            </w:r>
          </w:p>
        </w:tc>
        <w:tc>
          <w:tcPr>
            <w:tcW w:w="673" w:type="dxa"/>
            <w:tcBorders>
              <w:top w:val="nil"/>
              <w:left w:val="nil"/>
              <w:bottom w:val="single" w:sz="4" w:space="0" w:color="auto"/>
              <w:right w:val="single" w:sz="4" w:space="0" w:color="auto"/>
            </w:tcBorders>
            <w:vAlign w:val="center"/>
          </w:tcPr>
          <w:p w:rsidR="00976A7D" w:rsidRDefault="00976A7D">
            <w:pPr>
              <w:widowControl/>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widowControl/>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widowControl/>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widowControl/>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widowControl/>
              <w:spacing w:line="240" w:lineRule="exact"/>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38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val="restart"/>
            <w:tcBorders>
              <w:top w:val="nil"/>
              <w:left w:val="nil"/>
              <w:bottom w:val="nil"/>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满意度</w:t>
            </w:r>
          </w:p>
          <w:p w:rsidR="00976A7D" w:rsidRDefault="00CC0705">
            <w:pPr>
              <w:spacing w:line="240" w:lineRule="exact"/>
              <w:jc w:val="center"/>
              <w:rPr>
                <w:rFonts w:ascii="宋体" w:hAnsi="宋体"/>
                <w:sz w:val="18"/>
                <w:szCs w:val="18"/>
              </w:rPr>
            </w:pPr>
            <w:r>
              <w:rPr>
                <w:rFonts w:ascii="宋体" w:hAnsi="宋体" w:hint="eastAsia"/>
                <w:sz w:val="18"/>
                <w:szCs w:val="18"/>
              </w:rPr>
              <w:t>指标（10分）</w:t>
            </w:r>
          </w:p>
        </w:tc>
        <w:tc>
          <w:tcPr>
            <w:tcW w:w="1135" w:type="dxa"/>
            <w:vMerge w:val="restart"/>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sz w:val="18"/>
                <w:szCs w:val="18"/>
              </w:rPr>
            </w:pPr>
            <w:r>
              <w:rPr>
                <w:rFonts w:ascii="宋体" w:hAnsi="宋体" w:hint="eastAsia"/>
                <w:sz w:val="18"/>
                <w:szCs w:val="18"/>
              </w:rPr>
              <w:t>服务对象满意度指标（10分）</w:t>
            </w: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widowControl/>
              <w:spacing w:line="240" w:lineRule="exact"/>
              <w:rPr>
                <w:rFonts w:ascii="宋体" w:hAnsi="宋体"/>
                <w:color w:val="000000"/>
                <w:sz w:val="18"/>
                <w:szCs w:val="18"/>
              </w:rPr>
            </w:pPr>
            <w:r>
              <w:rPr>
                <w:rFonts w:ascii="宋体" w:hAnsi="宋体" w:hint="eastAsia"/>
                <w:color w:val="000000"/>
                <w:sz w:val="18"/>
                <w:szCs w:val="18"/>
              </w:rPr>
              <w:t>指标1：群众满意度</w:t>
            </w:r>
          </w:p>
        </w:tc>
        <w:tc>
          <w:tcPr>
            <w:tcW w:w="673"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95%</w:t>
            </w:r>
          </w:p>
        </w:tc>
        <w:tc>
          <w:tcPr>
            <w:tcW w:w="754"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95%</w:t>
            </w:r>
          </w:p>
        </w:tc>
        <w:tc>
          <w:tcPr>
            <w:tcW w:w="737" w:type="dxa"/>
            <w:gridSpan w:val="2"/>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5</w:t>
            </w:r>
          </w:p>
        </w:tc>
        <w:tc>
          <w:tcPr>
            <w:tcW w:w="568"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5</w:t>
            </w: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nil"/>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widowControl/>
              <w:spacing w:line="240" w:lineRule="exact"/>
              <w:rPr>
                <w:rFonts w:ascii="宋体" w:hAnsi="宋体"/>
                <w:color w:val="000000"/>
                <w:sz w:val="18"/>
                <w:szCs w:val="18"/>
              </w:rPr>
            </w:pPr>
            <w:r>
              <w:rPr>
                <w:rFonts w:ascii="宋体" w:hAnsi="宋体" w:hint="eastAsia"/>
                <w:color w:val="000000"/>
                <w:sz w:val="18"/>
                <w:szCs w:val="18"/>
              </w:rPr>
              <w:t>指标2：社会满意度</w:t>
            </w:r>
          </w:p>
        </w:tc>
        <w:tc>
          <w:tcPr>
            <w:tcW w:w="673"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95%</w:t>
            </w:r>
          </w:p>
        </w:tc>
        <w:tc>
          <w:tcPr>
            <w:tcW w:w="754"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95%</w:t>
            </w:r>
          </w:p>
        </w:tc>
        <w:tc>
          <w:tcPr>
            <w:tcW w:w="737" w:type="dxa"/>
            <w:gridSpan w:val="2"/>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5</w:t>
            </w:r>
          </w:p>
        </w:tc>
        <w:tc>
          <w:tcPr>
            <w:tcW w:w="568" w:type="dxa"/>
            <w:tcBorders>
              <w:top w:val="nil"/>
              <w:left w:val="nil"/>
              <w:bottom w:val="single" w:sz="4" w:space="0" w:color="auto"/>
              <w:right w:val="single" w:sz="4" w:space="0" w:color="auto"/>
            </w:tcBorders>
            <w:vAlign w:val="center"/>
          </w:tcPr>
          <w:p w:rsidR="00976A7D" w:rsidRDefault="00CC0705">
            <w:pPr>
              <w:widowControl/>
              <w:spacing w:line="240" w:lineRule="exact"/>
              <w:jc w:val="center"/>
              <w:rPr>
                <w:rFonts w:ascii="宋体" w:hAnsi="宋体"/>
                <w:sz w:val="18"/>
                <w:szCs w:val="18"/>
              </w:rPr>
            </w:pPr>
            <w:r>
              <w:rPr>
                <w:rFonts w:ascii="宋体" w:hAnsi="宋体" w:hint="eastAsia"/>
                <w:sz w:val="18"/>
                <w:szCs w:val="18"/>
              </w:rPr>
              <w:t>5</w:t>
            </w: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02" w:type="dxa"/>
            <w:vMerge/>
            <w:tcBorders>
              <w:top w:val="nil"/>
              <w:left w:val="single" w:sz="4" w:space="0" w:color="auto"/>
              <w:bottom w:val="nil"/>
              <w:right w:val="single" w:sz="4" w:space="0" w:color="auto"/>
            </w:tcBorders>
            <w:vAlign w:val="center"/>
          </w:tcPr>
          <w:p w:rsidR="00976A7D" w:rsidRDefault="00976A7D">
            <w:pPr>
              <w:widowControl/>
              <w:rPr>
                <w:rFonts w:ascii="宋体" w:hAnsi="宋体"/>
                <w:sz w:val="18"/>
                <w:szCs w:val="18"/>
              </w:rPr>
            </w:pPr>
          </w:p>
        </w:tc>
        <w:tc>
          <w:tcPr>
            <w:tcW w:w="961" w:type="dxa"/>
            <w:gridSpan w:val="2"/>
            <w:vMerge/>
            <w:tcBorders>
              <w:top w:val="nil"/>
              <w:left w:val="nil"/>
              <w:bottom w:val="nil"/>
              <w:right w:val="single" w:sz="4" w:space="0" w:color="auto"/>
            </w:tcBorders>
            <w:vAlign w:val="center"/>
          </w:tcPr>
          <w:p w:rsidR="00976A7D" w:rsidRDefault="00976A7D">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976A7D" w:rsidRDefault="00976A7D">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976A7D"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r w:rsidR="00976A7D">
        <w:trPr>
          <w:trHeight w:val="272"/>
        </w:trPr>
        <w:tc>
          <w:tcPr>
            <w:tcW w:w="6645" w:type="dxa"/>
            <w:gridSpan w:val="9"/>
            <w:tcBorders>
              <w:top w:val="single" w:sz="4" w:space="0" w:color="auto"/>
              <w:left w:val="single" w:sz="4" w:space="0" w:color="auto"/>
              <w:bottom w:val="single" w:sz="4" w:space="0" w:color="auto"/>
              <w:right w:val="single" w:sz="4" w:space="0" w:color="auto"/>
            </w:tcBorders>
            <w:vAlign w:val="center"/>
          </w:tcPr>
          <w:p w:rsidR="00976A7D" w:rsidRDefault="00CC0705">
            <w:pPr>
              <w:spacing w:line="240" w:lineRule="exact"/>
              <w:jc w:val="center"/>
              <w:rPr>
                <w:rFonts w:ascii="宋体" w:hAnsi="宋体"/>
                <w:color w:val="000000"/>
                <w:sz w:val="18"/>
                <w:szCs w:val="18"/>
              </w:rPr>
            </w:pPr>
            <w:r>
              <w:rPr>
                <w:rFonts w:ascii="宋体" w:hAnsi="宋体" w:hint="eastAsia"/>
                <w:color w:val="000000"/>
                <w:sz w:val="18"/>
                <w:szCs w:val="18"/>
              </w:rPr>
              <w:t>总分</w:t>
            </w:r>
          </w:p>
        </w:tc>
        <w:tc>
          <w:tcPr>
            <w:tcW w:w="737" w:type="dxa"/>
            <w:gridSpan w:val="2"/>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color w:val="000000"/>
                <w:sz w:val="18"/>
                <w:szCs w:val="18"/>
              </w:rPr>
            </w:pPr>
            <w:r>
              <w:rPr>
                <w:rFonts w:ascii="宋体" w:hAnsi="宋体" w:hint="eastAsia"/>
                <w:color w:val="000000"/>
                <w:sz w:val="18"/>
                <w:szCs w:val="18"/>
              </w:rPr>
              <w:t>100</w:t>
            </w:r>
          </w:p>
        </w:tc>
        <w:tc>
          <w:tcPr>
            <w:tcW w:w="568" w:type="dxa"/>
            <w:tcBorders>
              <w:top w:val="nil"/>
              <w:left w:val="nil"/>
              <w:bottom w:val="single" w:sz="4" w:space="0" w:color="auto"/>
              <w:right w:val="single" w:sz="4" w:space="0" w:color="auto"/>
            </w:tcBorders>
            <w:vAlign w:val="center"/>
          </w:tcPr>
          <w:p w:rsidR="00976A7D" w:rsidRDefault="00CC0705">
            <w:pPr>
              <w:spacing w:line="240" w:lineRule="exact"/>
              <w:jc w:val="center"/>
              <w:rPr>
                <w:rFonts w:ascii="宋体" w:hAnsi="宋体"/>
                <w:color w:val="000000"/>
                <w:sz w:val="18"/>
                <w:szCs w:val="18"/>
              </w:rPr>
            </w:pPr>
            <w:r>
              <w:rPr>
                <w:rFonts w:ascii="宋体" w:hAnsi="宋体" w:hint="eastAsia"/>
                <w:color w:val="000000"/>
                <w:sz w:val="18"/>
                <w:szCs w:val="18"/>
              </w:rPr>
              <w:t>100</w:t>
            </w:r>
          </w:p>
        </w:tc>
        <w:tc>
          <w:tcPr>
            <w:tcW w:w="1110" w:type="dxa"/>
            <w:gridSpan w:val="2"/>
            <w:tcBorders>
              <w:top w:val="single" w:sz="4" w:space="0" w:color="auto"/>
              <w:left w:val="nil"/>
              <w:bottom w:val="single" w:sz="4" w:space="0" w:color="auto"/>
              <w:right w:val="single" w:sz="4" w:space="0" w:color="auto"/>
            </w:tcBorders>
            <w:vAlign w:val="center"/>
          </w:tcPr>
          <w:p w:rsidR="00976A7D" w:rsidRDefault="00976A7D">
            <w:pPr>
              <w:spacing w:line="240" w:lineRule="exact"/>
              <w:jc w:val="center"/>
              <w:rPr>
                <w:rFonts w:ascii="宋体" w:hAnsi="宋体"/>
                <w:sz w:val="18"/>
                <w:szCs w:val="18"/>
              </w:rPr>
            </w:pPr>
          </w:p>
        </w:tc>
      </w:tr>
    </w:tbl>
    <w:p w:rsidR="00976A7D" w:rsidRDefault="00976A7D">
      <w:pPr>
        <w:pStyle w:val="a9"/>
        <w:widowControl/>
        <w:spacing w:before="0" w:beforeAutospacing="0" w:after="0" w:afterAutospacing="0" w:line="33" w:lineRule="atLeast"/>
        <w:jc w:val="both"/>
        <w:rPr>
          <w:rFonts w:ascii="仿宋_GB2312" w:eastAsia="仿宋_GB2312"/>
          <w:kern w:val="2"/>
          <w:sz w:val="30"/>
        </w:rPr>
      </w:pPr>
    </w:p>
    <w:p w:rsidR="00976A7D" w:rsidRDefault="00CC0705" w:rsidP="00C74366">
      <w:pPr>
        <w:widowControl/>
        <w:spacing w:line="600" w:lineRule="exact"/>
        <w:jc w:val="center"/>
        <w:rPr>
          <w:rFonts w:ascii="宋体" w:hAnsi="宋体"/>
          <w:b/>
          <w:sz w:val="32"/>
          <w:szCs w:val="32"/>
        </w:rPr>
      </w:pPr>
      <w:r>
        <w:rPr>
          <w:rFonts w:ascii="宋体" w:hAnsi="宋体" w:hint="eastAsia"/>
          <w:b/>
          <w:sz w:val="32"/>
          <w:szCs w:val="32"/>
        </w:rPr>
        <w:t>第四部分  名词解释</w:t>
      </w:r>
    </w:p>
    <w:bookmarkEnd w:id="1"/>
    <w:p w:rsidR="00976A7D" w:rsidRDefault="00CC0705">
      <w:pPr>
        <w:pStyle w:val="a9"/>
        <w:widowControl/>
        <w:shd w:val="clear" w:color="auto" w:fill="FFFFFF"/>
        <w:spacing w:before="0" w:beforeAutospacing="0" w:after="0" w:afterAutospacing="0" w:line="585" w:lineRule="atLeast"/>
        <w:rPr>
          <w:rFonts w:ascii="微软雅黑" w:eastAsia="微软雅黑" w:hAnsi="微软雅黑" w:cs="微软雅黑"/>
          <w:b/>
          <w:bCs/>
          <w:color w:val="333333"/>
          <w:sz w:val="21"/>
          <w:szCs w:val="21"/>
        </w:rPr>
      </w:pPr>
      <w:r>
        <w:rPr>
          <w:rFonts w:ascii="仿宋" w:eastAsia="仿宋" w:hAnsi="仿宋" w:cs="仿宋"/>
          <w:b/>
          <w:bCs/>
          <w:color w:val="000000"/>
          <w:sz w:val="30"/>
          <w:szCs w:val="30"/>
          <w:shd w:val="clear" w:color="auto" w:fill="FFFFFF"/>
        </w:rPr>
        <w:t> </w:t>
      </w:r>
      <w:r>
        <w:rPr>
          <w:rFonts w:ascii="仿宋" w:eastAsia="仿宋" w:hAnsi="仿宋" w:cs="仿宋" w:hint="eastAsia"/>
          <w:b/>
          <w:bCs/>
          <w:color w:val="000000"/>
          <w:sz w:val="30"/>
          <w:szCs w:val="30"/>
          <w:shd w:val="clear" w:color="auto" w:fill="FFFFFF"/>
        </w:rPr>
        <w:t>一、收入科目</w:t>
      </w:r>
    </w:p>
    <w:p w:rsidR="00976A7D"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color w:val="333333"/>
          <w:sz w:val="21"/>
          <w:szCs w:val="21"/>
        </w:rPr>
      </w:pPr>
      <w:r>
        <w:rPr>
          <w:rFonts w:ascii="仿宋" w:eastAsia="仿宋" w:hAnsi="仿宋" w:cs="仿宋" w:hint="eastAsia"/>
          <w:color w:val="000000"/>
          <w:sz w:val="30"/>
          <w:szCs w:val="30"/>
          <w:shd w:val="clear" w:color="auto" w:fill="FFFFFF"/>
        </w:rPr>
        <w:t>（一）财政拨款收入：指区财政当年拨付的资金。</w:t>
      </w:r>
    </w:p>
    <w:p w:rsidR="00976A7D"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color w:val="333333"/>
          <w:sz w:val="21"/>
          <w:szCs w:val="21"/>
        </w:rPr>
      </w:pPr>
      <w:r>
        <w:rPr>
          <w:rFonts w:ascii="仿宋" w:eastAsia="仿宋" w:hAnsi="仿宋" w:cs="仿宋" w:hint="eastAsia"/>
          <w:color w:val="000000"/>
          <w:sz w:val="30"/>
          <w:szCs w:val="30"/>
          <w:shd w:val="clear" w:color="auto" w:fill="FFFFFF"/>
        </w:rPr>
        <w:t>（二）事业收入：指事业单位开展专业业务活动及辅助</w:t>
      </w:r>
    </w:p>
    <w:p w:rsidR="00976A7D" w:rsidRDefault="00CC0705">
      <w:pPr>
        <w:pStyle w:val="a9"/>
        <w:widowControl/>
        <w:shd w:val="clear" w:color="auto" w:fill="FFFFFF"/>
        <w:spacing w:before="0" w:beforeAutospacing="0" w:after="0" w:afterAutospacing="0" w:line="585" w:lineRule="atLeast"/>
        <w:rPr>
          <w:rFonts w:ascii="微软雅黑" w:eastAsia="微软雅黑" w:hAnsi="微软雅黑" w:cs="微软雅黑"/>
          <w:color w:val="333333"/>
          <w:sz w:val="21"/>
          <w:szCs w:val="21"/>
        </w:rPr>
      </w:pPr>
      <w:r>
        <w:rPr>
          <w:rFonts w:ascii="仿宋" w:eastAsia="仿宋" w:hAnsi="仿宋" w:cs="仿宋" w:hint="eastAsia"/>
          <w:color w:val="000000"/>
          <w:sz w:val="30"/>
          <w:szCs w:val="30"/>
          <w:shd w:val="clear" w:color="auto" w:fill="FFFFFF"/>
        </w:rPr>
        <w:t>活动所取得的收入。</w:t>
      </w:r>
    </w:p>
    <w:p w:rsidR="00976A7D"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color w:val="333333"/>
          <w:sz w:val="21"/>
          <w:szCs w:val="21"/>
        </w:rPr>
      </w:pPr>
      <w:r>
        <w:rPr>
          <w:rFonts w:ascii="仿宋" w:eastAsia="仿宋" w:hAnsi="仿宋" w:cs="仿宋" w:hint="eastAsia"/>
          <w:color w:val="000000"/>
          <w:sz w:val="30"/>
          <w:szCs w:val="30"/>
          <w:shd w:val="clear" w:color="auto" w:fill="FFFFFF"/>
        </w:rPr>
        <w:lastRenderedPageBreak/>
        <w:t>（三）其他收入：是指除财政拨款收入、事业收入、上级补助收入、附属单位上缴收入、经营收入等以外的各项收入。</w:t>
      </w:r>
    </w:p>
    <w:p w:rsidR="00976A7D"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color w:val="333333"/>
          <w:sz w:val="21"/>
          <w:szCs w:val="21"/>
        </w:rPr>
      </w:pPr>
      <w:r>
        <w:rPr>
          <w:rFonts w:ascii="仿宋" w:eastAsia="仿宋" w:hAnsi="仿宋" w:cs="仿宋" w:hint="eastAsia"/>
          <w:color w:val="000000"/>
          <w:sz w:val="30"/>
          <w:szCs w:val="30"/>
          <w:shd w:val="clear" w:color="auto" w:fill="FFFFFF"/>
        </w:rPr>
        <w:t>（四）上年结转：指以前年度尚未完成，结转到本年仍按原规定用途继续使用的资金。</w:t>
      </w:r>
    </w:p>
    <w:p w:rsidR="00976A7D" w:rsidRDefault="00CC0705">
      <w:pPr>
        <w:pStyle w:val="a9"/>
        <w:widowControl/>
        <w:shd w:val="clear" w:color="auto" w:fill="FFFFFF"/>
        <w:spacing w:before="0" w:beforeAutospacing="0" w:after="0" w:afterAutospacing="0" w:line="585" w:lineRule="atLeast"/>
        <w:ind w:firstLine="750"/>
        <w:rPr>
          <w:rFonts w:ascii="微软雅黑" w:eastAsia="微软雅黑" w:hAnsi="微软雅黑" w:cs="微软雅黑"/>
          <w:b/>
          <w:bCs/>
          <w:color w:val="333333"/>
          <w:sz w:val="21"/>
          <w:szCs w:val="21"/>
        </w:rPr>
      </w:pPr>
      <w:r>
        <w:rPr>
          <w:rFonts w:ascii="仿宋" w:eastAsia="仿宋" w:hAnsi="仿宋" w:cs="仿宋"/>
          <w:b/>
          <w:bCs/>
          <w:color w:val="000000"/>
          <w:sz w:val="30"/>
          <w:szCs w:val="30"/>
          <w:shd w:val="clear" w:color="auto" w:fill="FFFFFF"/>
        </w:rPr>
        <w:t>二、支出科目</w:t>
      </w:r>
    </w:p>
    <w:p w:rsidR="00976A7D"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color w:val="333333"/>
          <w:sz w:val="21"/>
          <w:szCs w:val="21"/>
        </w:rPr>
      </w:pPr>
      <w:r>
        <w:rPr>
          <w:rFonts w:ascii="仿宋" w:eastAsia="仿宋" w:hAnsi="仿宋" w:cs="仿宋" w:hint="eastAsia"/>
          <w:color w:val="000000"/>
          <w:sz w:val="30"/>
          <w:szCs w:val="30"/>
          <w:shd w:val="clear" w:color="auto" w:fill="FFFFFF"/>
        </w:rPr>
        <w:t>（一）城乡社区支出：指城管局用于城市管理综合行政执法、加强城市市容和环境卫生管理等方面的支出。</w:t>
      </w:r>
    </w:p>
    <w:p w:rsidR="00976A7D" w:rsidRDefault="00CC0705">
      <w:pPr>
        <w:pStyle w:val="p0"/>
        <w:spacing w:line="600" w:lineRule="atLeast"/>
        <w:ind w:firstLineChars="200" w:firstLine="600"/>
        <w:rPr>
          <w:rFonts w:ascii="仿宋" w:eastAsia="仿宋" w:hAnsi="仿宋" w:cs="仿宋"/>
          <w:sz w:val="30"/>
          <w:szCs w:val="30"/>
        </w:rPr>
      </w:pPr>
      <w:r>
        <w:rPr>
          <w:rFonts w:ascii="仿宋" w:eastAsia="仿宋" w:hAnsi="仿宋" w:cs="仿宋" w:hint="eastAsia"/>
          <w:color w:val="000000"/>
          <w:sz w:val="30"/>
          <w:szCs w:val="30"/>
          <w:shd w:val="clear" w:color="auto" w:fill="FFFFFF"/>
        </w:rPr>
        <w:t>（二）社会保障和就业支出：</w:t>
      </w:r>
      <w:r>
        <w:rPr>
          <w:rFonts w:ascii="仿宋" w:eastAsia="仿宋" w:hAnsi="仿宋" w:cs="仿宋" w:hint="eastAsia"/>
          <w:sz w:val="30"/>
          <w:szCs w:val="30"/>
        </w:rPr>
        <w:t xml:space="preserve">反映城管局用于未归口管理的行政事业单位离退休经费开支，机关事业单位实施养老保险制度由单位缴纳的基本养老保险费支出。 </w:t>
      </w:r>
    </w:p>
    <w:p w:rsidR="00976A7D"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color w:val="333333"/>
          <w:sz w:val="21"/>
          <w:szCs w:val="21"/>
        </w:rPr>
      </w:pPr>
      <w:r>
        <w:rPr>
          <w:rFonts w:ascii="仿宋" w:eastAsia="仿宋" w:hAnsi="仿宋" w:cs="仿宋" w:hint="eastAsia"/>
          <w:color w:val="000000"/>
          <w:sz w:val="30"/>
          <w:szCs w:val="30"/>
          <w:shd w:val="clear" w:color="auto" w:fill="FFFFFF"/>
        </w:rPr>
        <w:t>（三）卫生和健康支出：指城管局用于缴交职工基本医疗保险的补助支出。</w:t>
      </w:r>
    </w:p>
    <w:p w:rsidR="00976A7D"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color w:val="333333"/>
          <w:sz w:val="21"/>
          <w:szCs w:val="21"/>
        </w:rPr>
      </w:pPr>
      <w:r>
        <w:rPr>
          <w:rFonts w:ascii="仿宋" w:eastAsia="仿宋" w:hAnsi="仿宋" w:cs="仿宋" w:hint="eastAsia"/>
          <w:color w:val="000000"/>
          <w:sz w:val="30"/>
          <w:szCs w:val="30"/>
          <w:shd w:val="clear" w:color="auto" w:fill="FFFFFF"/>
        </w:rPr>
        <w:t>（四）住房保障支出：指城管局及所属单位按照国家政策规定，对无房和住房未达标职工发放的住房货币化改革补贴资金。</w:t>
      </w:r>
    </w:p>
    <w:p w:rsidR="00976A7D"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b/>
          <w:bCs/>
          <w:color w:val="333333"/>
          <w:sz w:val="21"/>
          <w:szCs w:val="21"/>
        </w:rPr>
      </w:pPr>
      <w:r>
        <w:rPr>
          <w:rFonts w:ascii="仿宋" w:eastAsia="仿宋" w:hAnsi="仿宋" w:cs="仿宋"/>
          <w:b/>
          <w:bCs/>
          <w:color w:val="000000"/>
          <w:sz w:val="30"/>
          <w:szCs w:val="30"/>
          <w:shd w:val="clear" w:color="auto" w:fill="FFFFFF"/>
        </w:rPr>
        <w:t>三、“三公”经费</w:t>
      </w:r>
    </w:p>
    <w:p w:rsidR="00976A7D"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color w:val="333333"/>
          <w:sz w:val="21"/>
          <w:szCs w:val="21"/>
        </w:rPr>
      </w:pPr>
      <w:r>
        <w:rPr>
          <w:rFonts w:ascii="仿宋" w:eastAsia="仿宋" w:hAnsi="仿宋" w:cs="仿宋" w:hint="eastAsia"/>
          <w:color w:val="000000"/>
          <w:sz w:val="30"/>
          <w:szCs w:val="30"/>
          <w:shd w:val="clear" w:color="auto" w:fill="FFFFFF"/>
        </w:rPr>
        <w:t>纳入区级财政预决算管理的“三公”经费，是指城管局用于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w:t>
      </w:r>
      <w:r>
        <w:rPr>
          <w:rFonts w:ascii="仿宋" w:eastAsia="仿宋" w:hAnsi="仿宋" w:cs="仿宋" w:hint="eastAsia"/>
          <w:color w:val="000000"/>
          <w:sz w:val="30"/>
          <w:szCs w:val="30"/>
          <w:shd w:val="clear" w:color="auto" w:fill="FFFFFF"/>
        </w:rPr>
        <w:lastRenderedPageBreak/>
        <w:t>费用等支出；公务接待费反映单位按规定开支的各类公务接待（含外宾接待）支出。</w:t>
      </w:r>
    </w:p>
    <w:p w:rsidR="00976A7D"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color w:val="333333"/>
          <w:sz w:val="21"/>
          <w:szCs w:val="21"/>
        </w:rPr>
      </w:pPr>
      <w:r>
        <w:rPr>
          <w:rFonts w:ascii="仿宋" w:eastAsia="仿宋" w:hAnsi="仿宋" w:cs="仿宋"/>
          <w:b/>
          <w:bCs/>
          <w:color w:val="000000"/>
          <w:sz w:val="30"/>
          <w:szCs w:val="30"/>
          <w:shd w:val="clear" w:color="auto" w:fill="FFFFFF"/>
        </w:rPr>
        <w:t>四、机关运行经费</w:t>
      </w:r>
    </w:p>
    <w:p w:rsidR="00976A7D"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color w:val="333333"/>
          <w:sz w:val="21"/>
          <w:szCs w:val="21"/>
        </w:rPr>
      </w:pPr>
      <w:r>
        <w:rPr>
          <w:rFonts w:ascii="仿宋" w:eastAsia="仿宋" w:hAnsi="仿宋" w:cs="仿宋" w:hint="eastAsia"/>
          <w:color w:val="000000"/>
          <w:sz w:val="30"/>
          <w:szCs w:val="30"/>
          <w:shd w:val="clear" w:color="auto" w:fill="FFFFFF"/>
        </w:rPr>
        <w:t>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76A7D" w:rsidRDefault="00976A7D"/>
    <w:p w:rsidR="00CC0705" w:rsidRDefault="00CC0705">
      <w:pPr>
        <w:spacing w:line="460" w:lineRule="exact"/>
        <w:rPr>
          <w:rFonts w:ascii="仿宋_GB2312" w:eastAsia="仿宋_GB2312"/>
          <w:sz w:val="32"/>
          <w:szCs w:val="32"/>
        </w:rPr>
      </w:pPr>
    </w:p>
    <w:sectPr w:rsidR="00CC0705" w:rsidSect="00976A7D">
      <w:headerReference w:type="default" r:id="rId17"/>
      <w:footerReference w:type="even" r:id="rId18"/>
      <w:footerReference w:type="default" r:id="rId19"/>
      <w:pgSz w:w="11907" w:h="16840"/>
      <w:pgMar w:top="1418" w:right="1531" w:bottom="1418" w:left="153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C66" w:rsidRDefault="00823C66">
      <w:r>
        <w:separator/>
      </w:r>
    </w:p>
  </w:endnote>
  <w:endnote w:type="continuationSeparator" w:id="0">
    <w:p w:rsidR="00823C66" w:rsidRDefault="00823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小标宋简体">
    <w:altName w:val="黑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7D" w:rsidRDefault="00976A7D">
    <w:pPr>
      <w:pStyle w:val="a7"/>
      <w:framePr w:wrap="around" w:vAnchor="text" w:hAnchor="margin" w:xAlign="right" w:y="1"/>
      <w:rPr>
        <w:rStyle w:val="aa"/>
      </w:rPr>
    </w:pPr>
    <w:r>
      <w:fldChar w:fldCharType="begin"/>
    </w:r>
    <w:r w:rsidR="00CC0705">
      <w:rPr>
        <w:rStyle w:val="aa"/>
      </w:rPr>
      <w:instrText xml:space="preserve">PAGE  </w:instrText>
    </w:r>
    <w:r>
      <w:fldChar w:fldCharType="end"/>
    </w:r>
  </w:p>
  <w:p w:rsidR="00976A7D" w:rsidRDefault="00976A7D">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7D" w:rsidRDefault="00976A7D">
    <w:pPr>
      <w:pStyle w:val="a7"/>
      <w:framePr w:wrap="around" w:vAnchor="text" w:hAnchor="margin" w:xAlign="right" w:y="1"/>
      <w:rPr>
        <w:rStyle w:val="aa"/>
        <w:rFonts w:ascii="仿宋_GB2312" w:eastAsia="仿宋_GB2312"/>
        <w:sz w:val="28"/>
        <w:szCs w:val="28"/>
      </w:rPr>
    </w:pPr>
    <w:r>
      <w:rPr>
        <w:rFonts w:ascii="仿宋_GB2312" w:eastAsia="仿宋_GB2312" w:hint="eastAsia"/>
        <w:sz w:val="28"/>
        <w:szCs w:val="28"/>
      </w:rPr>
      <w:fldChar w:fldCharType="begin"/>
    </w:r>
    <w:r w:rsidR="00CC0705">
      <w:rPr>
        <w:rStyle w:val="aa"/>
        <w:rFonts w:ascii="仿宋_GB2312" w:eastAsia="仿宋_GB2312" w:hint="eastAsia"/>
        <w:sz w:val="28"/>
        <w:szCs w:val="28"/>
      </w:rPr>
      <w:instrText xml:space="preserve">PAGE  </w:instrText>
    </w:r>
    <w:r>
      <w:rPr>
        <w:rFonts w:ascii="仿宋_GB2312" w:eastAsia="仿宋_GB2312" w:hint="eastAsia"/>
        <w:sz w:val="28"/>
        <w:szCs w:val="28"/>
      </w:rPr>
      <w:fldChar w:fldCharType="separate"/>
    </w:r>
    <w:r w:rsidR="004628DB">
      <w:rPr>
        <w:rStyle w:val="aa"/>
        <w:rFonts w:ascii="仿宋_GB2312" w:eastAsia="仿宋_GB2312"/>
        <w:noProof/>
        <w:sz w:val="28"/>
        <w:szCs w:val="28"/>
      </w:rPr>
      <w:t>- 4 -</w:t>
    </w:r>
    <w:r>
      <w:rPr>
        <w:rFonts w:ascii="仿宋_GB2312" w:eastAsia="仿宋_GB2312" w:hint="eastAsia"/>
        <w:sz w:val="28"/>
        <w:szCs w:val="28"/>
      </w:rPr>
      <w:fldChar w:fldCharType="end"/>
    </w:r>
  </w:p>
  <w:p w:rsidR="00976A7D" w:rsidRDefault="00976A7D">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C66" w:rsidRDefault="00823C66">
      <w:r>
        <w:separator/>
      </w:r>
    </w:p>
  </w:footnote>
  <w:footnote w:type="continuationSeparator" w:id="0">
    <w:p w:rsidR="00823C66" w:rsidRDefault="00823C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7D" w:rsidRDefault="00976A7D">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41F0A5"/>
    <w:multiLevelType w:val="singleLevel"/>
    <w:tmpl w:val="C141F0A5"/>
    <w:lvl w:ilvl="0">
      <w:start w:val="1"/>
      <w:numFmt w:val="chineseCounting"/>
      <w:suff w:val="nothing"/>
      <w:lvlText w:val="（%1）"/>
      <w:lvlJc w:val="left"/>
      <w:rPr>
        <w:rFonts w:hint="eastAsia"/>
      </w:rPr>
    </w:lvl>
  </w:abstractNum>
  <w:abstractNum w:abstractNumId="1">
    <w:nsid w:val="CEF1AB64"/>
    <w:multiLevelType w:val="singleLevel"/>
    <w:tmpl w:val="CEF1AB64"/>
    <w:lvl w:ilvl="0">
      <w:start w:val="8"/>
      <w:numFmt w:val="chineseCounting"/>
      <w:suff w:val="nothing"/>
      <w:lvlText w:val="%1、"/>
      <w:lvlJc w:val="left"/>
      <w:pPr>
        <w:ind w:left="1280" w:firstLine="0"/>
      </w:pPr>
    </w:lvl>
  </w:abstractNum>
  <w:num w:numId="1">
    <w:abstractNumId w:val="1"/>
    <w:lvlOverride w:ilvl="0">
      <w:startOverride w:val="8"/>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stylePaneFormatFilter w:val="3F01"/>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7EAC"/>
    <w:rsid w:val="AE7C623C"/>
    <w:rsid w:val="C7FA3F3D"/>
    <w:rsid w:val="D7D3FE98"/>
    <w:rsid w:val="DDEBA0DA"/>
    <w:rsid w:val="ED65B5FE"/>
    <w:rsid w:val="F1F79782"/>
    <w:rsid w:val="FB8DBC17"/>
    <w:rsid w:val="FCDCCEC6"/>
    <w:rsid w:val="FDFBE386"/>
    <w:rsid w:val="FE7B1DFC"/>
    <w:rsid w:val="FF7FC423"/>
    <w:rsid w:val="FFC3F937"/>
    <w:rsid w:val="FFFB7DC8"/>
    <w:rsid w:val="00000E10"/>
    <w:rsid w:val="00004518"/>
    <w:rsid w:val="00007088"/>
    <w:rsid w:val="00007516"/>
    <w:rsid w:val="00007D12"/>
    <w:rsid w:val="00011A49"/>
    <w:rsid w:val="00016E7F"/>
    <w:rsid w:val="00025DA8"/>
    <w:rsid w:val="00031D05"/>
    <w:rsid w:val="00050FE6"/>
    <w:rsid w:val="00051BF2"/>
    <w:rsid w:val="0005218A"/>
    <w:rsid w:val="00054E93"/>
    <w:rsid w:val="0005683E"/>
    <w:rsid w:val="000622EA"/>
    <w:rsid w:val="0007603B"/>
    <w:rsid w:val="00084DD2"/>
    <w:rsid w:val="0009174D"/>
    <w:rsid w:val="00093757"/>
    <w:rsid w:val="000A6CB8"/>
    <w:rsid w:val="000A71D9"/>
    <w:rsid w:val="000B3BE0"/>
    <w:rsid w:val="000B73EB"/>
    <w:rsid w:val="000C7D68"/>
    <w:rsid w:val="000D0DFB"/>
    <w:rsid w:val="000D35A0"/>
    <w:rsid w:val="000E4058"/>
    <w:rsid w:val="000E6D74"/>
    <w:rsid w:val="000F2DB4"/>
    <w:rsid w:val="001005E0"/>
    <w:rsid w:val="0010178F"/>
    <w:rsid w:val="00102535"/>
    <w:rsid w:val="001041CE"/>
    <w:rsid w:val="00104459"/>
    <w:rsid w:val="00107E84"/>
    <w:rsid w:val="00115A4C"/>
    <w:rsid w:val="00115EC8"/>
    <w:rsid w:val="00131211"/>
    <w:rsid w:val="001363CE"/>
    <w:rsid w:val="00137F40"/>
    <w:rsid w:val="001412E4"/>
    <w:rsid w:val="00141DA5"/>
    <w:rsid w:val="00147D52"/>
    <w:rsid w:val="001507C1"/>
    <w:rsid w:val="00151BA0"/>
    <w:rsid w:val="0015303D"/>
    <w:rsid w:val="00160341"/>
    <w:rsid w:val="0016381A"/>
    <w:rsid w:val="00180E9A"/>
    <w:rsid w:val="00184F52"/>
    <w:rsid w:val="00191E6D"/>
    <w:rsid w:val="00196617"/>
    <w:rsid w:val="001A22CC"/>
    <w:rsid w:val="001A594A"/>
    <w:rsid w:val="001A7EAC"/>
    <w:rsid w:val="001B1454"/>
    <w:rsid w:val="001B24D2"/>
    <w:rsid w:val="001B595B"/>
    <w:rsid w:val="001C777F"/>
    <w:rsid w:val="001E0816"/>
    <w:rsid w:val="001E1967"/>
    <w:rsid w:val="001E37A1"/>
    <w:rsid w:val="00203BE1"/>
    <w:rsid w:val="00203F61"/>
    <w:rsid w:val="00205683"/>
    <w:rsid w:val="00207408"/>
    <w:rsid w:val="002077AE"/>
    <w:rsid w:val="00211DDD"/>
    <w:rsid w:val="00213022"/>
    <w:rsid w:val="00240180"/>
    <w:rsid w:val="002408DA"/>
    <w:rsid w:val="0024379A"/>
    <w:rsid w:val="0024551A"/>
    <w:rsid w:val="00250703"/>
    <w:rsid w:val="0025335F"/>
    <w:rsid w:val="00254AAD"/>
    <w:rsid w:val="002652C8"/>
    <w:rsid w:val="002701F8"/>
    <w:rsid w:val="0027363E"/>
    <w:rsid w:val="00273F51"/>
    <w:rsid w:val="00280CC3"/>
    <w:rsid w:val="0028567D"/>
    <w:rsid w:val="0028701D"/>
    <w:rsid w:val="00290E04"/>
    <w:rsid w:val="002912CB"/>
    <w:rsid w:val="002A0F36"/>
    <w:rsid w:val="002A1071"/>
    <w:rsid w:val="002A1DEF"/>
    <w:rsid w:val="002A38DE"/>
    <w:rsid w:val="002A3AB3"/>
    <w:rsid w:val="002C7C80"/>
    <w:rsid w:val="002D38AD"/>
    <w:rsid w:val="002E13B7"/>
    <w:rsid w:val="002F46E5"/>
    <w:rsid w:val="002F4C58"/>
    <w:rsid w:val="003016D2"/>
    <w:rsid w:val="003051A7"/>
    <w:rsid w:val="00305D20"/>
    <w:rsid w:val="00317A8D"/>
    <w:rsid w:val="00317E9D"/>
    <w:rsid w:val="00323A42"/>
    <w:rsid w:val="00323CC0"/>
    <w:rsid w:val="00324DEE"/>
    <w:rsid w:val="003365E9"/>
    <w:rsid w:val="0034550F"/>
    <w:rsid w:val="00346439"/>
    <w:rsid w:val="00347A68"/>
    <w:rsid w:val="00347D41"/>
    <w:rsid w:val="00354AF0"/>
    <w:rsid w:val="00365C43"/>
    <w:rsid w:val="00382F71"/>
    <w:rsid w:val="003A3C4A"/>
    <w:rsid w:val="003A425A"/>
    <w:rsid w:val="003A5503"/>
    <w:rsid w:val="003B02A2"/>
    <w:rsid w:val="003B0C52"/>
    <w:rsid w:val="003B22C4"/>
    <w:rsid w:val="003C00F9"/>
    <w:rsid w:val="003C05F0"/>
    <w:rsid w:val="003C1E68"/>
    <w:rsid w:val="003C3016"/>
    <w:rsid w:val="003C628E"/>
    <w:rsid w:val="003D4648"/>
    <w:rsid w:val="003E02F0"/>
    <w:rsid w:val="003E623E"/>
    <w:rsid w:val="003E6F72"/>
    <w:rsid w:val="003F4409"/>
    <w:rsid w:val="003F6C00"/>
    <w:rsid w:val="004105B4"/>
    <w:rsid w:val="00413A34"/>
    <w:rsid w:val="004146A4"/>
    <w:rsid w:val="00433D3D"/>
    <w:rsid w:val="004405C4"/>
    <w:rsid w:val="004628DB"/>
    <w:rsid w:val="00477B9C"/>
    <w:rsid w:val="0048130B"/>
    <w:rsid w:val="00485C47"/>
    <w:rsid w:val="00494106"/>
    <w:rsid w:val="0049527C"/>
    <w:rsid w:val="004A0004"/>
    <w:rsid w:val="004A5AF8"/>
    <w:rsid w:val="004B4C7E"/>
    <w:rsid w:val="004C0B17"/>
    <w:rsid w:val="004C1249"/>
    <w:rsid w:val="004C2D65"/>
    <w:rsid w:val="004D0B82"/>
    <w:rsid w:val="004D172A"/>
    <w:rsid w:val="004D3C75"/>
    <w:rsid w:val="004D3F77"/>
    <w:rsid w:val="004D44EE"/>
    <w:rsid w:val="004E4457"/>
    <w:rsid w:val="004E7002"/>
    <w:rsid w:val="004F1C94"/>
    <w:rsid w:val="004F3FBF"/>
    <w:rsid w:val="004F5AD1"/>
    <w:rsid w:val="004F6251"/>
    <w:rsid w:val="004F6BE3"/>
    <w:rsid w:val="00501A25"/>
    <w:rsid w:val="00501D53"/>
    <w:rsid w:val="00504484"/>
    <w:rsid w:val="005151E0"/>
    <w:rsid w:val="00516C9A"/>
    <w:rsid w:val="00520F79"/>
    <w:rsid w:val="00523030"/>
    <w:rsid w:val="00525386"/>
    <w:rsid w:val="005259C7"/>
    <w:rsid w:val="00526106"/>
    <w:rsid w:val="00526A50"/>
    <w:rsid w:val="005305E2"/>
    <w:rsid w:val="00560FDF"/>
    <w:rsid w:val="00567A15"/>
    <w:rsid w:val="00570AA8"/>
    <w:rsid w:val="00571685"/>
    <w:rsid w:val="0058073B"/>
    <w:rsid w:val="005822B0"/>
    <w:rsid w:val="00586D88"/>
    <w:rsid w:val="00591E59"/>
    <w:rsid w:val="005B78ED"/>
    <w:rsid w:val="005C2E82"/>
    <w:rsid w:val="005D65DD"/>
    <w:rsid w:val="005E3C85"/>
    <w:rsid w:val="005F10AD"/>
    <w:rsid w:val="006058EA"/>
    <w:rsid w:val="006118CD"/>
    <w:rsid w:val="006349B8"/>
    <w:rsid w:val="00636CDD"/>
    <w:rsid w:val="00640B27"/>
    <w:rsid w:val="006454E5"/>
    <w:rsid w:val="006477A0"/>
    <w:rsid w:val="0065342D"/>
    <w:rsid w:val="00662717"/>
    <w:rsid w:val="00670CD5"/>
    <w:rsid w:val="00682B85"/>
    <w:rsid w:val="0068470A"/>
    <w:rsid w:val="00684AA5"/>
    <w:rsid w:val="006857E0"/>
    <w:rsid w:val="006B5468"/>
    <w:rsid w:val="006D15D4"/>
    <w:rsid w:val="006D1D6F"/>
    <w:rsid w:val="006D4828"/>
    <w:rsid w:val="006D618E"/>
    <w:rsid w:val="006D7546"/>
    <w:rsid w:val="006F683A"/>
    <w:rsid w:val="006F6D80"/>
    <w:rsid w:val="007018D1"/>
    <w:rsid w:val="00704D5E"/>
    <w:rsid w:val="00707433"/>
    <w:rsid w:val="00721FB3"/>
    <w:rsid w:val="00722221"/>
    <w:rsid w:val="00724280"/>
    <w:rsid w:val="00732CF0"/>
    <w:rsid w:val="007333B9"/>
    <w:rsid w:val="0073359F"/>
    <w:rsid w:val="00737262"/>
    <w:rsid w:val="0074218C"/>
    <w:rsid w:val="00746204"/>
    <w:rsid w:val="00746FEB"/>
    <w:rsid w:val="007804F9"/>
    <w:rsid w:val="00780A69"/>
    <w:rsid w:val="007833AE"/>
    <w:rsid w:val="007857EC"/>
    <w:rsid w:val="00791AB5"/>
    <w:rsid w:val="00791CAE"/>
    <w:rsid w:val="007969E0"/>
    <w:rsid w:val="00796F36"/>
    <w:rsid w:val="007A4724"/>
    <w:rsid w:val="007A5E85"/>
    <w:rsid w:val="007A6E12"/>
    <w:rsid w:val="007A710D"/>
    <w:rsid w:val="007B20AF"/>
    <w:rsid w:val="007B2D75"/>
    <w:rsid w:val="007D1237"/>
    <w:rsid w:val="007D4422"/>
    <w:rsid w:val="007E07B9"/>
    <w:rsid w:val="007E0BF2"/>
    <w:rsid w:val="007E5780"/>
    <w:rsid w:val="007E7E12"/>
    <w:rsid w:val="007F3B67"/>
    <w:rsid w:val="007F3DC0"/>
    <w:rsid w:val="007F41FF"/>
    <w:rsid w:val="00801EAA"/>
    <w:rsid w:val="00802C7E"/>
    <w:rsid w:val="0081033B"/>
    <w:rsid w:val="00810A26"/>
    <w:rsid w:val="00816D7B"/>
    <w:rsid w:val="00820F57"/>
    <w:rsid w:val="00823C66"/>
    <w:rsid w:val="0084192B"/>
    <w:rsid w:val="00842B2E"/>
    <w:rsid w:val="00846E98"/>
    <w:rsid w:val="00851181"/>
    <w:rsid w:val="008546E6"/>
    <w:rsid w:val="00857B27"/>
    <w:rsid w:val="00857BA9"/>
    <w:rsid w:val="00857CC9"/>
    <w:rsid w:val="0086020E"/>
    <w:rsid w:val="0086380E"/>
    <w:rsid w:val="0086419E"/>
    <w:rsid w:val="0087268F"/>
    <w:rsid w:val="008730A2"/>
    <w:rsid w:val="00884DE3"/>
    <w:rsid w:val="008A46DE"/>
    <w:rsid w:val="008B45BC"/>
    <w:rsid w:val="008C07DF"/>
    <w:rsid w:val="008C29B5"/>
    <w:rsid w:val="008D1225"/>
    <w:rsid w:val="008D1DEC"/>
    <w:rsid w:val="008D5A24"/>
    <w:rsid w:val="008D76C3"/>
    <w:rsid w:val="008D78CC"/>
    <w:rsid w:val="008E29D0"/>
    <w:rsid w:val="008E5188"/>
    <w:rsid w:val="008E6887"/>
    <w:rsid w:val="008E7649"/>
    <w:rsid w:val="008F1A15"/>
    <w:rsid w:val="008F4EEA"/>
    <w:rsid w:val="00900271"/>
    <w:rsid w:val="00903653"/>
    <w:rsid w:val="00906A5B"/>
    <w:rsid w:val="00906AA9"/>
    <w:rsid w:val="00910DCA"/>
    <w:rsid w:val="009127C2"/>
    <w:rsid w:val="009231FC"/>
    <w:rsid w:val="00923B73"/>
    <w:rsid w:val="00924417"/>
    <w:rsid w:val="009403CA"/>
    <w:rsid w:val="0095246F"/>
    <w:rsid w:val="00954155"/>
    <w:rsid w:val="00957931"/>
    <w:rsid w:val="00960C69"/>
    <w:rsid w:val="009644C1"/>
    <w:rsid w:val="00971058"/>
    <w:rsid w:val="009748AF"/>
    <w:rsid w:val="00976A7D"/>
    <w:rsid w:val="009826F8"/>
    <w:rsid w:val="00995CFF"/>
    <w:rsid w:val="009A348B"/>
    <w:rsid w:val="009A7942"/>
    <w:rsid w:val="009C3B6C"/>
    <w:rsid w:val="009C4894"/>
    <w:rsid w:val="009C53B4"/>
    <w:rsid w:val="009E4ADF"/>
    <w:rsid w:val="009F1697"/>
    <w:rsid w:val="009F3488"/>
    <w:rsid w:val="00A00B99"/>
    <w:rsid w:val="00A14370"/>
    <w:rsid w:val="00A21C7C"/>
    <w:rsid w:val="00A34841"/>
    <w:rsid w:val="00A355AE"/>
    <w:rsid w:val="00A36B1C"/>
    <w:rsid w:val="00A374B7"/>
    <w:rsid w:val="00A40AB4"/>
    <w:rsid w:val="00A52725"/>
    <w:rsid w:val="00A546FF"/>
    <w:rsid w:val="00A54729"/>
    <w:rsid w:val="00A57532"/>
    <w:rsid w:val="00A65B5A"/>
    <w:rsid w:val="00A7065F"/>
    <w:rsid w:val="00A70C0D"/>
    <w:rsid w:val="00A7438A"/>
    <w:rsid w:val="00A74828"/>
    <w:rsid w:val="00A87F25"/>
    <w:rsid w:val="00A9172B"/>
    <w:rsid w:val="00AA0137"/>
    <w:rsid w:val="00AC150E"/>
    <w:rsid w:val="00AF4DDC"/>
    <w:rsid w:val="00AF6FE4"/>
    <w:rsid w:val="00AF79B5"/>
    <w:rsid w:val="00B04825"/>
    <w:rsid w:val="00B06350"/>
    <w:rsid w:val="00B15AE3"/>
    <w:rsid w:val="00B2204B"/>
    <w:rsid w:val="00B23988"/>
    <w:rsid w:val="00B32C97"/>
    <w:rsid w:val="00B40E42"/>
    <w:rsid w:val="00B514B8"/>
    <w:rsid w:val="00B55799"/>
    <w:rsid w:val="00B55CCF"/>
    <w:rsid w:val="00B60CBE"/>
    <w:rsid w:val="00B60DAD"/>
    <w:rsid w:val="00B672D2"/>
    <w:rsid w:val="00B67759"/>
    <w:rsid w:val="00B71B86"/>
    <w:rsid w:val="00B7763A"/>
    <w:rsid w:val="00B85168"/>
    <w:rsid w:val="00B914AD"/>
    <w:rsid w:val="00B92C0A"/>
    <w:rsid w:val="00B95B40"/>
    <w:rsid w:val="00BA5183"/>
    <w:rsid w:val="00BB18C0"/>
    <w:rsid w:val="00BB3CCE"/>
    <w:rsid w:val="00BB3E07"/>
    <w:rsid w:val="00BC07A8"/>
    <w:rsid w:val="00BD5701"/>
    <w:rsid w:val="00BD5771"/>
    <w:rsid w:val="00C029A8"/>
    <w:rsid w:val="00C10115"/>
    <w:rsid w:val="00C13D9C"/>
    <w:rsid w:val="00C15310"/>
    <w:rsid w:val="00C264C5"/>
    <w:rsid w:val="00C30BFF"/>
    <w:rsid w:val="00C3198C"/>
    <w:rsid w:val="00C33562"/>
    <w:rsid w:val="00C415F1"/>
    <w:rsid w:val="00C4576A"/>
    <w:rsid w:val="00C47CD3"/>
    <w:rsid w:val="00C53768"/>
    <w:rsid w:val="00C569F6"/>
    <w:rsid w:val="00C57E3B"/>
    <w:rsid w:val="00C62821"/>
    <w:rsid w:val="00C62A85"/>
    <w:rsid w:val="00C74366"/>
    <w:rsid w:val="00C86497"/>
    <w:rsid w:val="00C92651"/>
    <w:rsid w:val="00C95DA8"/>
    <w:rsid w:val="00CA709F"/>
    <w:rsid w:val="00CB3618"/>
    <w:rsid w:val="00CB442B"/>
    <w:rsid w:val="00CC0705"/>
    <w:rsid w:val="00CC5165"/>
    <w:rsid w:val="00CD2CFE"/>
    <w:rsid w:val="00CD46CC"/>
    <w:rsid w:val="00D12247"/>
    <w:rsid w:val="00D12E61"/>
    <w:rsid w:val="00D17814"/>
    <w:rsid w:val="00D217C9"/>
    <w:rsid w:val="00D22D5A"/>
    <w:rsid w:val="00D26861"/>
    <w:rsid w:val="00D3363A"/>
    <w:rsid w:val="00D5034D"/>
    <w:rsid w:val="00D60C0C"/>
    <w:rsid w:val="00D614F0"/>
    <w:rsid w:val="00D67DCC"/>
    <w:rsid w:val="00D72DC4"/>
    <w:rsid w:val="00D9164F"/>
    <w:rsid w:val="00D92691"/>
    <w:rsid w:val="00D93A38"/>
    <w:rsid w:val="00D963BB"/>
    <w:rsid w:val="00DA0398"/>
    <w:rsid w:val="00DB007F"/>
    <w:rsid w:val="00DB1896"/>
    <w:rsid w:val="00DB4A46"/>
    <w:rsid w:val="00DC1183"/>
    <w:rsid w:val="00DE1BF4"/>
    <w:rsid w:val="00DE238B"/>
    <w:rsid w:val="00DE251C"/>
    <w:rsid w:val="00E03306"/>
    <w:rsid w:val="00E05E08"/>
    <w:rsid w:val="00E13276"/>
    <w:rsid w:val="00E20023"/>
    <w:rsid w:val="00E22816"/>
    <w:rsid w:val="00E25C28"/>
    <w:rsid w:val="00E279D0"/>
    <w:rsid w:val="00E315FF"/>
    <w:rsid w:val="00E3621A"/>
    <w:rsid w:val="00E40B5F"/>
    <w:rsid w:val="00E4315F"/>
    <w:rsid w:val="00E44649"/>
    <w:rsid w:val="00E52AC9"/>
    <w:rsid w:val="00E53191"/>
    <w:rsid w:val="00E53FAE"/>
    <w:rsid w:val="00E7008B"/>
    <w:rsid w:val="00E8250F"/>
    <w:rsid w:val="00E84500"/>
    <w:rsid w:val="00EA3263"/>
    <w:rsid w:val="00EC126B"/>
    <w:rsid w:val="00EC7AA5"/>
    <w:rsid w:val="00ED07E3"/>
    <w:rsid w:val="00EE48D9"/>
    <w:rsid w:val="00EE6BCC"/>
    <w:rsid w:val="00EE7E65"/>
    <w:rsid w:val="00EF0D23"/>
    <w:rsid w:val="00EF2DB2"/>
    <w:rsid w:val="00F013B1"/>
    <w:rsid w:val="00F3077B"/>
    <w:rsid w:val="00F316E5"/>
    <w:rsid w:val="00F4271F"/>
    <w:rsid w:val="00F44E2F"/>
    <w:rsid w:val="00F44EEE"/>
    <w:rsid w:val="00F46980"/>
    <w:rsid w:val="00F54066"/>
    <w:rsid w:val="00F61CD2"/>
    <w:rsid w:val="00F65006"/>
    <w:rsid w:val="00F7023A"/>
    <w:rsid w:val="00F836DF"/>
    <w:rsid w:val="00F85316"/>
    <w:rsid w:val="00F90721"/>
    <w:rsid w:val="00F90F8B"/>
    <w:rsid w:val="00F94FA6"/>
    <w:rsid w:val="00FB1AF0"/>
    <w:rsid w:val="00FC5824"/>
    <w:rsid w:val="00FD32B6"/>
    <w:rsid w:val="00FD3A5E"/>
    <w:rsid w:val="00FD7604"/>
    <w:rsid w:val="00FD7E9B"/>
    <w:rsid w:val="00FE392C"/>
    <w:rsid w:val="00FE7082"/>
    <w:rsid w:val="00FF0B43"/>
    <w:rsid w:val="00FF36BA"/>
    <w:rsid w:val="00FF58F5"/>
    <w:rsid w:val="04781904"/>
    <w:rsid w:val="09F10343"/>
    <w:rsid w:val="0C5F08FD"/>
    <w:rsid w:val="111132ED"/>
    <w:rsid w:val="11D14DA7"/>
    <w:rsid w:val="11DC40F5"/>
    <w:rsid w:val="126064EE"/>
    <w:rsid w:val="12953FE6"/>
    <w:rsid w:val="13602A2D"/>
    <w:rsid w:val="15F45C99"/>
    <w:rsid w:val="16714822"/>
    <w:rsid w:val="1801799E"/>
    <w:rsid w:val="1D004E94"/>
    <w:rsid w:val="1E3D53D4"/>
    <w:rsid w:val="21EB567E"/>
    <w:rsid w:val="265861DF"/>
    <w:rsid w:val="2B2109C8"/>
    <w:rsid w:val="2B9E40EA"/>
    <w:rsid w:val="30575271"/>
    <w:rsid w:val="32076D76"/>
    <w:rsid w:val="33421C67"/>
    <w:rsid w:val="334A0428"/>
    <w:rsid w:val="353D6247"/>
    <w:rsid w:val="35F725CF"/>
    <w:rsid w:val="36030C3A"/>
    <w:rsid w:val="3776CC9C"/>
    <w:rsid w:val="383115DF"/>
    <w:rsid w:val="39407527"/>
    <w:rsid w:val="3A062317"/>
    <w:rsid w:val="3DA7783B"/>
    <w:rsid w:val="3FBD1216"/>
    <w:rsid w:val="3FBFCC36"/>
    <w:rsid w:val="3FEF14EE"/>
    <w:rsid w:val="400D33C7"/>
    <w:rsid w:val="401E03C4"/>
    <w:rsid w:val="4385364D"/>
    <w:rsid w:val="48A739C0"/>
    <w:rsid w:val="48CC7E7D"/>
    <w:rsid w:val="4A00120D"/>
    <w:rsid w:val="4F8B6B6D"/>
    <w:rsid w:val="519F77C6"/>
    <w:rsid w:val="573D7C68"/>
    <w:rsid w:val="583971FC"/>
    <w:rsid w:val="5BDF97E9"/>
    <w:rsid w:val="5DAF3E57"/>
    <w:rsid w:val="5F705A00"/>
    <w:rsid w:val="5FFF05EA"/>
    <w:rsid w:val="6DD5B1FE"/>
    <w:rsid w:val="6FFDDD7A"/>
    <w:rsid w:val="6FFF6976"/>
    <w:rsid w:val="727429F2"/>
    <w:rsid w:val="73CC63E4"/>
    <w:rsid w:val="73E85259"/>
    <w:rsid w:val="7766DB4B"/>
    <w:rsid w:val="77BDC770"/>
    <w:rsid w:val="79894690"/>
    <w:rsid w:val="79FE3B85"/>
    <w:rsid w:val="7B79F049"/>
    <w:rsid w:val="7BEBC447"/>
    <w:rsid w:val="7C030DB1"/>
    <w:rsid w:val="7C4863C8"/>
    <w:rsid w:val="7CBBB4D4"/>
    <w:rsid w:val="7D5C7A98"/>
    <w:rsid w:val="7DFFEA5F"/>
    <w:rsid w:val="7F7AB5AF"/>
    <w:rsid w:val="7FAE0F8A"/>
    <w:rsid w:val="7FE78901"/>
    <w:rsid w:val="7FF74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6A7D"/>
    <w:pPr>
      <w:widowControl w:val="0"/>
      <w:jc w:val="both"/>
    </w:pPr>
    <w:rPr>
      <w:kern w:val="2"/>
      <w:sz w:val="21"/>
      <w:szCs w:val="24"/>
    </w:rPr>
  </w:style>
  <w:style w:type="paragraph" w:styleId="2">
    <w:name w:val="heading 2"/>
    <w:basedOn w:val="a"/>
    <w:next w:val="a"/>
    <w:qFormat/>
    <w:rsid w:val="00976A7D"/>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976A7D"/>
    <w:pPr>
      <w:widowControl/>
      <w:spacing w:before="100" w:beforeAutospacing="1" w:after="100" w:afterAutospacing="1"/>
      <w:jc w:val="left"/>
    </w:pPr>
    <w:rPr>
      <w:rFonts w:ascii="宋体" w:hAnsi="宋体" w:cs="宋体"/>
      <w:kern w:val="0"/>
      <w:sz w:val="24"/>
    </w:rPr>
  </w:style>
  <w:style w:type="paragraph" w:styleId="a4">
    <w:name w:val="Body Text Indent"/>
    <w:basedOn w:val="a"/>
    <w:rsid w:val="00976A7D"/>
    <w:pPr>
      <w:ind w:firstLineChars="250" w:firstLine="525"/>
    </w:pPr>
  </w:style>
  <w:style w:type="paragraph" w:styleId="a5">
    <w:name w:val="Date"/>
    <w:basedOn w:val="a"/>
    <w:next w:val="a"/>
    <w:rsid w:val="00976A7D"/>
    <w:pPr>
      <w:ind w:leftChars="2500" w:left="100"/>
    </w:pPr>
  </w:style>
  <w:style w:type="paragraph" w:styleId="a6">
    <w:name w:val="Balloon Text"/>
    <w:basedOn w:val="a"/>
    <w:semiHidden/>
    <w:rsid w:val="00976A7D"/>
    <w:rPr>
      <w:sz w:val="18"/>
      <w:szCs w:val="18"/>
    </w:rPr>
  </w:style>
  <w:style w:type="paragraph" w:styleId="a7">
    <w:name w:val="footer"/>
    <w:basedOn w:val="a"/>
    <w:rsid w:val="00976A7D"/>
    <w:pPr>
      <w:tabs>
        <w:tab w:val="center" w:pos="4153"/>
        <w:tab w:val="right" w:pos="8306"/>
      </w:tabs>
      <w:snapToGrid w:val="0"/>
      <w:jc w:val="left"/>
    </w:pPr>
    <w:rPr>
      <w:sz w:val="18"/>
      <w:szCs w:val="18"/>
    </w:rPr>
  </w:style>
  <w:style w:type="paragraph" w:styleId="a8">
    <w:name w:val="header"/>
    <w:basedOn w:val="a"/>
    <w:rsid w:val="00976A7D"/>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976A7D"/>
    <w:pPr>
      <w:spacing w:before="100" w:beforeAutospacing="1" w:after="100" w:afterAutospacing="1"/>
      <w:jc w:val="left"/>
    </w:pPr>
    <w:rPr>
      <w:kern w:val="0"/>
      <w:sz w:val="24"/>
    </w:rPr>
  </w:style>
  <w:style w:type="paragraph" w:customStyle="1" w:styleId="CharCharCharCharCharCharChar">
    <w:name w:val="Char Char Char Char Char Char Char"/>
    <w:basedOn w:val="a"/>
    <w:rsid w:val="00976A7D"/>
  </w:style>
  <w:style w:type="character" w:styleId="aa">
    <w:name w:val="page number"/>
    <w:basedOn w:val="a1"/>
    <w:rsid w:val="00976A7D"/>
  </w:style>
  <w:style w:type="character" w:styleId="ab">
    <w:name w:val="Hyperlink"/>
    <w:rsid w:val="00976A7D"/>
    <w:rPr>
      <w:color w:val="0000FF"/>
      <w:u w:val="single"/>
    </w:rPr>
  </w:style>
  <w:style w:type="paragraph" w:customStyle="1" w:styleId="p0">
    <w:name w:val="p0"/>
    <w:basedOn w:val="a"/>
    <w:rsid w:val="00976A7D"/>
    <w:pPr>
      <w:widowControl/>
    </w:pPr>
    <w:rPr>
      <w:rFonts w:ascii="Calibri" w:hAnsi="Calibri"/>
      <w:kern w:val="0"/>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20</Pages>
  <Words>992</Words>
  <Characters>5661</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景财农税字[2003]16号</dc:title>
  <dc:creator>czj</dc:creator>
  <cp:lastModifiedBy>Administrator</cp:lastModifiedBy>
  <cp:revision>3</cp:revision>
  <cp:lastPrinted>2021-09-18T17:43:00Z</cp:lastPrinted>
  <dcterms:created xsi:type="dcterms:W3CDTF">2021-10-19T06:59:00Z</dcterms:created>
  <dcterms:modified xsi:type="dcterms:W3CDTF">2021-10-27T02:12:00Z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DBD882FDE75D468EA670C12AFC9FB472</vt:lpwstr>
  </property>
</Properties>
</file>