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  <w:r>
        <w:rPr>
          <w:rFonts w:hint="eastAsia" w:ascii="黑体" w:eastAsia="黑体"/>
          <w:sz w:val="44"/>
          <w:szCs w:val="36"/>
        </w:rPr>
        <w:t>昌江区</w:t>
      </w:r>
      <w:r>
        <w:rPr>
          <w:rFonts w:hint="eastAsia" w:ascii="黑体" w:eastAsia="黑体"/>
          <w:sz w:val="44"/>
          <w:szCs w:val="36"/>
          <w:lang w:eastAsia="zh-CN"/>
        </w:rPr>
        <w:t>城市管理局</w:t>
      </w:r>
      <w:r>
        <w:rPr>
          <w:rFonts w:hint="eastAsia" w:ascii="黑体" w:eastAsia="黑体"/>
          <w:sz w:val="44"/>
          <w:szCs w:val="36"/>
        </w:rPr>
        <w:t xml:space="preserve"> 20</w:t>
      </w:r>
      <w:r>
        <w:rPr>
          <w:rFonts w:hint="eastAsia" w:ascii="黑体" w:eastAsia="黑体"/>
          <w:sz w:val="44"/>
          <w:szCs w:val="36"/>
          <w:lang w:val="en-US" w:eastAsia="zh-CN"/>
        </w:rPr>
        <w:t>22</w:t>
      </w:r>
      <w:r>
        <w:rPr>
          <w:rFonts w:hint="eastAsia" w:ascii="黑体" w:eastAsia="黑体"/>
          <w:sz w:val="44"/>
          <w:szCs w:val="36"/>
        </w:rPr>
        <w:t>年部门预算</w:t>
      </w:r>
    </w:p>
    <w:p>
      <w:pPr>
        <w:spacing w:line="600" w:lineRule="exact"/>
        <w:jc w:val="center"/>
        <w:rPr>
          <w:rFonts w:ascii="黑体" w:eastAsia="黑体"/>
          <w:sz w:val="44"/>
          <w:szCs w:val="36"/>
        </w:rPr>
      </w:pPr>
    </w:p>
    <w:p>
      <w:pPr>
        <w:spacing w:line="600" w:lineRule="exact"/>
        <w:jc w:val="center"/>
        <w:rPr>
          <w:rFonts w:ascii="黑体" w:eastAsia="黑体"/>
          <w:sz w:val="40"/>
          <w:szCs w:val="36"/>
        </w:rPr>
      </w:pPr>
      <w:r>
        <w:rPr>
          <w:rFonts w:hint="eastAsia" w:ascii="黑体" w:eastAsia="黑体"/>
          <w:sz w:val="40"/>
          <w:szCs w:val="36"/>
        </w:rPr>
        <w:t>目    录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概况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 xml:space="preserve">   </w:t>
      </w:r>
      <w:r>
        <w:rPr>
          <w:rFonts w:hint="eastAsia" w:ascii="仿宋_GB2312" w:eastAsia="仿宋_GB2312"/>
          <w:sz w:val="32"/>
          <w:szCs w:val="30"/>
        </w:rPr>
        <w:t xml:space="preserve"> </w:t>
      </w:r>
      <w:r>
        <w:rPr>
          <w:rFonts w:hint="eastAsia" w:ascii="楷体_GB2312" w:eastAsia="楷体_GB2312"/>
          <w:sz w:val="32"/>
          <w:szCs w:val="30"/>
        </w:rPr>
        <w:t>一、部门主要职责</w:t>
      </w:r>
    </w:p>
    <w:p>
      <w:pPr>
        <w:widowControl/>
        <w:spacing w:line="600" w:lineRule="exact"/>
        <w:ind w:firstLine="640"/>
        <w:jc w:val="left"/>
        <w:rPr>
          <w:rFonts w:ascii="楷体_GB2312" w:hAnsi="Calibri" w:eastAsia="楷体_GB2312" w:cs="宋体"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二、部门基本情况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年部门预算收支情况说明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二、</w:t>
      </w:r>
      <w:r>
        <w:rPr>
          <w:rFonts w:hint="eastAsia" w:ascii="楷体_GB2312" w:eastAsia="楷体_GB2312"/>
          <w:sz w:val="32"/>
          <w:szCs w:val="30"/>
        </w:rPr>
        <w:t>20</w:t>
      </w:r>
      <w:r>
        <w:rPr>
          <w:rFonts w:hint="eastAsia" w:ascii="楷体_GB2312" w:eastAsia="楷体_GB2312"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0"/>
        </w:rPr>
        <w:t>年“三公”经费预算情况说明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一、收支预算总表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二、部门收入总表</w:t>
      </w:r>
    </w:p>
    <w:p>
      <w:pPr>
        <w:widowControl/>
        <w:spacing w:line="600" w:lineRule="exact"/>
        <w:ind w:firstLine="64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hAnsi="Calibri" w:eastAsia="楷体_GB2312" w:cs="宋体"/>
          <w:kern w:val="0"/>
          <w:sz w:val="32"/>
          <w:szCs w:val="32"/>
        </w:rPr>
        <w:t xml:space="preserve">    三、部门支出总</w:t>
      </w:r>
      <w:r>
        <w:rPr>
          <w:rFonts w:hint="eastAsia" w:ascii="楷体_GB2312" w:eastAsia="楷体_GB2312"/>
          <w:sz w:val="32"/>
          <w:szCs w:val="30"/>
        </w:rPr>
        <w:t>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四、财政拨款收支总表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五、一般公共预算支出表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六、一般公共预算基本支出表</w:t>
      </w:r>
    </w:p>
    <w:p>
      <w:pPr>
        <w:widowControl/>
        <w:spacing w:line="600" w:lineRule="exact"/>
        <w:ind w:firstLine="1280" w:firstLineChars="400"/>
        <w:jc w:val="left"/>
        <w:rPr>
          <w:rFonts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七、一般公共预算“三公”经费支出表</w:t>
      </w:r>
    </w:p>
    <w:p>
      <w:pPr>
        <w:widowControl/>
        <w:spacing w:line="600" w:lineRule="exact"/>
        <w:ind w:firstLine="1280" w:firstLineChars="400"/>
        <w:jc w:val="left"/>
        <w:rPr>
          <w:rFonts w:hint="eastAsia" w:ascii="楷体_GB2312" w:eastAsia="楷体_GB2312"/>
          <w:sz w:val="32"/>
          <w:szCs w:val="30"/>
        </w:rPr>
      </w:pPr>
      <w:r>
        <w:rPr>
          <w:rFonts w:hint="eastAsia" w:ascii="楷体_GB2312" w:eastAsia="楷体_GB2312"/>
          <w:sz w:val="32"/>
          <w:szCs w:val="30"/>
        </w:rPr>
        <w:t>八、政府性基金预算支出表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九、支出总表(引用)</w:t>
      </w:r>
    </w:p>
    <w:p>
      <w:pPr>
        <w:widowControl/>
        <w:spacing w:line="600" w:lineRule="exact"/>
        <w:ind w:firstLine="1280" w:firstLineChars="400"/>
        <w:jc w:val="left"/>
        <w:rPr>
          <w:rFonts w:hint="default" w:ascii="楷体_GB2312" w:eastAsia="楷体_GB2312"/>
          <w:sz w:val="32"/>
          <w:szCs w:val="30"/>
          <w:lang w:val="en-US" w:eastAsia="zh-CN"/>
        </w:rPr>
      </w:pPr>
      <w:r>
        <w:rPr>
          <w:rFonts w:hint="eastAsia" w:ascii="楷体_GB2312" w:eastAsia="楷体_GB2312"/>
          <w:sz w:val="32"/>
          <w:szCs w:val="30"/>
          <w:lang w:val="en-US" w:eastAsia="zh-CN"/>
        </w:rPr>
        <w:t>十、财拨总表（引用）</w:t>
      </w:r>
    </w:p>
    <w:p>
      <w:pPr>
        <w:widowControl/>
        <w:spacing w:line="60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ascii="仿宋_GB2312" w:eastAsia="仿宋_GB2312"/>
          <w:b/>
          <w:sz w:val="32"/>
          <w:szCs w:val="30"/>
        </w:rPr>
        <w:br w:type="page"/>
      </w:r>
      <w:r>
        <w:rPr>
          <w:rFonts w:hint="eastAsia" w:ascii="仿宋_GB2312" w:eastAsia="仿宋_GB2312"/>
          <w:b/>
          <w:sz w:val="32"/>
          <w:szCs w:val="30"/>
        </w:rPr>
        <w:t>第一部分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>概况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一、部门主要职责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hAnsi="Calibri" w:eastAsia="仿宋_GB2312" w:cs="宋体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依据市委、市政府（景办发[2015]14号）《关于进一步调整景德镇市城市管理体制的工作方案(试行)》，我们主要工作职责是打击“两违”和市容环境管理。</w:t>
      </w:r>
    </w:p>
    <w:p>
      <w:pPr>
        <w:widowControl/>
        <w:spacing w:line="580" w:lineRule="exact"/>
        <w:ind w:firstLine="640"/>
        <w:jc w:val="left"/>
        <w:rPr>
          <w:rFonts w:ascii="楷体_GB2312" w:hAnsi="Calibri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二、部门基本情况</w:t>
      </w:r>
    </w:p>
    <w:p>
      <w:pPr>
        <w:ind w:firstLine="570"/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eastAsia="仿宋_GB2312"/>
          <w:sz w:val="30"/>
          <w:szCs w:val="30"/>
        </w:rPr>
        <w:t>本部门共有预算单位</w:t>
      </w:r>
      <w:r>
        <w:rPr>
          <w:rFonts w:hint="eastAsia" w:eastAsia="仿宋_GB2312"/>
          <w:sz w:val="30"/>
          <w:szCs w:val="30"/>
          <w:lang w:val="en-US" w:eastAsia="zh-CN"/>
        </w:rPr>
        <w:t>2</w:t>
      </w:r>
      <w:r>
        <w:rPr>
          <w:rFonts w:eastAsia="仿宋_GB2312"/>
          <w:sz w:val="30"/>
          <w:szCs w:val="30"/>
        </w:rPr>
        <w:t>个，编制人数</w:t>
      </w:r>
      <w:r>
        <w:rPr>
          <w:rFonts w:hint="eastAsia" w:eastAsia="仿宋_GB2312"/>
          <w:sz w:val="30"/>
          <w:szCs w:val="30"/>
          <w:lang w:val="en-US" w:eastAsia="zh-CN"/>
        </w:rPr>
        <w:t>164</w:t>
      </w:r>
      <w:r>
        <w:rPr>
          <w:rFonts w:eastAsia="仿宋_GB2312"/>
          <w:sz w:val="30"/>
          <w:szCs w:val="30"/>
        </w:rPr>
        <w:t>人，在职人员</w:t>
      </w:r>
      <w:r>
        <w:rPr>
          <w:rFonts w:hint="eastAsia" w:eastAsia="仿宋_GB2312"/>
          <w:sz w:val="30"/>
          <w:szCs w:val="30"/>
          <w:lang w:val="en-US" w:eastAsia="zh-CN"/>
        </w:rPr>
        <w:t>164</w:t>
      </w:r>
      <w:r>
        <w:rPr>
          <w:rFonts w:eastAsia="仿宋_GB2312"/>
          <w:sz w:val="30"/>
          <w:szCs w:val="30"/>
        </w:rPr>
        <w:t>人</w:t>
      </w:r>
      <w:r>
        <w:rPr>
          <w:rFonts w:hint="eastAsia" w:eastAsia="仿宋_GB2312"/>
          <w:sz w:val="30"/>
          <w:szCs w:val="30"/>
          <w:lang w:eastAsia="zh-CN"/>
        </w:rPr>
        <w:t>。实有人数</w:t>
      </w:r>
      <w:r>
        <w:rPr>
          <w:rFonts w:hint="eastAsia" w:eastAsia="仿宋_GB2312"/>
          <w:sz w:val="30"/>
          <w:szCs w:val="30"/>
          <w:lang w:val="en-US" w:eastAsia="zh-CN"/>
        </w:rPr>
        <w:t>244人，其中：在职人员164人，</w:t>
      </w:r>
      <w:r>
        <w:rPr>
          <w:rFonts w:hint="eastAsia" w:eastAsia="仿宋_GB2312"/>
          <w:sz w:val="30"/>
          <w:szCs w:val="30"/>
          <w:lang w:eastAsia="zh-CN"/>
        </w:rPr>
        <w:t>退休人员</w:t>
      </w:r>
      <w:r>
        <w:rPr>
          <w:rFonts w:hint="eastAsia" w:eastAsia="仿宋_GB2312"/>
          <w:sz w:val="30"/>
          <w:szCs w:val="30"/>
          <w:lang w:val="en-US" w:eastAsia="zh-CN"/>
        </w:rPr>
        <w:t>61人，聘用人员17人，遗属2人。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hAnsi="Calibri" w:eastAsia="仿宋_GB2312" w:cs="宋体"/>
          <w:b/>
          <w:kern w:val="0"/>
          <w:sz w:val="32"/>
          <w:szCs w:val="32"/>
        </w:rPr>
        <w:t xml:space="preserve">第二部分  </w:t>
      </w:r>
      <w:r>
        <w:rPr>
          <w:rFonts w:hint="eastAsia" w:ascii="仿宋_GB2312" w:eastAsia="仿宋_GB2312"/>
          <w:b/>
          <w:sz w:val="32"/>
          <w:szCs w:val="30"/>
        </w:rPr>
        <w:t>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 xml:space="preserve"> 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年部门预算情况说明</w:t>
      </w:r>
    </w:p>
    <w:p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3" w:firstLineChars="20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年部门预算收支情况说明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（一）收入预算情况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年收入预算总额为</w:t>
      </w:r>
      <w:r>
        <w:rPr>
          <w:rFonts w:hint="eastAsia"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  <w:lang w:val="en-US" w:eastAsia="zh-CN"/>
        </w:rPr>
        <w:t>172.05万</w:t>
      </w:r>
      <w:r>
        <w:rPr>
          <w:rFonts w:eastAsia="仿宋_GB2312"/>
          <w:sz w:val="30"/>
          <w:szCs w:val="30"/>
        </w:rPr>
        <w:t>元，其中：经费拨款（补助）收入</w:t>
      </w:r>
      <w:r>
        <w:rPr>
          <w:rFonts w:hint="eastAsia"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  <w:lang w:val="en-US" w:eastAsia="zh-CN"/>
        </w:rPr>
        <w:t>172.05万</w:t>
      </w:r>
      <w:r>
        <w:rPr>
          <w:rFonts w:eastAsia="仿宋_GB2312"/>
          <w:sz w:val="30"/>
          <w:szCs w:val="30"/>
        </w:rPr>
        <w:t>元，占收入预算总额的100%。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（二）支出预算情况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年支出预算总额为</w:t>
      </w:r>
      <w:r>
        <w:rPr>
          <w:rFonts w:hint="eastAsia"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  <w:lang w:val="en-US" w:eastAsia="zh-CN"/>
        </w:rPr>
        <w:t>172.05万元</w:t>
      </w:r>
      <w:r>
        <w:rPr>
          <w:rFonts w:eastAsia="仿宋_GB2312"/>
          <w:sz w:val="30"/>
          <w:szCs w:val="30"/>
        </w:rPr>
        <w:t>。其中：</w:t>
      </w:r>
    </w:p>
    <w:p>
      <w:pPr>
        <w:ind w:firstLine="57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按支出项目类别划分：基本支出</w:t>
      </w:r>
      <w:r>
        <w:rPr>
          <w:rFonts w:hint="eastAsia" w:eastAsia="仿宋_GB2312"/>
          <w:sz w:val="30"/>
          <w:szCs w:val="30"/>
          <w:lang w:val="en-US" w:eastAsia="zh-CN"/>
        </w:rPr>
        <w:t>2692.38万</w:t>
      </w:r>
      <w:r>
        <w:rPr>
          <w:rFonts w:eastAsia="仿宋_GB2312"/>
          <w:sz w:val="30"/>
          <w:szCs w:val="30"/>
        </w:rPr>
        <w:t>元，占支出预算总额的</w:t>
      </w:r>
      <w:r>
        <w:rPr>
          <w:rFonts w:hint="eastAsia" w:eastAsia="仿宋_GB2312"/>
          <w:sz w:val="30"/>
          <w:szCs w:val="30"/>
          <w:lang w:val="en-US" w:eastAsia="zh-CN"/>
        </w:rPr>
        <w:t>64.53</w:t>
      </w:r>
      <w:r>
        <w:rPr>
          <w:rFonts w:eastAsia="仿宋_GB2312"/>
          <w:sz w:val="30"/>
          <w:szCs w:val="30"/>
        </w:rPr>
        <w:t>%，其中工资福利支出</w:t>
      </w:r>
      <w:r>
        <w:rPr>
          <w:rFonts w:hint="eastAsia" w:eastAsia="仿宋_GB2312"/>
          <w:sz w:val="30"/>
          <w:szCs w:val="30"/>
          <w:lang w:val="en-US" w:eastAsia="zh-CN"/>
        </w:rPr>
        <w:t>2447.26万</w:t>
      </w:r>
      <w:r>
        <w:rPr>
          <w:rFonts w:eastAsia="仿宋_GB2312"/>
          <w:sz w:val="30"/>
          <w:szCs w:val="30"/>
        </w:rPr>
        <w:t>元、商品和服务支出</w:t>
      </w:r>
      <w:r>
        <w:rPr>
          <w:rFonts w:hint="eastAsia" w:eastAsia="仿宋_GB2312"/>
          <w:sz w:val="30"/>
          <w:szCs w:val="30"/>
          <w:lang w:val="en-US" w:eastAsia="zh-CN"/>
        </w:rPr>
        <w:t>217.58万</w:t>
      </w:r>
      <w:r>
        <w:rPr>
          <w:rFonts w:eastAsia="仿宋_GB2312"/>
          <w:sz w:val="30"/>
          <w:szCs w:val="30"/>
        </w:rPr>
        <w:t>元、对个人和家庭的补助</w:t>
      </w:r>
      <w:r>
        <w:rPr>
          <w:rFonts w:hint="eastAsia" w:eastAsia="仿宋_GB2312"/>
          <w:sz w:val="30"/>
          <w:szCs w:val="30"/>
          <w:lang w:val="en-US" w:eastAsia="zh-CN"/>
        </w:rPr>
        <w:t>27.54万</w:t>
      </w:r>
      <w:r>
        <w:rPr>
          <w:rFonts w:eastAsia="仿宋_GB2312"/>
          <w:sz w:val="30"/>
          <w:szCs w:val="30"/>
        </w:rPr>
        <w:t>元、其他资本性支出0元；项目支出</w:t>
      </w:r>
      <w:r>
        <w:rPr>
          <w:rFonts w:hint="eastAsia" w:eastAsia="仿宋_GB2312"/>
          <w:sz w:val="30"/>
          <w:szCs w:val="30"/>
          <w:lang w:val="en-US" w:eastAsia="zh-CN"/>
        </w:rPr>
        <w:t>1479.66万</w:t>
      </w:r>
      <w:r>
        <w:rPr>
          <w:rFonts w:eastAsia="仿宋_GB2312"/>
          <w:sz w:val="30"/>
          <w:szCs w:val="30"/>
        </w:rPr>
        <w:t>元，占支出预算总额</w:t>
      </w:r>
      <w:r>
        <w:rPr>
          <w:rFonts w:hint="eastAsia" w:eastAsia="仿宋_GB2312"/>
          <w:sz w:val="30"/>
          <w:szCs w:val="30"/>
          <w:lang w:val="en-US" w:eastAsia="zh-CN"/>
        </w:rPr>
        <w:t>35.47</w:t>
      </w:r>
      <w:r>
        <w:rPr>
          <w:rFonts w:eastAsia="仿宋_GB2312"/>
          <w:sz w:val="30"/>
          <w:szCs w:val="30"/>
        </w:rPr>
        <w:t>%。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（三）财政拨款支出情况</w:t>
      </w:r>
    </w:p>
    <w:p>
      <w:pPr>
        <w:ind w:firstLine="570"/>
        <w:rPr>
          <w:rFonts w:eastAsia="仿宋_GB2312"/>
          <w:sz w:val="32"/>
          <w:szCs w:val="32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年经费拨款（补助）支出预算</w:t>
      </w:r>
      <w:r>
        <w:rPr>
          <w:rFonts w:hint="eastAsia" w:eastAsia="仿宋_GB2312"/>
          <w:sz w:val="30"/>
          <w:szCs w:val="30"/>
        </w:rPr>
        <w:t>4</w:t>
      </w:r>
      <w:r>
        <w:rPr>
          <w:rFonts w:hint="eastAsia" w:eastAsia="仿宋_GB2312"/>
          <w:sz w:val="30"/>
          <w:szCs w:val="30"/>
          <w:lang w:val="en-US" w:eastAsia="zh-CN"/>
        </w:rPr>
        <w:t>172.05万</w:t>
      </w:r>
      <w:r>
        <w:rPr>
          <w:rFonts w:eastAsia="仿宋_GB2312"/>
          <w:sz w:val="30"/>
          <w:szCs w:val="30"/>
        </w:rPr>
        <w:t>元，占支出预算总额的100%。</w:t>
      </w:r>
      <w:r>
        <w:rPr>
          <w:rFonts w:hint="eastAsia" w:eastAsia="仿宋_GB2312"/>
          <w:sz w:val="32"/>
          <w:szCs w:val="32"/>
        </w:rPr>
        <w:t>具体支出情况是：城乡社区支出</w:t>
      </w:r>
      <w:r>
        <w:rPr>
          <w:rFonts w:hint="eastAsia" w:eastAsia="仿宋_GB2312"/>
          <w:sz w:val="32"/>
          <w:szCs w:val="32"/>
          <w:lang w:val="en-US" w:eastAsia="zh-CN"/>
        </w:rPr>
        <w:t>3708.62</w:t>
      </w:r>
      <w:r>
        <w:rPr>
          <w:rFonts w:hint="eastAsia" w:eastAsia="仿宋_GB2312"/>
          <w:sz w:val="32"/>
          <w:szCs w:val="32"/>
        </w:rPr>
        <w:t>万元，社会和保障就业支出</w:t>
      </w:r>
      <w:r>
        <w:rPr>
          <w:rFonts w:hint="eastAsia" w:eastAsia="仿宋_GB2312"/>
          <w:sz w:val="32"/>
          <w:szCs w:val="32"/>
          <w:lang w:val="en-US" w:eastAsia="zh-CN"/>
        </w:rPr>
        <w:t>167.61</w:t>
      </w:r>
      <w:r>
        <w:rPr>
          <w:rFonts w:hint="eastAsia" w:eastAsia="仿宋_GB2312"/>
          <w:sz w:val="32"/>
          <w:szCs w:val="32"/>
        </w:rPr>
        <w:t>万元，卫生健康支出</w:t>
      </w:r>
      <w:r>
        <w:rPr>
          <w:rFonts w:hint="eastAsia" w:eastAsia="仿宋_GB2312"/>
          <w:sz w:val="32"/>
          <w:szCs w:val="32"/>
          <w:lang w:val="en-US" w:eastAsia="zh-CN"/>
        </w:rPr>
        <w:t>107.89</w:t>
      </w:r>
      <w:r>
        <w:rPr>
          <w:rFonts w:hint="eastAsia" w:eastAsia="仿宋_GB2312"/>
          <w:sz w:val="32"/>
          <w:szCs w:val="32"/>
        </w:rPr>
        <w:t>万元，住房保障支出</w:t>
      </w:r>
      <w:r>
        <w:rPr>
          <w:rFonts w:hint="eastAsia" w:eastAsia="仿宋_GB2312"/>
          <w:sz w:val="32"/>
          <w:szCs w:val="32"/>
          <w:lang w:val="en-US" w:eastAsia="zh-CN"/>
        </w:rPr>
        <w:t>187.93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（四）政府性基金情况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年昌江区城市</w:t>
      </w:r>
      <w:r>
        <w:rPr>
          <w:rFonts w:hint="eastAsia" w:ascii="仿宋_GB2312" w:eastAsia="仿宋_GB2312"/>
          <w:sz w:val="32"/>
          <w:szCs w:val="30"/>
          <w:lang w:eastAsia="zh-CN"/>
        </w:rPr>
        <w:t>管理局</w:t>
      </w:r>
      <w:r>
        <w:rPr>
          <w:rFonts w:hint="eastAsia" w:ascii="仿宋_GB2312" w:eastAsia="仿宋_GB2312"/>
          <w:sz w:val="32"/>
          <w:szCs w:val="30"/>
        </w:rPr>
        <w:t>无政府性基金预算拨款安排的支出，较上年无变化。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（五）机关运行经费等重要事项的说明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年部门机关运行费用217.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58</w:t>
      </w:r>
      <w:r>
        <w:rPr>
          <w:rFonts w:hint="eastAsia" w:ascii="仿宋_GB2312" w:eastAsia="仿宋_GB2312"/>
          <w:sz w:val="32"/>
          <w:szCs w:val="30"/>
        </w:rPr>
        <w:t>万元，与上年</w:t>
      </w:r>
      <w:r>
        <w:rPr>
          <w:rFonts w:hint="eastAsia" w:ascii="仿宋_GB2312" w:eastAsia="仿宋_GB2312"/>
          <w:sz w:val="32"/>
          <w:szCs w:val="30"/>
          <w:lang w:eastAsia="zh-CN"/>
        </w:rPr>
        <w:t>持平</w:t>
      </w:r>
      <w:r>
        <w:rPr>
          <w:rFonts w:hint="eastAsia" w:ascii="仿宋_GB2312" w:eastAsia="仿宋_GB2312"/>
          <w:sz w:val="32"/>
          <w:szCs w:val="30"/>
        </w:rPr>
        <w:t>。其中：</w:t>
      </w:r>
    </w:p>
    <w:p>
      <w:pPr>
        <w:widowControl/>
        <w:shd w:val="clear" w:color="auto" w:fill="FFFFFF"/>
        <w:spacing w:line="580" w:lineRule="atLeas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办公费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95.58</w:t>
      </w:r>
      <w:r>
        <w:rPr>
          <w:rFonts w:hint="eastAsia" w:ascii="仿宋_GB2312" w:eastAsia="仿宋_GB2312"/>
          <w:sz w:val="32"/>
          <w:szCs w:val="30"/>
        </w:rPr>
        <w:t>万元，印刷费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6.60</w:t>
      </w:r>
      <w:r>
        <w:rPr>
          <w:rFonts w:hint="eastAsia" w:ascii="仿宋_GB2312" w:eastAsia="仿宋_GB2312"/>
          <w:sz w:val="32"/>
          <w:szCs w:val="30"/>
        </w:rPr>
        <w:t>万元，邮电费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1.60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eastAsia="仿宋_GB2312"/>
          <w:sz w:val="32"/>
          <w:szCs w:val="30"/>
          <w:lang w:eastAsia="zh-CN"/>
        </w:rPr>
        <w:t>取暖费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0.58万元，</w:t>
      </w:r>
      <w:r>
        <w:rPr>
          <w:rFonts w:hint="eastAsia" w:ascii="仿宋_GB2312" w:eastAsia="仿宋_GB2312"/>
          <w:sz w:val="32"/>
          <w:szCs w:val="30"/>
        </w:rPr>
        <w:t>差旅费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2.50</w:t>
      </w:r>
      <w:r>
        <w:rPr>
          <w:rFonts w:hint="eastAsia" w:ascii="仿宋_GB2312" w:eastAsia="仿宋_GB2312"/>
          <w:sz w:val="32"/>
          <w:szCs w:val="30"/>
        </w:rPr>
        <w:t>万元，会议费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0.50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公务接待费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0.60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劳务费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0.50万元，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eastAsia="zh-CN"/>
        </w:rPr>
        <w:t>工会经费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41.34万元，公务用车运行维护费52.80万元，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其他交通费用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0.78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万元，其他商品和服务支出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  <w:lang w:val="en-US" w:eastAsia="zh-CN"/>
        </w:rPr>
        <w:t>14.20</w:t>
      </w:r>
      <w:r>
        <w:rPr>
          <w:rFonts w:hint="eastAsia" w:ascii="仿宋_GB2312" w:hAnsi="宋体" w:eastAsia="仿宋_GB2312" w:cs="宋体"/>
          <w:bCs/>
          <w:color w:val="333333"/>
          <w:kern w:val="0"/>
          <w:sz w:val="32"/>
          <w:szCs w:val="32"/>
        </w:rPr>
        <w:t>万元。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（六）政府采购情况</w:t>
      </w:r>
    </w:p>
    <w:p>
      <w:pPr>
        <w:widowControl/>
        <w:spacing w:line="580" w:lineRule="exact"/>
        <w:ind w:firstLine="750" w:firstLineChars="250"/>
        <w:jc w:val="left"/>
        <w:rPr>
          <w:rFonts w:ascii="仿宋_GB2312" w:eastAsia="仿宋_GB2312"/>
          <w:sz w:val="32"/>
          <w:szCs w:val="30"/>
        </w:rPr>
      </w:pPr>
      <w:r>
        <w:rPr>
          <w:rFonts w:eastAsia="仿宋_GB2312"/>
          <w:sz w:val="30"/>
          <w:szCs w:val="30"/>
        </w:rPr>
        <w:t>20</w:t>
      </w:r>
      <w:r>
        <w:rPr>
          <w:rFonts w:hint="eastAsia" w:eastAsia="仿宋_GB2312"/>
          <w:sz w:val="30"/>
          <w:szCs w:val="30"/>
          <w:lang w:val="en-US" w:eastAsia="zh-CN"/>
        </w:rPr>
        <w:t>22</w:t>
      </w:r>
      <w:r>
        <w:rPr>
          <w:rFonts w:eastAsia="仿宋_GB2312"/>
          <w:sz w:val="30"/>
          <w:szCs w:val="30"/>
        </w:rPr>
        <w:t>年政府采购预算为</w:t>
      </w:r>
      <w:r>
        <w:rPr>
          <w:rFonts w:hint="eastAsia" w:eastAsia="仿宋_GB2312"/>
          <w:sz w:val="30"/>
          <w:szCs w:val="30"/>
        </w:rPr>
        <w:t>2</w:t>
      </w:r>
      <w:r>
        <w:rPr>
          <w:rFonts w:hint="eastAsia" w:eastAsia="仿宋_GB2312"/>
          <w:sz w:val="30"/>
          <w:szCs w:val="30"/>
          <w:lang w:val="en-US" w:eastAsia="zh-CN"/>
        </w:rPr>
        <w:t>3.81万</w:t>
      </w:r>
      <w:r>
        <w:rPr>
          <w:rFonts w:eastAsia="仿宋_GB2312"/>
          <w:sz w:val="30"/>
          <w:szCs w:val="30"/>
        </w:rPr>
        <w:t>元</w:t>
      </w:r>
    </w:p>
    <w:p>
      <w:pPr>
        <w:widowControl/>
        <w:spacing w:line="580" w:lineRule="exact"/>
        <w:ind w:firstLine="640"/>
        <w:jc w:val="left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hAnsi="Calibri" w:eastAsia="楷体_GB2312" w:cs="宋体"/>
          <w:b/>
          <w:kern w:val="0"/>
          <w:sz w:val="32"/>
          <w:szCs w:val="32"/>
        </w:rPr>
        <w:t>二、</w:t>
      </w:r>
      <w:r>
        <w:rPr>
          <w:rFonts w:hint="eastAsia" w:ascii="楷体_GB2312" w:eastAsia="楷体_GB2312"/>
          <w:b/>
          <w:sz w:val="32"/>
          <w:szCs w:val="30"/>
        </w:rPr>
        <w:t>20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22</w:t>
      </w:r>
      <w:r>
        <w:rPr>
          <w:rFonts w:hint="eastAsia" w:ascii="楷体_GB2312" w:eastAsia="楷体_GB2312"/>
          <w:b/>
          <w:sz w:val="32"/>
          <w:szCs w:val="30"/>
        </w:rPr>
        <w:t>年“三公</w:t>
      </w:r>
      <w:r>
        <w:rPr>
          <w:rFonts w:ascii="楷体_GB2312" w:eastAsia="楷体_GB2312"/>
          <w:b/>
          <w:sz w:val="32"/>
          <w:szCs w:val="30"/>
        </w:rPr>
        <w:t>”</w:t>
      </w:r>
      <w:r>
        <w:rPr>
          <w:rFonts w:hint="eastAsia" w:ascii="楷体_GB2312" w:eastAsia="楷体_GB2312"/>
          <w:b/>
          <w:sz w:val="32"/>
          <w:szCs w:val="30"/>
        </w:rPr>
        <w:t>经费预算情况说明</w:t>
      </w:r>
    </w:p>
    <w:p>
      <w:pPr>
        <w:widowControl/>
        <w:spacing w:line="580" w:lineRule="exact"/>
        <w:ind w:firstLine="1280" w:firstLineChars="4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0"/>
        </w:rPr>
        <w:t>年</w:t>
      </w:r>
      <w:r>
        <w:rPr>
          <w:rFonts w:hint="eastAsia" w:ascii="仿宋_GB2312" w:eastAsia="仿宋_GB2312"/>
          <w:sz w:val="32"/>
          <w:szCs w:val="30"/>
          <w:lang w:eastAsia="zh-CN"/>
        </w:rPr>
        <w:t>昌江区城市管理局</w:t>
      </w:r>
      <w:r>
        <w:rPr>
          <w:rFonts w:hint="eastAsia" w:ascii="仿宋_GB2312" w:eastAsia="仿宋_GB2312"/>
          <w:sz w:val="32"/>
          <w:szCs w:val="30"/>
        </w:rPr>
        <w:t>“三公”经费年初预算安排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53.40</w:t>
      </w:r>
      <w:r>
        <w:rPr>
          <w:rFonts w:hint="eastAsia" w:ascii="仿宋_GB2312" w:eastAsia="仿宋_GB2312"/>
          <w:sz w:val="32"/>
          <w:szCs w:val="30"/>
        </w:rPr>
        <w:t>万元。其中：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因公出国（境）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万元，主要原因是：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本部门没有安排相关预算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公务接待费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0.60</w:t>
      </w:r>
      <w:r>
        <w:rPr>
          <w:rFonts w:hint="eastAsia" w:ascii="仿宋_GB2312" w:eastAsia="仿宋_GB2312"/>
          <w:sz w:val="32"/>
          <w:szCs w:val="30"/>
        </w:rPr>
        <w:t>万元，比上年减</w:t>
      </w:r>
      <w:r>
        <w:rPr>
          <w:rFonts w:hint="eastAsia" w:ascii="仿宋_GB2312" w:eastAsia="仿宋_GB2312"/>
          <w:sz w:val="32"/>
          <w:szCs w:val="30"/>
          <w:lang w:eastAsia="zh-CN"/>
        </w:rPr>
        <w:t>少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1.70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，</w:t>
      </w:r>
      <w:r>
        <w:rPr>
          <w:rFonts w:hint="eastAsia" w:ascii="仿宋_GB2312" w:eastAsia="仿宋_GB2312"/>
          <w:sz w:val="32"/>
          <w:szCs w:val="30"/>
        </w:rPr>
        <w:t>主要原因是：</w:t>
      </w:r>
      <w:r>
        <w:rPr>
          <w:rFonts w:hint="eastAsia" w:ascii="仿宋_GB2312" w:eastAsia="仿宋_GB2312"/>
          <w:sz w:val="32"/>
          <w:szCs w:val="30"/>
          <w:lang w:eastAsia="zh-CN"/>
        </w:rPr>
        <w:t>节约开支。</w:t>
      </w:r>
    </w:p>
    <w:p>
      <w:pPr>
        <w:widowControl/>
        <w:spacing w:line="58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0"/>
        </w:rPr>
        <w:t>公务用车运行维护费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52.80</w:t>
      </w:r>
      <w:r>
        <w:rPr>
          <w:rFonts w:hint="eastAsia" w:ascii="仿宋_GB2312" w:eastAsia="仿宋_GB2312"/>
          <w:sz w:val="32"/>
          <w:szCs w:val="30"/>
        </w:rPr>
        <w:t>万元，</w:t>
      </w:r>
      <w:r>
        <w:rPr>
          <w:rFonts w:hint="eastAsia" w:eastAsia="仿宋_GB2312"/>
          <w:sz w:val="32"/>
          <w:szCs w:val="32"/>
        </w:rPr>
        <w:t>与上年比</w:t>
      </w:r>
      <w:r>
        <w:rPr>
          <w:rFonts w:hint="eastAsia" w:eastAsia="仿宋_GB2312"/>
          <w:sz w:val="32"/>
          <w:szCs w:val="32"/>
          <w:lang w:eastAsia="zh-CN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3.98万元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  <w:lang w:eastAsia="zh-CN"/>
        </w:rPr>
      </w:pPr>
      <w:r>
        <w:rPr>
          <w:rFonts w:hint="eastAsia" w:ascii="仿宋_GB2312" w:eastAsia="仿宋_GB2312"/>
          <w:sz w:val="32"/>
          <w:szCs w:val="30"/>
        </w:rPr>
        <w:t>公务用车购置费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万元，比上年增（减）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0"/>
        </w:rPr>
        <w:t>万元</w:t>
      </w:r>
      <w:r>
        <w:rPr>
          <w:rFonts w:hint="eastAsia" w:ascii="仿宋_GB2312" w:eastAsia="仿宋_GB2312"/>
          <w:sz w:val="32"/>
          <w:szCs w:val="30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第三部分  昌江区</w:t>
      </w:r>
      <w:r>
        <w:rPr>
          <w:rFonts w:hint="eastAsia" w:ascii="仿宋_GB2312" w:eastAsia="仿宋_GB2312"/>
          <w:b/>
          <w:sz w:val="32"/>
          <w:szCs w:val="30"/>
          <w:lang w:eastAsia="zh-CN"/>
        </w:rPr>
        <w:t>城市管理局</w:t>
      </w:r>
      <w:r>
        <w:rPr>
          <w:rFonts w:hint="eastAsia" w:ascii="仿宋_GB2312" w:eastAsia="仿宋_GB2312"/>
          <w:b/>
          <w:sz w:val="32"/>
          <w:szCs w:val="30"/>
        </w:rPr>
        <w:t>20</w:t>
      </w:r>
      <w:r>
        <w:rPr>
          <w:rFonts w:hint="eastAsia" w:ascii="仿宋_GB2312" w:eastAsia="仿宋_GB2312"/>
          <w:b/>
          <w:sz w:val="32"/>
          <w:szCs w:val="30"/>
          <w:lang w:val="en-US" w:eastAsia="zh-CN"/>
        </w:rPr>
        <w:t>22</w:t>
      </w:r>
      <w:r>
        <w:rPr>
          <w:rFonts w:hint="eastAsia" w:ascii="仿宋_GB2312" w:eastAsia="仿宋_GB2312"/>
          <w:b/>
          <w:sz w:val="32"/>
          <w:szCs w:val="30"/>
        </w:rPr>
        <w:t>年部门预算表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十</w:t>
      </w:r>
      <w:r>
        <w:rPr>
          <w:rFonts w:hint="eastAsia" w:ascii="仿宋_GB2312" w:eastAsia="仿宋_GB2312"/>
          <w:sz w:val="32"/>
          <w:szCs w:val="30"/>
        </w:rPr>
        <w:t>张表（详见附件2）</w:t>
      </w: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</w:p>
    <w:p>
      <w:pPr>
        <w:widowControl/>
        <w:spacing w:line="580" w:lineRule="exact"/>
        <w:ind w:firstLine="640"/>
        <w:jc w:val="left"/>
        <w:rPr>
          <w:rFonts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第四部分   名词解释</w:t>
      </w:r>
    </w:p>
    <w:p>
      <w:pPr>
        <w:widowControl/>
        <w:spacing w:line="580" w:lineRule="exact"/>
        <w:ind w:firstLine="640"/>
        <w:jc w:val="left"/>
        <w:rPr>
          <w:rFonts w:hint="eastAsia"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一般公共服务（类）财政事务（款）行政运行（项）：指行政单位及参照公务员法管理的事业单位，用于保障机构正常运行、开展日常工作的基本支出。</w:t>
      </w:r>
      <w:bookmarkStart w:id="0" w:name="_GoBack"/>
      <w:bookmarkEnd w:id="0"/>
    </w:p>
    <w:p>
      <w:pPr>
        <w:widowControl/>
        <w:spacing w:line="580" w:lineRule="exact"/>
        <w:ind w:firstLine="640"/>
        <w:jc w:val="left"/>
        <w:rPr>
          <w:rFonts w:hint="default" w:ascii="仿宋_GB2312" w:eastAsia="仿宋_GB2312"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0"/>
          <w:lang w:val="en-US" w:eastAsia="zh-CN"/>
        </w:rPr>
        <w:t>城乡社区支出（类）城乡社区管理事务（款）城管执法（项）：反映城市管理综合行政执法、加强城市市容和环境卫生管理等方面的支出。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62FC"/>
    <w:rsid w:val="005A74B9"/>
    <w:rsid w:val="00755490"/>
    <w:rsid w:val="00766133"/>
    <w:rsid w:val="00CC7A40"/>
    <w:rsid w:val="0A1A103F"/>
    <w:rsid w:val="0E051D04"/>
    <w:rsid w:val="0FFD0F72"/>
    <w:rsid w:val="25AB4F60"/>
    <w:rsid w:val="27F31DF1"/>
    <w:rsid w:val="28AD2040"/>
    <w:rsid w:val="43F00DC7"/>
    <w:rsid w:val="5FB31D1C"/>
    <w:rsid w:val="7CEE2074"/>
    <w:rsid w:val="7D7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192</Words>
  <Characters>1099</Characters>
  <Lines>9</Lines>
  <Paragraphs>2</Paragraphs>
  <TotalTime>10</TotalTime>
  <ScaleCrop>false</ScaleCrop>
  <LinksUpToDate>false</LinksUpToDate>
  <CharactersWithSpaces>1289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2018-01-30T02:23:00Z</dcterms:created>
  <dc:creator>dell</dc:creator>
  <cp:lastModifiedBy>Administrator</cp:lastModifiedBy>
  <cp:lastPrinted>2016-11-21T09:06:00Z</cp:lastPrinted>
  <dcterms:modified xsi:type="dcterms:W3CDTF">2022-03-03T07:21:32Z</dcterms:modified>
  <dc:title>昌江区xxx 2017年部门预算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C5EBDADE5A7843E188193E56676C51DE</vt:lpwstr>
  </property>
</Properties>
</file>