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BAF1F">
      <w:pPr>
        <w:jc w:val="center"/>
        <w:rPr>
          <w:rFonts w:hint="default" w:ascii="黑体" w:hAnsi="黑体" w:eastAsia="黑体" w:cs="黑体"/>
          <w:sz w:val="44"/>
          <w:szCs w:val="44"/>
          <w:lang w:val="en-US" w:eastAsia="zh-CN"/>
        </w:rPr>
      </w:pPr>
      <w:r>
        <w:rPr>
          <w:rFonts w:hint="eastAsia" w:ascii="黑体" w:hAnsi="黑体" w:eastAsia="黑体" w:cs="黑体"/>
          <w:sz w:val="44"/>
          <w:szCs w:val="44"/>
        </w:rPr>
        <w:t>昌江区城市管理局关于202</w:t>
      </w:r>
      <w:r>
        <w:rPr>
          <w:rFonts w:hint="eastAsia" w:ascii="黑体" w:hAnsi="黑体" w:eastAsia="黑体" w:cs="黑体"/>
          <w:sz w:val="44"/>
          <w:szCs w:val="44"/>
          <w:lang w:val="en-US" w:eastAsia="zh-CN"/>
        </w:rPr>
        <w:t>5</w:t>
      </w:r>
      <w:r>
        <w:rPr>
          <w:rFonts w:hint="eastAsia" w:ascii="黑体" w:hAnsi="黑体" w:eastAsia="黑体" w:cs="黑体"/>
          <w:sz w:val="44"/>
          <w:szCs w:val="44"/>
        </w:rPr>
        <w:t>年</w:t>
      </w:r>
      <w:r>
        <w:rPr>
          <w:rFonts w:hint="eastAsia" w:ascii="黑体" w:hAnsi="黑体" w:eastAsia="黑体" w:cs="黑体"/>
          <w:sz w:val="44"/>
          <w:szCs w:val="44"/>
          <w:lang w:val="en-US" w:eastAsia="zh-CN"/>
        </w:rPr>
        <w:t>上半年</w:t>
      </w:r>
      <w:r>
        <w:rPr>
          <w:rFonts w:hint="eastAsia" w:ascii="黑体" w:hAnsi="黑体" w:eastAsia="黑体" w:cs="黑体"/>
          <w:sz w:val="44"/>
          <w:szCs w:val="44"/>
        </w:rPr>
        <w:t>法治政府建设工作</w:t>
      </w:r>
      <w:r>
        <w:rPr>
          <w:rFonts w:hint="eastAsia" w:ascii="黑体" w:hAnsi="黑体" w:eastAsia="黑体" w:cs="黑体"/>
          <w:sz w:val="44"/>
          <w:szCs w:val="44"/>
          <w:lang w:val="en-US" w:eastAsia="zh-CN"/>
        </w:rPr>
        <w:t>情况的报告</w:t>
      </w:r>
    </w:p>
    <w:p w14:paraId="0C43E42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24"/>
          <w:lang w:eastAsia="zh-CN"/>
        </w:rPr>
      </w:pPr>
      <w:r>
        <w:rPr>
          <w:rFonts w:hint="eastAsia" w:ascii="仿宋" w:hAnsi="仿宋" w:eastAsia="仿宋" w:cs="仿宋"/>
          <w:kern w:val="2"/>
          <w:sz w:val="32"/>
          <w:szCs w:val="24"/>
          <w:lang w:eastAsia="zh-CN"/>
        </w:rPr>
        <w:t>2025年上半年，</w:t>
      </w:r>
      <w:r>
        <w:rPr>
          <w:rFonts w:hint="eastAsia" w:ascii="仿宋" w:hAnsi="仿宋" w:eastAsia="仿宋" w:cs="仿宋"/>
          <w:kern w:val="2"/>
          <w:sz w:val="32"/>
          <w:szCs w:val="24"/>
          <w:lang w:val="en-US" w:eastAsia="zh-CN"/>
        </w:rPr>
        <w:t>我局</w:t>
      </w:r>
      <w:r>
        <w:rPr>
          <w:rFonts w:hint="eastAsia" w:ascii="仿宋" w:hAnsi="仿宋" w:eastAsia="仿宋" w:cs="仿宋"/>
          <w:kern w:val="2"/>
          <w:sz w:val="32"/>
          <w:szCs w:val="24"/>
          <w:lang w:eastAsia="zh-CN"/>
        </w:rPr>
        <w:t>在区委、区政府的领导下，坚持以习近平新时代中国特色社会主义思想为指导，全面贯彻党的二十大、二十届三中全会精神，深入</w:t>
      </w:r>
      <w:r>
        <w:rPr>
          <w:rFonts w:hint="eastAsia" w:ascii="仿宋" w:hAnsi="仿宋" w:eastAsia="仿宋" w:cs="仿宋"/>
          <w:kern w:val="2"/>
          <w:sz w:val="32"/>
          <w:szCs w:val="24"/>
          <w:lang w:val="en-US" w:eastAsia="zh-CN"/>
        </w:rPr>
        <w:t>学习习近平法治思想</w:t>
      </w:r>
      <w:r>
        <w:rPr>
          <w:rFonts w:hint="eastAsia" w:ascii="仿宋" w:hAnsi="仿宋" w:eastAsia="仿宋" w:cs="仿宋"/>
          <w:kern w:val="2"/>
          <w:sz w:val="32"/>
          <w:szCs w:val="24"/>
          <w:lang w:eastAsia="zh-CN"/>
        </w:rPr>
        <w:t>，扎实推进法治建设各项工作，取得阶段性成效。现将</w:t>
      </w:r>
      <w:r>
        <w:rPr>
          <w:rFonts w:hint="eastAsia" w:ascii="仿宋" w:hAnsi="仿宋" w:eastAsia="仿宋" w:cs="仿宋"/>
          <w:kern w:val="2"/>
          <w:sz w:val="32"/>
          <w:szCs w:val="24"/>
          <w:lang w:val="en-US" w:eastAsia="zh-CN"/>
        </w:rPr>
        <w:t>2025年上半年法治政府</w:t>
      </w:r>
      <w:r>
        <w:rPr>
          <w:rFonts w:hint="eastAsia" w:ascii="仿宋" w:hAnsi="仿宋" w:eastAsia="仿宋" w:cs="仿宋"/>
          <w:kern w:val="2"/>
          <w:sz w:val="32"/>
          <w:szCs w:val="24"/>
          <w:lang w:eastAsia="zh-CN"/>
        </w:rPr>
        <w:t>情况总结如下。</w:t>
      </w:r>
    </w:p>
    <w:p w14:paraId="16AFCF5B">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kern w:val="2"/>
          <w:sz w:val="32"/>
          <w:szCs w:val="24"/>
          <w:lang w:val="en-US" w:eastAsia="zh-CN"/>
        </w:rPr>
      </w:pPr>
      <w:r>
        <w:rPr>
          <w:rFonts w:hint="eastAsia" w:ascii="黑体" w:hAnsi="黑体" w:eastAsia="黑体" w:cs="黑体"/>
          <w:kern w:val="2"/>
          <w:sz w:val="32"/>
          <w:szCs w:val="24"/>
          <w:lang w:val="en-US" w:eastAsia="zh-CN"/>
        </w:rPr>
        <w:t>强化理论武装，筑牢法治建设思想根基</w:t>
      </w:r>
    </w:p>
    <w:p w14:paraId="1964F2FC">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baseline"/>
        <w:rPr>
          <w:rFonts w:hint="eastAsia" w:ascii="黑体" w:hAnsi="黑体" w:eastAsia="黑体" w:cs="黑体"/>
          <w:kern w:val="2"/>
          <w:sz w:val="32"/>
          <w:szCs w:val="24"/>
          <w:lang w:val="en-US" w:eastAsia="zh-CN"/>
        </w:rPr>
      </w:pPr>
      <w:r>
        <w:rPr>
          <w:rFonts w:hint="eastAsia" w:ascii="仿宋" w:hAnsi="仿宋" w:eastAsia="仿宋" w:cs="仿宋"/>
          <w:b/>
          <w:bCs/>
          <w:sz w:val="32"/>
          <w:szCs w:val="32"/>
          <w:lang w:val="en-US" w:eastAsia="zh-CN"/>
        </w:rPr>
        <w:t>（一）深化政治理论学习，夯实意识形态阵地。</w:t>
      </w:r>
      <w:r>
        <w:rPr>
          <w:rFonts w:hint="eastAsia" w:ascii="仿宋" w:hAnsi="仿宋" w:eastAsia="仿宋" w:cs="仿宋"/>
          <w:b w:val="0"/>
          <w:bCs w:val="0"/>
          <w:sz w:val="32"/>
          <w:szCs w:val="32"/>
          <w:lang w:val="en-US" w:eastAsia="zh-CN"/>
        </w:rPr>
        <w:t>严格落实“第一议题”制度，把学习贯彻习近平新时代中国特色社会主义思想作为首要政治任务。上半年，党组理论学习中心组开展集中学习6次、研讨交流2次，各基层党支部累计召开党员大会12次，支委会26次，开展主题党日活动24次，开展上党课8次。</w:t>
      </w:r>
    </w:p>
    <w:p w14:paraId="1AD71AE5">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kern w:val="2"/>
          <w:sz w:val="32"/>
          <w:szCs w:val="24"/>
          <w:lang w:val="en-US" w:eastAsia="zh-CN"/>
        </w:rPr>
      </w:pPr>
      <w:r>
        <w:rPr>
          <w:rFonts w:hint="eastAsia" w:ascii="仿宋" w:hAnsi="仿宋" w:eastAsia="仿宋" w:cs="仿宋"/>
          <w:b/>
          <w:bCs/>
          <w:kern w:val="2"/>
          <w:sz w:val="32"/>
          <w:szCs w:val="32"/>
          <w:lang w:val="en-US" w:eastAsia="zh-CN" w:bidi="ar-SA"/>
        </w:rPr>
        <w:t>（二）深入钻研习近平法治思想，推动法治城管建设。</w:t>
      </w:r>
      <w:r>
        <w:rPr>
          <w:rFonts w:hint="eastAsia" w:ascii="仿宋" w:hAnsi="仿宋" w:eastAsia="仿宋" w:cs="仿宋"/>
          <w:kern w:val="2"/>
          <w:sz w:val="32"/>
          <w:szCs w:val="24"/>
          <w:lang w:val="en-US" w:eastAsia="zh-CN"/>
        </w:rPr>
        <w:t>将习近平法治思想纳入党组理论学习中心组和党员干部教育培训的重要内容，通过集中研讨、在线学习、个人学习等多种形式，组织执法人员深入学习领会其核心要义、精神实质和实践要求。上半年，共开展党组理论学习中心组和党组（扩大）会议共2次，有效提升了党员干部的法治素养和依法行政能力。</w:t>
      </w:r>
    </w:p>
    <w:p w14:paraId="56A56511">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jc w:val="both"/>
        <w:textAlignment w:val="auto"/>
        <w:rPr>
          <w:rFonts w:hint="default" w:ascii="黑体" w:hAnsi="黑体" w:eastAsia="黑体" w:cs="黑体"/>
          <w:kern w:val="2"/>
          <w:sz w:val="32"/>
          <w:szCs w:val="24"/>
          <w:lang w:val="en-US" w:eastAsia="zh-CN"/>
        </w:rPr>
      </w:pPr>
      <w:r>
        <w:rPr>
          <w:rFonts w:hint="eastAsia" w:ascii="黑体" w:hAnsi="黑体" w:eastAsia="黑体" w:cs="黑体"/>
          <w:kern w:val="2"/>
          <w:sz w:val="32"/>
          <w:szCs w:val="24"/>
          <w:lang w:val="en-US" w:eastAsia="zh-CN"/>
        </w:rPr>
        <w:t>加强法治培训，筑牢执法服务根基</w:t>
      </w:r>
    </w:p>
    <w:p w14:paraId="29F50627">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kern w:val="2"/>
          <w:sz w:val="32"/>
          <w:szCs w:val="24"/>
          <w:lang w:val="en-US" w:eastAsia="zh-CN"/>
        </w:rPr>
      </w:pPr>
      <w:r>
        <w:rPr>
          <w:rFonts w:hint="eastAsia" w:ascii="仿宋" w:hAnsi="仿宋" w:eastAsia="仿宋" w:cs="仿宋"/>
          <w:b/>
          <w:bCs/>
          <w:kern w:val="2"/>
          <w:sz w:val="32"/>
          <w:szCs w:val="32"/>
          <w:lang w:val="en-US" w:eastAsia="zh-CN" w:bidi="ar-SA"/>
        </w:rPr>
        <w:t>（一）构建系统法治学习计划</w:t>
      </w:r>
      <w:r>
        <w:rPr>
          <w:rFonts w:hint="eastAsia" w:ascii="仿宋" w:hAnsi="仿宋" w:eastAsia="仿宋" w:cs="仿宋"/>
          <w:kern w:val="2"/>
          <w:sz w:val="32"/>
          <w:szCs w:val="24"/>
          <w:lang w:val="en-US" w:eastAsia="zh-CN"/>
        </w:rPr>
        <w:t>。年初，结合城市管理执法工作的实际需求，制定了详细的年度法治学习计划，明确了学习目标、内容和方式，合理安排法治学习的时间，确保学习有序推进。通过每月局属中队集中学习，有利于提升基层执法队员法治思维和依法办事能力。</w:t>
      </w:r>
    </w:p>
    <w:p w14:paraId="709DD2AD">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default" w:ascii="仿宋" w:hAnsi="仿宋" w:eastAsia="仿宋" w:cs="仿宋"/>
          <w:kern w:val="2"/>
          <w:sz w:val="32"/>
          <w:szCs w:val="24"/>
          <w:lang w:val="en-US" w:eastAsia="zh-CN"/>
        </w:rPr>
      </w:pPr>
      <w:r>
        <w:rPr>
          <w:rFonts w:hint="eastAsia" w:ascii="仿宋" w:hAnsi="仿宋" w:eastAsia="仿宋" w:cs="仿宋"/>
          <w:b/>
          <w:bCs/>
          <w:kern w:val="2"/>
          <w:sz w:val="32"/>
          <w:szCs w:val="32"/>
          <w:lang w:val="en-US" w:eastAsia="zh-CN" w:bidi="ar-SA"/>
        </w:rPr>
        <w:t>（二）积极开展多样化培训。</w:t>
      </w:r>
      <w:r>
        <w:rPr>
          <w:rFonts w:hint="eastAsia" w:ascii="仿宋" w:hAnsi="仿宋" w:eastAsia="仿宋" w:cs="仿宋"/>
          <w:kern w:val="2"/>
          <w:sz w:val="32"/>
          <w:szCs w:val="24"/>
          <w:lang w:val="en-US" w:eastAsia="zh-CN"/>
        </w:rPr>
        <w:t>为提升执法人员运用法律法规和案卷制作的能力，我局推出系统化、实战化、多元化的培训模式。</w:t>
      </w:r>
      <w:r>
        <w:rPr>
          <w:rFonts w:hint="eastAsia" w:ascii="仿宋" w:hAnsi="仿宋" w:eastAsia="仿宋" w:cs="仿宋"/>
          <w:b/>
          <w:bCs/>
          <w:kern w:val="2"/>
          <w:sz w:val="32"/>
          <w:szCs w:val="24"/>
          <w:lang w:val="en-US" w:eastAsia="zh-CN"/>
        </w:rPr>
        <w:t>一是</w:t>
      </w:r>
      <w:r>
        <w:rPr>
          <w:rFonts w:hint="eastAsia" w:ascii="仿宋" w:hAnsi="仿宋" w:eastAsia="仿宋" w:cs="仿宋"/>
          <w:kern w:val="2"/>
          <w:sz w:val="32"/>
          <w:szCs w:val="24"/>
          <w:lang w:val="en-US" w:eastAsia="zh-CN"/>
        </w:rPr>
        <w:t>4月24日，组织开展城市管理行政执法业务能力培训会。邀请了专业人士进行授课，重点讲解法律法规的重要条款和适用范围，以及实际案例分析，使执法人员对《景德镇市市容和环境卫生管理条例（修订）》和《中华人民共和国城乡规划法》更进一步理解和掌握，参训人员共计100余人。</w:t>
      </w:r>
      <w:r>
        <w:rPr>
          <w:rFonts w:hint="eastAsia" w:ascii="仿宋" w:hAnsi="仿宋" w:eastAsia="仿宋" w:cs="仿宋"/>
          <w:b/>
          <w:bCs/>
          <w:kern w:val="2"/>
          <w:sz w:val="32"/>
          <w:szCs w:val="24"/>
          <w:lang w:val="en-US" w:eastAsia="zh-CN"/>
        </w:rPr>
        <w:t>二是</w:t>
      </w:r>
      <w:r>
        <w:rPr>
          <w:rFonts w:hint="eastAsia" w:ascii="仿宋" w:hAnsi="仿宋" w:eastAsia="仿宋" w:cs="仿宋"/>
          <w:kern w:val="2"/>
          <w:sz w:val="32"/>
          <w:szCs w:val="24"/>
          <w:lang w:val="en-US" w:eastAsia="zh-CN"/>
        </w:rPr>
        <w:t>6月4日，组织开展执法案卷制作培训会。重点围绕执法流程、证据固定、文书撰写等关键环节展开，邀请专业人士进行详细讲解与现场答疑。培训内容</w:t>
      </w:r>
      <w:bookmarkStart w:id="0" w:name="_GoBack"/>
      <w:bookmarkEnd w:id="0"/>
      <w:r>
        <w:rPr>
          <w:rFonts w:hint="eastAsia" w:ascii="仿宋" w:hAnsi="仿宋" w:eastAsia="仿宋" w:cs="仿宋"/>
          <w:kern w:val="2"/>
          <w:sz w:val="32"/>
          <w:szCs w:val="24"/>
          <w:lang w:val="en-US" w:eastAsia="zh-CN"/>
        </w:rPr>
        <w:t>实用、针对性强，有助于提升执法人员执法水平和案卷质量，并将把所学运用到实际工作中。</w:t>
      </w:r>
    </w:p>
    <w:p w14:paraId="616A9F2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b w:val="0"/>
          <w:bCs w:val="0"/>
          <w:kern w:val="2"/>
          <w:sz w:val="32"/>
          <w:szCs w:val="24"/>
          <w:lang w:val="en-US" w:eastAsia="zh-CN"/>
        </w:rPr>
      </w:pPr>
      <w:r>
        <w:rPr>
          <w:rFonts w:hint="eastAsia" w:ascii="黑体" w:hAnsi="黑体" w:eastAsia="黑体" w:cs="黑体"/>
          <w:kern w:val="2"/>
          <w:sz w:val="32"/>
          <w:szCs w:val="24"/>
          <w:lang w:val="en-US" w:eastAsia="zh-CN"/>
        </w:rPr>
        <w:t>三</w:t>
      </w:r>
      <w:r>
        <w:rPr>
          <w:rFonts w:hint="eastAsia" w:ascii="黑体" w:hAnsi="黑体" w:eastAsia="黑体" w:cs="黑体"/>
          <w:b w:val="0"/>
          <w:bCs w:val="0"/>
          <w:kern w:val="2"/>
          <w:sz w:val="32"/>
          <w:szCs w:val="24"/>
          <w:lang w:val="en-US" w:eastAsia="zh-CN"/>
        </w:rPr>
        <w:t>、开展普法宣传，营造良好执法环境</w:t>
      </w:r>
    </w:p>
    <w:p w14:paraId="118D0B6D">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default" w:ascii="仿宋" w:hAnsi="仿宋" w:eastAsia="仿宋" w:cs="仿宋"/>
          <w:kern w:val="2"/>
          <w:sz w:val="32"/>
          <w:szCs w:val="24"/>
          <w:lang w:val="en-US" w:eastAsia="zh-CN"/>
        </w:rPr>
      </w:pPr>
      <w:r>
        <w:rPr>
          <w:rFonts w:hint="eastAsia" w:ascii="Calibri" w:hAnsi="Calibri" w:eastAsia="仿宋" w:cs="Times New Roman"/>
          <w:b/>
          <w:bCs/>
          <w:kern w:val="2"/>
          <w:sz w:val="32"/>
          <w:szCs w:val="24"/>
          <w:lang w:val="en-US" w:eastAsia="zh-CN"/>
        </w:rPr>
        <w:t>（一）落实“谁执法谁普法”责任制。</w:t>
      </w:r>
      <w:r>
        <w:rPr>
          <w:rFonts w:hint="eastAsia" w:ascii="仿宋" w:hAnsi="仿宋" w:eastAsia="仿宋" w:cs="仿宋"/>
          <w:kern w:val="2"/>
          <w:sz w:val="32"/>
          <w:szCs w:val="24"/>
          <w:lang w:val="en-US" w:eastAsia="zh-CN"/>
        </w:rPr>
        <w:t>为严格落实“谁执法谁普法”工作责任制，我局制定2025年普法责任清单，并在政务网进行公示，明确普法任务和工作要求。将普法工作融入城市管理执法全过程，通过以案释法、现场说法等方式，向当事人和社会公众普及城市管理领域法律法规知识。</w:t>
      </w:r>
    </w:p>
    <w:p w14:paraId="34095BE9">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Calibri" w:hAnsi="Calibri" w:eastAsia="仿宋" w:cs="Times New Roman"/>
          <w:kern w:val="2"/>
          <w:sz w:val="32"/>
          <w:szCs w:val="24"/>
          <w:lang w:val="en-US" w:eastAsia="zh-CN"/>
        </w:rPr>
      </w:pPr>
      <w:r>
        <w:rPr>
          <w:rFonts w:hint="eastAsia" w:ascii="Calibri" w:hAnsi="Calibri" w:eastAsia="仿宋" w:cs="Times New Roman"/>
          <w:b/>
          <w:bCs/>
          <w:kern w:val="2"/>
          <w:sz w:val="32"/>
          <w:szCs w:val="24"/>
          <w:lang w:val="en-US" w:eastAsia="zh-CN"/>
        </w:rPr>
        <w:t>（二）积极开展普法宣传。一是</w:t>
      </w:r>
      <w:r>
        <w:rPr>
          <w:rFonts w:hint="eastAsia" w:ascii="Calibri" w:hAnsi="Calibri" w:eastAsia="仿宋" w:cs="Times New Roman"/>
          <w:kern w:val="2"/>
          <w:sz w:val="32"/>
          <w:szCs w:val="24"/>
          <w:lang w:val="en-US" w:eastAsia="zh-CN"/>
        </w:rPr>
        <w:t>组织开展“美好生活，民法典相伴”主题第五个“民法典宣传月”宣传活动。宣传活动通过投放沿街LED电子屏宣传标语、发放宣传材料、面对面解答等方式宣传《中华人民共和国民法典》，</w:t>
      </w:r>
      <w:r>
        <w:rPr>
          <w:rFonts w:hint="eastAsia" w:ascii="仿宋" w:hAnsi="仿宋" w:eastAsia="仿宋" w:cs="仿宋"/>
          <w:kern w:val="2"/>
          <w:sz w:val="32"/>
          <w:szCs w:val="24"/>
          <w:lang w:val="en-US" w:eastAsia="zh-CN"/>
        </w:rPr>
        <w:t>共投放LED屏30余处，发放宣传资料200余份，为群众提供相关法律咨询40余人次，</w:t>
      </w:r>
      <w:r>
        <w:rPr>
          <w:rFonts w:hint="eastAsia" w:ascii="Calibri" w:hAnsi="Calibri" w:eastAsia="仿宋" w:cs="Times New Roman"/>
          <w:kern w:val="2"/>
          <w:sz w:val="32"/>
          <w:szCs w:val="24"/>
          <w:lang w:val="en-US" w:eastAsia="zh-CN"/>
        </w:rPr>
        <w:t>切实推动民法典真正走进群众生活。</w:t>
      </w:r>
      <w:r>
        <w:rPr>
          <w:rFonts w:hint="eastAsia" w:ascii="Calibri" w:hAnsi="Calibri" w:eastAsia="仿宋" w:cs="Times New Roman"/>
          <w:b/>
          <w:bCs/>
          <w:kern w:val="2"/>
          <w:sz w:val="32"/>
          <w:szCs w:val="24"/>
          <w:lang w:val="en-US" w:eastAsia="zh-CN"/>
        </w:rPr>
        <w:t>二是</w:t>
      </w:r>
      <w:r>
        <w:rPr>
          <w:rFonts w:hint="eastAsia" w:ascii="Calibri" w:hAnsi="Calibri" w:eastAsia="仿宋" w:cs="Times New Roman"/>
          <w:kern w:val="2"/>
          <w:sz w:val="32"/>
          <w:szCs w:val="24"/>
          <w:lang w:val="en-US" w:eastAsia="zh-CN"/>
        </w:rPr>
        <w:t>开展第三届全国城市生活垃圾分类宣传周活动，以通俗易懂的语句向市民宣传生活垃圾分类的重要性，通过生动有趣的宣传册展示生活垃圾分类的方式，本次宣传活动</w:t>
      </w:r>
      <w:r>
        <w:rPr>
          <w:rFonts w:hint="eastAsia" w:ascii="仿宋" w:hAnsi="仿宋" w:eastAsia="仿宋" w:cs="仿宋"/>
          <w:kern w:val="2"/>
          <w:sz w:val="32"/>
          <w:szCs w:val="24"/>
          <w:lang w:val="en-US" w:eastAsia="zh-CN"/>
        </w:rPr>
        <w:t>发放宣传册200余份，为群众提供相关法律咨询30余人次。</w:t>
      </w:r>
      <w:r>
        <w:rPr>
          <w:rFonts w:hint="eastAsia" w:ascii="仿宋" w:hAnsi="仿宋" w:eastAsia="仿宋" w:cs="仿宋"/>
          <w:b/>
          <w:bCs/>
          <w:kern w:val="2"/>
          <w:sz w:val="32"/>
          <w:szCs w:val="24"/>
          <w:lang w:val="en-US" w:eastAsia="zh-CN"/>
        </w:rPr>
        <w:t>三是</w:t>
      </w:r>
      <w:r>
        <w:rPr>
          <w:rFonts w:hint="eastAsia" w:ascii="仿宋" w:hAnsi="仿宋" w:eastAsia="仿宋" w:cs="仿宋"/>
          <w:kern w:val="2"/>
          <w:sz w:val="32"/>
          <w:szCs w:val="24"/>
          <w:lang w:val="en-US" w:eastAsia="zh-CN"/>
        </w:rPr>
        <w:t>开展国际档案日宣传活动。该活动期间共投放LED屏40余处，发放宣传资料180余份。</w:t>
      </w:r>
      <w:r>
        <w:rPr>
          <w:rFonts w:hint="eastAsia" w:ascii="Calibri" w:hAnsi="Calibri" w:eastAsia="仿宋" w:cs="Times New Roman"/>
          <w:kern w:val="2"/>
          <w:sz w:val="32"/>
          <w:szCs w:val="24"/>
          <w:lang w:val="en-US" w:eastAsia="zh-CN"/>
        </w:rPr>
        <w:t>今年上半年，各项宣传共投放</w:t>
      </w:r>
      <w:r>
        <w:rPr>
          <w:rFonts w:hint="eastAsia" w:ascii="仿宋" w:hAnsi="仿宋" w:eastAsia="仿宋" w:cs="仿宋"/>
          <w:kern w:val="2"/>
          <w:sz w:val="32"/>
          <w:szCs w:val="24"/>
          <w:lang w:val="en-US" w:eastAsia="zh-CN"/>
        </w:rPr>
        <w:t>LED屏70余处，发放宣传资料580余份</w:t>
      </w:r>
      <w:r>
        <w:rPr>
          <w:rFonts w:hint="eastAsia" w:ascii="Calibri" w:hAnsi="Calibri" w:eastAsia="仿宋" w:cs="Times New Roman"/>
          <w:kern w:val="2"/>
          <w:sz w:val="32"/>
          <w:szCs w:val="24"/>
          <w:lang w:val="en-US" w:eastAsia="zh-CN"/>
        </w:rPr>
        <w:t>。</w:t>
      </w:r>
    </w:p>
    <w:p w14:paraId="6B2376C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kern w:val="2"/>
          <w:sz w:val="32"/>
          <w:szCs w:val="24"/>
          <w:lang w:val="en-US" w:eastAsia="zh-CN"/>
        </w:rPr>
      </w:pPr>
      <w:r>
        <w:rPr>
          <w:rFonts w:hint="eastAsia" w:ascii="黑体" w:hAnsi="黑体" w:eastAsia="黑体" w:cs="黑体"/>
          <w:kern w:val="2"/>
          <w:sz w:val="32"/>
          <w:szCs w:val="24"/>
          <w:lang w:val="en-US" w:eastAsia="zh-CN"/>
        </w:rPr>
        <w:t>四、存在的问题与不足</w:t>
      </w:r>
    </w:p>
    <w:p w14:paraId="055AE289">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default" w:ascii="Calibri" w:hAnsi="Calibri" w:eastAsia="仿宋" w:cs="Times New Roman"/>
          <w:kern w:val="2"/>
          <w:sz w:val="32"/>
          <w:szCs w:val="24"/>
          <w:lang w:val="en-US" w:eastAsia="zh-CN"/>
        </w:rPr>
      </w:pPr>
      <w:r>
        <w:rPr>
          <w:rFonts w:hint="eastAsia" w:ascii="Calibri" w:hAnsi="Calibri" w:eastAsia="仿宋" w:cs="Times New Roman"/>
          <w:b/>
          <w:bCs/>
          <w:kern w:val="2"/>
          <w:sz w:val="32"/>
          <w:szCs w:val="24"/>
          <w:lang w:val="en-US" w:eastAsia="zh-CN"/>
        </w:rPr>
        <w:t>（一）</w:t>
      </w:r>
      <w:r>
        <w:rPr>
          <w:rFonts w:hint="default" w:ascii="Calibri" w:hAnsi="Calibri" w:eastAsia="仿宋" w:cs="Times New Roman"/>
          <w:b/>
          <w:bCs/>
          <w:kern w:val="2"/>
          <w:sz w:val="32"/>
          <w:szCs w:val="24"/>
          <w:lang w:val="en-US" w:eastAsia="zh-CN"/>
        </w:rPr>
        <w:t>执法</w:t>
      </w:r>
      <w:r>
        <w:rPr>
          <w:rFonts w:hint="eastAsia" w:ascii="Calibri" w:hAnsi="Calibri" w:eastAsia="仿宋" w:cs="Times New Roman"/>
          <w:b/>
          <w:bCs/>
          <w:kern w:val="2"/>
          <w:sz w:val="32"/>
          <w:szCs w:val="24"/>
          <w:lang w:val="en-US" w:eastAsia="zh-CN"/>
        </w:rPr>
        <w:t>人员法治素养</w:t>
      </w:r>
      <w:r>
        <w:rPr>
          <w:rFonts w:hint="default" w:ascii="Calibri" w:hAnsi="Calibri" w:eastAsia="仿宋" w:cs="Times New Roman"/>
          <w:b/>
          <w:bCs/>
          <w:kern w:val="2"/>
          <w:sz w:val="32"/>
          <w:szCs w:val="24"/>
          <w:lang w:val="en-US" w:eastAsia="zh-CN"/>
        </w:rPr>
        <w:t>有待进一步</w:t>
      </w:r>
      <w:r>
        <w:rPr>
          <w:rFonts w:hint="eastAsia" w:ascii="Calibri" w:hAnsi="Calibri" w:eastAsia="仿宋" w:cs="Times New Roman"/>
          <w:b/>
          <w:bCs/>
          <w:kern w:val="2"/>
          <w:sz w:val="32"/>
          <w:szCs w:val="24"/>
          <w:lang w:val="en-US" w:eastAsia="zh-CN"/>
        </w:rPr>
        <w:t>提升。</w:t>
      </w:r>
      <w:r>
        <w:rPr>
          <w:rFonts w:hint="eastAsia" w:ascii="Calibri" w:hAnsi="Calibri" w:eastAsia="仿宋" w:cs="Times New Roman"/>
          <w:b w:val="0"/>
          <w:bCs w:val="0"/>
          <w:kern w:val="2"/>
          <w:sz w:val="32"/>
          <w:szCs w:val="24"/>
          <w:lang w:val="en-US" w:eastAsia="zh-CN"/>
        </w:rPr>
        <w:t>部分执法人员</w:t>
      </w:r>
      <w:r>
        <w:rPr>
          <w:rFonts w:hint="default" w:ascii="Calibri" w:hAnsi="Calibri" w:eastAsia="仿宋" w:cs="Times New Roman"/>
          <w:kern w:val="2"/>
          <w:sz w:val="32"/>
          <w:szCs w:val="24"/>
          <w:lang w:val="en-US" w:eastAsia="zh-CN"/>
        </w:rPr>
        <w:t>对新修订法律法规的理解掌握、依法</w:t>
      </w:r>
      <w:r>
        <w:rPr>
          <w:rFonts w:hint="eastAsia" w:ascii="Calibri" w:hAnsi="Calibri" w:eastAsia="仿宋" w:cs="Times New Roman"/>
          <w:kern w:val="2"/>
          <w:sz w:val="32"/>
          <w:szCs w:val="24"/>
          <w:lang w:val="en-US" w:eastAsia="zh-CN"/>
        </w:rPr>
        <w:t>化解矛盾能力</w:t>
      </w:r>
      <w:r>
        <w:rPr>
          <w:rFonts w:hint="default" w:ascii="Calibri" w:hAnsi="Calibri" w:eastAsia="仿宋" w:cs="Times New Roman"/>
          <w:kern w:val="2"/>
          <w:sz w:val="32"/>
          <w:szCs w:val="24"/>
          <w:lang w:val="en-US" w:eastAsia="zh-CN"/>
        </w:rPr>
        <w:t>有待加强。系统性、针对性的法治培训深度和频次仍需加</w:t>
      </w:r>
      <w:r>
        <w:rPr>
          <w:rFonts w:hint="eastAsia" w:ascii="Calibri" w:hAnsi="Calibri" w:eastAsia="仿宋" w:cs="Times New Roman"/>
          <w:kern w:val="2"/>
          <w:sz w:val="32"/>
          <w:szCs w:val="24"/>
          <w:lang w:val="en-US" w:eastAsia="zh-CN"/>
        </w:rPr>
        <w:t>强</w:t>
      </w:r>
      <w:r>
        <w:rPr>
          <w:rFonts w:hint="default" w:ascii="Calibri" w:hAnsi="Calibri" w:eastAsia="仿宋" w:cs="Times New Roman"/>
          <w:kern w:val="2"/>
          <w:sz w:val="32"/>
          <w:szCs w:val="24"/>
          <w:lang w:val="en-US" w:eastAsia="zh-CN"/>
        </w:rPr>
        <w:t>。</w:t>
      </w:r>
    </w:p>
    <w:p w14:paraId="257B36A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Calibri" w:hAnsi="Calibri" w:eastAsia="仿宋" w:cs="Times New Roman"/>
          <w:b w:val="0"/>
          <w:bCs w:val="0"/>
          <w:kern w:val="2"/>
          <w:sz w:val="32"/>
          <w:szCs w:val="24"/>
          <w:lang w:val="en-US" w:eastAsia="zh-CN"/>
        </w:rPr>
      </w:pPr>
      <w:r>
        <w:rPr>
          <w:rFonts w:hint="eastAsia" w:ascii="Calibri" w:hAnsi="Calibri" w:eastAsia="仿宋" w:cs="Times New Roman"/>
          <w:b/>
          <w:bCs/>
          <w:kern w:val="2"/>
          <w:sz w:val="32"/>
          <w:szCs w:val="24"/>
          <w:lang w:eastAsia="zh-CN"/>
        </w:rPr>
        <w:t>（</w:t>
      </w:r>
      <w:r>
        <w:rPr>
          <w:rFonts w:hint="eastAsia" w:ascii="Calibri" w:hAnsi="Calibri" w:eastAsia="仿宋" w:cs="Times New Roman"/>
          <w:b/>
          <w:bCs/>
          <w:kern w:val="2"/>
          <w:sz w:val="32"/>
          <w:szCs w:val="24"/>
          <w:lang w:val="en-US" w:eastAsia="zh-CN"/>
        </w:rPr>
        <w:t>二</w:t>
      </w:r>
      <w:r>
        <w:rPr>
          <w:rFonts w:hint="eastAsia" w:ascii="Calibri" w:hAnsi="Calibri" w:eastAsia="仿宋" w:cs="Times New Roman"/>
          <w:b/>
          <w:bCs/>
          <w:kern w:val="2"/>
          <w:sz w:val="32"/>
          <w:szCs w:val="24"/>
          <w:lang w:eastAsia="zh-CN"/>
        </w:rPr>
        <w:t>）</w:t>
      </w:r>
      <w:r>
        <w:rPr>
          <w:rFonts w:hint="eastAsia" w:ascii="Calibri" w:hAnsi="Calibri" w:eastAsia="仿宋" w:cs="Times New Roman"/>
          <w:b/>
          <w:bCs/>
          <w:kern w:val="2"/>
          <w:sz w:val="32"/>
          <w:szCs w:val="24"/>
          <w:lang w:val="en-US" w:eastAsia="zh-CN"/>
        </w:rPr>
        <w:t>基层法治力量不足。</w:t>
      </w:r>
      <w:r>
        <w:rPr>
          <w:rFonts w:hint="eastAsia" w:ascii="Calibri" w:hAnsi="Calibri" w:eastAsia="仿宋" w:cs="Times New Roman"/>
          <w:b w:val="0"/>
          <w:bCs w:val="0"/>
          <w:kern w:val="2"/>
          <w:sz w:val="32"/>
          <w:szCs w:val="24"/>
          <w:lang w:val="en-US" w:eastAsia="zh-CN"/>
        </w:rPr>
        <w:t>基层执法人员法律专业人才不足，部分执法人员缺乏系统法律培训。</w:t>
      </w:r>
    </w:p>
    <w:p w14:paraId="227505C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default" w:ascii="Calibri" w:hAnsi="Calibri" w:eastAsia="仿宋" w:cs="Times New Roman"/>
          <w:b w:val="0"/>
          <w:bCs w:val="0"/>
          <w:kern w:val="2"/>
          <w:sz w:val="32"/>
          <w:szCs w:val="24"/>
          <w:lang w:val="en-US" w:eastAsia="zh-CN"/>
        </w:rPr>
      </w:pPr>
      <w:r>
        <w:rPr>
          <w:rFonts w:hint="eastAsia" w:ascii="Calibri" w:hAnsi="Calibri" w:eastAsia="仿宋" w:cs="Times New Roman"/>
          <w:b/>
          <w:bCs/>
          <w:kern w:val="2"/>
          <w:sz w:val="32"/>
          <w:szCs w:val="24"/>
          <w:lang w:val="en-US" w:eastAsia="zh-CN"/>
        </w:rPr>
        <w:t>（三）法治宣传教育形式单一。</w:t>
      </w:r>
      <w:r>
        <w:rPr>
          <w:rFonts w:hint="eastAsia" w:ascii="Calibri" w:hAnsi="Calibri" w:eastAsia="仿宋" w:cs="Times New Roman"/>
          <w:b w:val="0"/>
          <w:bCs w:val="0"/>
          <w:kern w:val="2"/>
          <w:sz w:val="32"/>
          <w:szCs w:val="24"/>
          <w:lang w:val="en-US" w:eastAsia="zh-CN"/>
        </w:rPr>
        <w:t>虽然利用沿街店面</w:t>
      </w:r>
      <w:r>
        <w:rPr>
          <w:rFonts w:hint="eastAsia" w:ascii="仿宋" w:hAnsi="仿宋" w:eastAsia="仿宋" w:cs="仿宋"/>
          <w:kern w:val="2"/>
          <w:sz w:val="32"/>
          <w:szCs w:val="24"/>
          <w:lang w:val="en-US" w:eastAsia="zh-CN"/>
        </w:rPr>
        <w:t>LED</w:t>
      </w:r>
      <w:r>
        <w:rPr>
          <w:rFonts w:hint="eastAsia" w:ascii="Calibri" w:hAnsi="Calibri" w:eastAsia="仿宋" w:cs="Times New Roman"/>
          <w:b w:val="0"/>
          <w:bCs w:val="0"/>
          <w:kern w:val="2"/>
          <w:sz w:val="32"/>
          <w:szCs w:val="24"/>
          <w:lang w:val="en-US" w:eastAsia="zh-CN"/>
        </w:rPr>
        <w:t>屏的优势，扩大普法拓展面，但尚未充分满足不同群体对法律知识的需求。</w:t>
      </w:r>
    </w:p>
    <w:p w14:paraId="77869D3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kern w:val="2"/>
          <w:sz w:val="32"/>
          <w:szCs w:val="24"/>
          <w:lang w:val="en-US" w:eastAsia="zh-CN"/>
        </w:rPr>
      </w:pPr>
      <w:r>
        <w:rPr>
          <w:rFonts w:hint="eastAsia" w:ascii="黑体" w:hAnsi="黑体" w:eastAsia="黑体" w:cs="黑体"/>
          <w:kern w:val="2"/>
          <w:sz w:val="32"/>
          <w:szCs w:val="24"/>
          <w:lang w:val="en-US" w:eastAsia="zh-CN"/>
        </w:rPr>
        <w:t>五、2025年下半年工作计划</w:t>
      </w:r>
    </w:p>
    <w:p w14:paraId="300557F4">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b w:val="0"/>
          <w:bCs w:val="0"/>
          <w:kern w:val="2"/>
          <w:sz w:val="32"/>
          <w:szCs w:val="24"/>
          <w:lang w:val="en-US" w:eastAsia="zh-CN"/>
        </w:rPr>
      </w:pPr>
      <w:r>
        <w:rPr>
          <w:rFonts w:hint="eastAsia" w:ascii="Calibri" w:hAnsi="Calibri" w:eastAsia="仿宋" w:cs="Times New Roman"/>
          <w:b/>
          <w:bCs/>
          <w:kern w:val="2"/>
          <w:sz w:val="32"/>
          <w:szCs w:val="24"/>
          <w:lang w:val="en-US" w:eastAsia="zh-CN"/>
        </w:rPr>
        <w:t>（一）</w:t>
      </w:r>
      <w:r>
        <w:rPr>
          <w:rFonts w:hint="default" w:ascii="Calibri" w:hAnsi="Calibri" w:eastAsia="仿宋" w:cs="Times New Roman"/>
          <w:b/>
          <w:bCs/>
          <w:kern w:val="2"/>
          <w:sz w:val="32"/>
          <w:szCs w:val="24"/>
          <w:lang w:eastAsia="zh-CN"/>
        </w:rPr>
        <w:t>持续加强执法人员法治培训。</w:t>
      </w:r>
      <w:r>
        <w:rPr>
          <w:rFonts w:hint="eastAsia" w:ascii="仿宋" w:hAnsi="仿宋" w:eastAsia="仿宋" w:cs="仿宋"/>
          <w:b w:val="0"/>
          <w:bCs w:val="0"/>
          <w:kern w:val="2"/>
          <w:sz w:val="32"/>
          <w:szCs w:val="24"/>
          <w:lang w:val="en-US" w:eastAsia="zh-CN"/>
        </w:rPr>
        <w:t>计划在下半年组织集中</w:t>
      </w:r>
      <w:r>
        <w:rPr>
          <w:rFonts w:hint="default" w:ascii="仿宋" w:hAnsi="仿宋" w:eastAsia="仿宋" w:cs="仿宋"/>
          <w:b w:val="0"/>
          <w:bCs w:val="0"/>
          <w:kern w:val="2"/>
          <w:sz w:val="32"/>
          <w:szCs w:val="24"/>
          <w:lang w:eastAsia="zh-CN"/>
        </w:rPr>
        <w:t>法治</w:t>
      </w:r>
      <w:r>
        <w:rPr>
          <w:rFonts w:hint="eastAsia" w:ascii="仿宋" w:hAnsi="仿宋" w:eastAsia="仿宋" w:cs="仿宋"/>
          <w:b w:val="0"/>
          <w:bCs w:val="0"/>
          <w:kern w:val="2"/>
          <w:sz w:val="32"/>
          <w:szCs w:val="24"/>
          <w:lang w:val="en-US" w:eastAsia="zh-CN"/>
        </w:rPr>
        <w:t>培训，对执法工作中遇到的难点问题进行培训。同时，要求执法人员按时完成线上法治课程学习，完成执法人员全年不少于60学时的要求，我局将不断提高执法人员的法律素养和业务能力。</w:t>
      </w:r>
    </w:p>
    <w:p w14:paraId="7705B5B4">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b w:val="0"/>
          <w:bCs w:val="0"/>
          <w:kern w:val="2"/>
          <w:sz w:val="32"/>
          <w:szCs w:val="24"/>
          <w:lang w:val="en-US" w:eastAsia="zh-CN"/>
        </w:rPr>
      </w:pPr>
      <w:r>
        <w:rPr>
          <w:rFonts w:hint="eastAsia" w:ascii="Calibri" w:hAnsi="Calibri" w:eastAsia="仿宋" w:cs="Times New Roman"/>
          <w:b/>
          <w:bCs/>
          <w:kern w:val="2"/>
          <w:sz w:val="32"/>
          <w:szCs w:val="24"/>
          <w:lang w:val="en-US" w:eastAsia="zh-CN"/>
        </w:rPr>
        <w:t>（二）创新普法宣传形式和内容</w:t>
      </w:r>
      <w:r>
        <w:rPr>
          <w:rFonts w:hint="eastAsia" w:ascii="仿宋" w:hAnsi="仿宋" w:eastAsia="仿宋" w:cs="仿宋"/>
          <w:b w:val="0"/>
          <w:bCs w:val="0"/>
          <w:kern w:val="2"/>
          <w:sz w:val="32"/>
          <w:szCs w:val="24"/>
          <w:lang w:val="en-US" w:eastAsia="zh-CN"/>
        </w:rPr>
        <w:t>。探索新的宣传形式和内容，如利用社交媒体等新媒体平台开展宣传活动，提高宣传教育针对性。</w:t>
      </w:r>
    </w:p>
    <w:p w14:paraId="33C6587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default" w:ascii="Calibri" w:hAnsi="Calibri" w:eastAsia="仿宋" w:cs="Times New Roman"/>
          <w:kern w:val="2"/>
          <w:sz w:val="32"/>
          <w:szCs w:val="24"/>
          <w:lang w:val="en-US" w:eastAsia="zh-CN"/>
        </w:rPr>
      </w:pPr>
      <w:r>
        <w:rPr>
          <w:rFonts w:hint="eastAsia" w:ascii="Calibri" w:hAnsi="Calibri" w:eastAsia="仿宋" w:cs="Times New Roman"/>
          <w:b/>
          <w:bCs/>
          <w:kern w:val="2"/>
          <w:sz w:val="32"/>
          <w:szCs w:val="24"/>
          <w:lang w:val="en-US" w:eastAsia="zh-CN"/>
        </w:rPr>
        <w:t>（三）</w:t>
      </w:r>
      <w:r>
        <w:rPr>
          <w:rFonts w:hint="default" w:ascii="Calibri" w:hAnsi="Calibri" w:eastAsia="仿宋" w:cs="Times New Roman"/>
          <w:b/>
          <w:bCs/>
          <w:kern w:val="2"/>
          <w:sz w:val="32"/>
          <w:szCs w:val="24"/>
          <w:lang w:val="en-US" w:eastAsia="zh-CN"/>
        </w:rPr>
        <w:t>加强与其他部门的协调与配合</w:t>
      </w:r>
      <w:r>
        <w:rPr>
          <w:rFonts w:hint="eastAsia" w:ascii="Calibri" w:hAnsi="Calibri" w:eastAsia="仿宋" w:cs="Times New Roman"/>
          <w:b/>
          <w:bCs/>
          <w:kern w:val="2"/>
          <w:sz w:val="32"/>
          <w:szCs w:val="24"/>
          <w:lang w:val="en-US" w:eastAsia="zh-CN"/>
        </w:rPr>
        <w:t>。</w:t>
      </w:r>
      <w:r>
        <w:rPr>
          <w:rFonts w:hint="default" w:ascii="Calibri" w:hAnsi="Calibri" w:eastAsia="仿宋" w:cs="Times New Roman"/>
          <w:kern w:val="2"/>
          <w:sz w:val="32"/>
          <w:szCs w:val="24"/>
          <w:lang w:val="en-US" w:eastAsia="zh-CN"/>
        </w:rPr>
        <w:t>进一步加强与其他部门的协调与配合，形成工作合力，共同推进城市管理</w:t>
      </w:r>
      <w:r>
        <w:rPr>
          <w:rFonts w:hint="eastAsia" w:ascii="Calibri" w:hAnsi="Calibri" w:eastAsia="仿宋" w:cs="Times New Roman"/>
          <w:kern w:val="2"/>
          <w:sz w:val="32"/>
          <w:szCs w:val="24"/>
          <w:lang w:val="en-US" w:eastAsia="zh-CN"/>
        </w:rPr>
        <w:t>法治化</w:t>
      </w:r>
      <w:r>
        <w:rPr>
          <w:rFonts w:hint="default" w:ascii="Calibri" w:hAnsi="Calibri" w:eastAsia="仿宋" w:cs="Times New Roman"/>
          <w:kern w:val="2"/>
          <w:sz w:val="32"/>
          <w:szCs w:val="24"/>
          <w:lang w:val="en-US" w:eastAsia="zh-CN"/>
        </w:rPr>
        <w:t>进程。</w:t>
      </w:r>
    </w:p>
    <w:p w14:paraId="5C976743">
      <w:pPr>
        <w:keepNext w:val="0"/>
        <w:keepLines w:val="0"/>
        <w:pageBreakBefore w:val="0"/>
        <w:widowControl w:val="0"/>
        <w:kinsoku/>
        <w:wordWrap/>
        <w:overflowPunct/>
        <w:topLinePunct w:val="0"/>
        <w:autoSpaceDE/>
        <w:autoSpaceDN/>
        <w:bidi w:val="0"/>
        <w:adjustRightInd/>
        <w:snapToGrid/>
        <w:spacing w:line="240" w:lineRule="auto"/>
        <w:ind w:firstLine="4480" w:firstLineChars="1400"/>
        <w:jc w:val="both"/>
        <w:textAlignment w:val="auto"/>
        <w:rPr>
          <w:rFonts w:hint="eastAsia" w:ascii="仿宋" w:hAnsi="仿宋" w:eastAsia="仿宋" w:cs="仿宋"/>
          <w:kern w:val="2"/>
          <w:sz w:val="32"/>
          <w:szCs w:val="32"/>
          <w:lang w:val="en-US" w:eastAsia="zh-CN" w:bidi="ar-SA"/>
        </w:rPr>
      </w:pPr>
    </w:p>
    <w:p w14:paraId="5292BE4F">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昌江区城市管理局</w:t>
      </w:r>
    </w:p>
    <w:p w14:paraId="6531A6F9">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eastAsia" w:ascii="宋体" w:hAnsi="宋体" w:eastAsia="宋体" w:cs="宋体"/>
          <w:kern w:val="2"/>
          <w:sz w:val="27"/>
          <w:szCs w:val="27"/>
          <w:lang w:val="en-US" w:eastAsia="zh-CN" w:bidi="ar-SA"/>
        </w:rPr>
      </w:pPr>
      <w:r>
        <w:rPr>
          <w:rFonts w:hint="eastAsia" w:ascii="仿宋" w:hAnsi="仿宋" w:eastAsia="仿宋" w:cs="仿宋"/>
          <w:kern w:val="2"/>
          <w:sz w:val="32"/>
          <w:szCs w:val="32"/>
          <w:lang w:val="en-US" w:eastAsia="zh-CN" w:bidi="ar-SA"/>
        </w:rPr>
        <w:t>2025年6月30日</w:t>
      </w:r>
    </w:p>
    <w:p w14:paraId="29113EC5">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Calibri" w:hAnsi="Calibri" w:eastAsia="仿宋" w:cs="Times New Roman"/>
          <w:kern w:val="2"/>
          <w:sz w:val="32"/>
          <w:szCs w:val="24"/>
          <w:lang w:eastAsia="zh-CN"/>
        </w:rPr>
      </w:pPr>
    </w:p>
    <w:p w14:paraId="3E5D5531">
      <w:pPr>
        <w:widowControl w:val="0"/>
        <w:spacing w:after="0" w:line="560" w:lineRule="exact"/>
        <w:jc w:val="both"/>
        <w:rPr>
          <w:rFonts w:ascii="Calibri" w:hAnsi="Calibri" w:eastAsia="仿宋" w:cs="Times New Roman"/>
          <w:kern w:val="2"/>
          <w:sz w:val="32"/>
          <w:szCs w:val="24"/>
          <w:lang w:eastAsia="zh-CN"/>
        </w:rPr>
      </w:pPr>
    </w:p>
    <w:p w14:paraId="3213FC9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18394"/>
    <w:multiLevelType w:val="singleLevel"/>
    <w:tmpl w:val="E90183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31667"/>
    <w:rsid w:val="030F1316"/>
    <w:rsid w:val="078256BC"/>
    <w:rsid w:val="107A32CD"/>
    <w:rsid w:val="107F01E4"/>
    <w:rsid w:val="110F3D14"/>
    <w:rsid w:val="1139279A"/>
    <w:rsid w:val="13EE26A7"/>
    <w:rsid w:val="161E073F"/>
    <w:rsid w:val="195D6AAB"/>
    <w:rsid w:val="1AE2232B"/>
    <w:rsid w:val="21690589"/>
    <w:rsid w:val="316B24B5"/>
    <w:rsid w:val="326707D0"/>
    <w:rsid w:val="3D9D473A"/>
    <w:rsid w:val="406A2B23"/>
    <w:rsid w:val="4436418B"/>
    <w:rsid w:val="448C7F5E"/>
    <w:rsid w:val="4C9028AE"/>
    <w:rsid w:val="51374D4F"/>
    <w:rsid w:val="51AA328F"/>
    <w:rsid w:val="56B05C4A"/>
    <w:rsid w:val="576C5B8C"/>
    <w:rsid w:val="597F4D86"/>
    <w:rsid w:val="5BF86F72"/>
    <w:rsid w:val="61A662FA"/>
    <w:rsid w:val="68BE01B8"/>
    <w:rsid w:val="6BA31667"/>
    <w:rsid w:val="6E2B3DDB"/>
    <w:rsid w:val="728B608B"/>
    <w:rsid w:val="78AF4923"/>
    <w:rsid w:val="79CF5668"/>
    <w:rsid w:val="7B1B72DA"/>
    <w:rsid w:val="7B4A3635"/>
    <w:rsid w:val="7C736BF8"/>
    <w:rsid w:val="7CCC18CF"/>
    <w:rsid w:val="7D5363C9"/>
    <w:rsid w:val="7E437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宋体" w:asciiTheme="minorAscii" w:hAnsiTheme="minorAscii"/>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cs="仿宋"/>
      <w:b/>
      <w:sz w:val="32"/>
      <w:szCs w:val="22"/>
      <w:lang w:val="zh-CN" w:bidi="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0"/>
    <w:pPr>
      <w:spacing w:before="120" w:line="560" w:lineRule="exact"/>
    </w:pPr>
    <w:rPr>
      <w:rFonts w:ascii="Cambria" w:hAnsi="Cambria" w:eastAsiaTheme="minorEastAsia"/>
      <w:sz w:val="24"/>
      <w:szCs w:val="22"/>
      <w:lang w:eastAsia="en-US"/>
    </w:rPr>
  </w:style>
  <w:style w:type="paragraph" w:styleId="6">
    <w:name w:val="Body Text"/>
    <w:basedOn w:val="1"/>
    <w:qFormat/>
    <w:uiPriority w:val="1"/>
    <w:rPr>
      <w:rFonts w:ascii="仿宋" w:hAnsi="仿宋" w:eastAsia="仿宋" w:cs="仿宋"/>
      <w:sz w:val="32"/>
      <w:szCs w:val="32"/>
      <w:lang w:val="zh-CN" w:eastAsia="zh-CN" w:bidi="zh-CN"/>
    </w:rPr>
  </w:style>
  <w:style w:type="paragraph" w:styleId="7">
    <w:name w:val="Body Text Indent"/>
    <w:basedOn w:val="1"/>
    <w:qFormat/>
    <w:uiPriority w:val="0"/>
    <w:pPr>
      <w:spacing w:after="120" w:afterLines="0" w:afterAutospacing="0"/>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6"/>
    <w:unhideWhenUsed/>
    <w:qFormat/>
    <w:uiPriority w:val="99"/>
    <w:pPr>
      <w:spacing w:before="100" w:beforeAutospacing="1"/>
      <w:ind w:firstLine="420" w:firstLineChars="100"/>
    </w:pPr>
  </w:style>
  <w:style w:type="paragraph" w:styleId="10">
    <w:name w:val="Body Text First Indent 2"/>
    <w:basedOn w:val="7"/>
    <w:qFormat/>
    <w:uiPriority w:val="0"/>
    <w:pPr>
      <w:ind w:firstLine="420" w:firstLineChars="200"/>
    </w:pPr>
  </w:style>
  <w:style w:type="character" w:styleId="13">
    <w:name w:val="Strong"/>
    <w:basedOn w:val="12"/>
    <w:qFormat/>
    <w:uiPriority w:val="0"/>
    <w:rPr>
      <w:b/>
    </w:rPr>
  </w:style>
  <w:style w:type="paragraph" w:customStyle="1" w:styleId="14">
    <w:name w:val="样式1"/>
    <w:basedOn w:val="1"/>
    <w:qFormat/>
    <w:uiPriority w:val="0"/>
    <w:pPr>
      <w:kinsoku w:val="0"/>
      <w:autoSpaceDE w:val="0"/>
      <w:autoSpaceDN w:val="0"/>
      <w:spacing w:line="320" w:lineRule="exact"/>
      <w:ind w:firstLine="420" w:firstLineChars="200"/>
    </w:pPr>
    <w:rPr>
      <w:rFonts w:hint="eastAsia" w:ascii="仿宋" w:hAnsi="仿宋" w:eastAsia="仿宋" w:cs="仿宋"/>
      <w:color w:val="000000" w:themeColor="text1"/>
      <w:kern w:val="2"/>
      <w:sz w:val="21"/>
      <w:szCs w:val="21"/>
      <w:lang w:eastAsia="zh-CN"/>
      <w14:textFill>
        <w14:solidFill>
          <w14:schemeClr w14:val="tx1"/>
        </w14:solidFill>
      </w14:textFill>
    </w:rPr>
  </w:style>
  <w:style w:type="paragraph" w:customStyle="1" w:styleId="15">
    <w:name w:val="样式2"/>
    <w:basedOn w:val="1"/>
    <w:qFormat/>
    <w:uiPriority w:val="0"/>
    <w:pPr>
      <w:kinsoku w:val="0"/>
      <w:autoSpaceDE w:val="0"/>
      <w:autoSpaceDN w:val="0"/>
      <w:spacing w:line="320" w:lineRule="exact"/>
      <w:ind w:firstLine="420" w:firstLineChars="200"/>
    </w:pPr>
    <w:rPr>
      <w:rFonts w:hint="eastAsia" w:ascii="黑体" w:hAnsi="黑体" w:eastAsia="黑体" w:cs="黑体"/>
      <w:color w:val="000000" w:themeColor="text1"/>
      <w:kern w:val="2"/>
      <w:sz w:val="21"/>
      <w:szCs w:val="21"/>
      <w:lang w:eastAsia="zh-CN"/>
      <w14:textFill>
        <w14:solidFill>
          <w14:schemeClr w14:val="tx1"/>
        </w14:solidFill>
      </w14:textFill>
    </w:rPr>
  </w:style>
  <w:style w:type="paragraph" w:customStyle="1" w:styleId="16">
    <w:name w:val="样式3"/>
    <w:basedOn w:val="1"/>
    <w:qFormat/>
    <w:uiPriority w:val="0"/>
    <w:pPr>
      <w:kinsoku w:val="0"/>
      <w:autoSpaceDE w:val="0"/>
      <w:autoSpaceDN w:val="0"/>
      <w:spacing w:line="320" w:lineRule="exact"/>
      <w:ind w:firstLine="422" w:firstLineChars="200"/>
    </w:pPr>
    <w:rPr>
      <w:rFonts w:hint="eastAsia" w:ascii="仿宋" w:hAnsi="仿宋" w:eastAsia="仿宋" w:cs="仿宋"/>
      <w:b/>
      <w:color w:val="000000" w:themeColor="text1"/>
      <w:kern w:val="2"/>
      <w:sz w:val="21"/>
      <w:szCs w:val="21"/>
      <w:lang w:eastAsia="zh-CN"/>
      <w14:textFill>
        <w14:solidFill>
          <w14:schemeClr w14:val="tx1"/>
        </w14:solidFill>
      </w14:textFill>
    </w:rPr>
  </w:style>
  <w:style w:type="paragraph" w:customStyle="1" w:styleId="17">
    <w:name w:val="UserStyle_0"/>
    <w:basedOn w:val="1"/>
    <w:qFormat/>
    <w:uiPriority w:val="0"/>
    <w:pPr>
      <w:ind w:left="680"/>
      <w:jc w:val="both"/>
      <w:textAlignment w:val="baseline"/>
    </w:pPr>
    <w:rPr>
      <w:rFonts w:ascii="Calibri" w:hAnsi="Calibri" w:eastAsia="宋体"/>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1791</Words>
  <Characters>1840</Characters>
  <Lines>0</Lines>
  <Paragraphs>0</Paragraphs>
  <TotalTime>122</TotalTime>
  <ScaleCrop>false</ScaleCrop>
  <LinksUpToDate>false</LinksUpToDate>
  <CharactersWithSpaces>1840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2025-06-26T07:35:00Z</dcterms:created>
  <dc:creator>微笑着去飞翔</dc:creator>
  <cp:lastModifiedBy>微笑着去飞翔</cp:lastModifiedBy>
  <cp:lastPrinted>2025-06-30T02:26:00Z</cp:lastPrinted>
  <dcterms:modified xsi:type="dcterms:W3CDTF">2025-07-01T07:13:19Z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2DF35A2DD2AA49E0929614C27EF1D24B_13</vt:lpwstr>
  </property>
  <property fmtid="{D5CDD505-2E9C-101B-9397-08002B2CF9AE}" pid="4" name="KSOTemplateDocerSaveRecord">
    <vt:lpwstr>eyJoZGlkIjoiZTdkZWEyMDFjYzJmMzJmYWQ1YmEyYzdlM2Q1ZDJkY2MiLCJ1c2VySWQiOiIzMTA1NjcyMjAifQ==</vt:lpwstr>
  </property>
</Properties>
</file>