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830F1">
      <w:pPr>
        <w:pStyle w:val="2"/>
        <w:widowControl/>
        <w:shd w:val="clear" w:color="auto" w:fill="FFFFFF"/>
        <w:spacing w:beforeAutospacing="0" w:afterAutospacing="0" w:line="480" w:lineRule="atLeast"/>
        <w:jc w:val="center"/>
        <w:rPr>
          <w:rFonts w:hint="default" w:ascii="黑体" w:eastAsia="黑体" w:cs="黑体"/>
          <w:color w:val="000000"/>
          <w:sz w:val="36"/>
          <w:szCs w:val="36"/>
        </w:rPr>
      </w:pPr>
      <w:r>
        <w:rPr>
          <w:rFonts w:ascii="黑体" w:eastAsia="黑体" w:cs="黑体"/>
          <w:color w:val="000000"/>
          <w:sz w:val="36"/>
          <w:szCs w:val="36"/>
          <w:shd w:val="clear" w:color="auto" w:fill="FFFFFF"/>
        </w:rPr>
        <w:t>202</w:t>
      </w:r>
      <w:r>
        <w:rPr>
          <w:rFonts w:hint="eastAsia" w:ascii="黑体" w:eastAsia="黑体" w:cs="黑体"/>
          <w:color w:val="00000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ascii="黑体" w:eastAsia="黑体" w:cs="黑体"/>
          <w:color w:val="000000"/>
          <w:sz w:val="36"/>
          <w:szCs w:val="36"/>
          <w:shd w:val="clear" w:color="auto" w:fill="FFFFFF"/>
        </w:rPr>
        <w:t>年转移支付情况说明</w:t>
      </w:r>
    </w:p>
    <w:p w14:paraId="6B06F54F">
      <w:pPr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</w:p>
    <w:p w14:paraId="19F68595">
      <w:pPr>
        <w:ind w:left="538" w:leftChars="256" w:firstLine="540" w:firstLineChars="200"/>
        <w:jc w:val="left"/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一、税收返还和转移支付情况</w:t>
      </w:r>
    </w:p>
    <w:p w14:paraId="127E0EEF">
      <w:pPr>
        <w:ind w:left="538" w:leftChars="256" w:firstLine="540" w:firstLineChars="200"/>
        <w:jc w:val="left"/>
        <w:rPr>
          <w:rFonts w:eastAsia="宋体"/>
        </w:rPr>
      </w:pP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根据编制202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年财政预算时上级转移支付资金情况，其中返还性收入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32652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万元、一般性转移支付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eastAsia="zh-CN"/>
        </w:rPr>
        <w:t>收入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29133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万元、专项转移支付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eastAsia="zh-CN"/>
        </w:rPr>
        <w:t>收入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  <w:lang w:val="en-US" w:eastAsia="zh-CN"/>
        </w:rPr>
        <w:t>9116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>万元。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   二、转移支付资金安排情况</w:t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333333"/>
          <w:sz w:val="27"/>
          <w:szCs w:val="27"/>
          <w:shd w:val="clear" w:color="auto" w:fill="FFFFFF"/>
        </w:rPr>
        <w:t xml:space="preserve">    根据上级转移支付资金的性质，转移支付的支出安排除特定专项用途的之外，安排在本级人员工资，部门业务费等方面支出。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NjI5MGI5NzU5ZTYzZjE5YTY2YWM4MjgxMGJkNjMifQ=="/>
  </w:docVars>
  <w:rsids>
    <w:rsidRoot w:val="00E879DC"/>
    <w:rsid w:val="008F5099"/>
    <w:rsid w:val="00AD6F0A"/>
    <w:rsid w:val="00E879DC"/>
    <w:rsid w:val="0B620F8C"/>
    <w:rsid w:val="102C4D5B"/>
    <w:rsid w:val="125B1CC5"/>
    <w:rsid w:val="13E54171"/>
    <w:rsid w:val="13E8614E"/>
    <w:rsid w:val="2B260C0F"/>
    <w:rsid w:val="44836E6A"/>
    <w:rsid w:val="5FD9799D"/>
    <w:rsid w:val="68647E40"/>
    <w:rsid w:val="6EA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144</Words>
  <Characters>161</Characters>
  <Lines>1</Lines>
  <Paragraphs>1</Paragraphs>
  <TotalTime>1233</TotalTime>
  <ScaleCrop>false</ScaleCrop>
  <LinksUpToDate>false</LinksUpToDate>
  <CharactersWithSpaces>170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果冻</cp:lastModifiedBy>
  <dcterms:modified xsi:type="dcterms:W3CDTF">2025-06-25T08:23:23Z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F97C32632FC14E879D2DA18CC0BBB697_13</vt:lpwstr>
  </property>
  <property fmtid="{D5CDD505-2E9C-101B-9397-08002B2CF9AE}" pid="4" name="KSOTemplateDocerSaveRecord">
    <vt:lpwstr>eyJoZGlkIjoiOTlhNjI5MGI5NzU5ZTYzZjE5YTY2YWM4MjgxMGJkNjMiLCJ1c2VySWQiOiIzNzQxNjAxNTgifQ==</vt:lpwstr>
  </property>
</Properties>
</file>