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68FBC">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2312" w:hAnsi="方正仿宋_GB2312" w:eastAsia="方正仿宋_GB2312" w:cs="方正仿宋_GB2312"/>
          <w:b/>
          <w:bCs/>
          <w:sz w:val="32"/>
          <w:szCs w:val="32"/>
        </w:rPr>
      </w:pPr>
    </w:p>
    <w:p w14:paraId="044C7E64">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2024年预算绩效管理工作开展情况</w:t>
      </w:r>
    </w:p>
    <w:p w14:paraId="43231C45">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2312" w:hAnsi="方正仿宋_GB2312" w:eastAsia="方正仿宋_GB2312" w:cs="方正仿宋_GB2312"/>
          <w:b/>
          <w:bCs/>
          <w:sz w:val="32"/>
          <w:szCs w:val="32"/>
        </w:rPr>
      </w:pPr>
    </w:p>
    <w:p w14:paraId="1212743E">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2024年，我区深入贯彻</w:t>
      </w:r>
      <w:r>
        <w:rPr>
          <w:rFonts w:ascii="仿宋_GB2312" w:hAnsi="仿宋_GB2312" w:eastAsia="仿宋_GB2312" w:cs="仿宋_GB2312"/>
          <w:color w:val="000000"/>
          <w:kern w:val="0"/>
          <w:sz w:val="31"/>
          <w:szCs w:val="31"/>
          <w:lang w:val="en-US" w:eastAsia="zh-CN" w:bidi="ar"/>
        </w:rPr>
        <w:t>落实</w:t>
      </w:r>
      <w:r>
        <w:rPr>
          <w:rFonts w:hint="eastAsia" w:ascii="仿宋_GB2312" w:hAnsi="仿宋_GB2312" w:eastAsia="仿宋_GB2312" w:cs="仿宋_GB2312"/>
          <w:color w:val="000000"/>
          <w:kern w:val="0"/>
          <w:sz w:val="31"/>
          <w:szCs w:val="31"/>
          <w:lang w:val="en-US" w:eastAsia="zh-CN" w:bidi="ar"/>
        </w:rPr>
        <w:t>区</w:t>
      </w:r>
      <w:r>
        <w:rPr>
          <w:rFonts w:ascii="仿宋_GB2312" w:hAnsi="仿宋_GB2312" w:eastAsia="仿宋_GB2312" w:cs="仿宋_GB2312"/>
          <w:color w:val="000000"/>
          <w:kern w:val="0"/>
          <w:sz w:val="31"/>
          <w:szCs w:val="31"/>
          <w:lang w:val="en-US" w:eastAsia="zh-CN" w:bidi="ar"/>
        </w:rPr>
        <w:t>委</w:t>
      </w:r>
      <w:r>
        <w:rPr>
          <w:rFonts w:hint="eastAsia" w:ascii="仿宋_GB2312" w:hAnsi="仿宋_GB2312" w:eastAsia="仿宋_GB2312" w:cs="仿宋_GB2312"/>
          <w:color w:val="000000"/>
          <w:kern w:val="0"/>
          <w:sz w:val="31"/>
          <w:szCs w:val="31"/>
          <w:lang w:val="en-US" w:eastAsia="zh-CN" w:bidi="ar"/>
        </w:rPr>
        <w:t>区</w:t>
      </w:r>
      <w:r>
        <w:rPr>
          <w:rFonts w:ascii="仿宋_GB2312" w:hAnsi="仿宋_GB2312" w:eastAsia="仿宋_GB2312" w:cs="仿宋_GB2312"/>
          <w:color w:val="000000"/>
          <w:kern w:val="0"/>
          <w:sz w:val="31"/>
          <w:szCs w:val="31"/>
          <w:lang w:val="en-US" w:eastAsia="zh-CN" w:bidi="ar"/>
        </w:rPr>
        <w:t>政府</w:t>
      </w:r>
      <w:r>
        <w:rPr>
          <w:rFonts w:hint="eastAsia" w:ascii="方正仿宋_GB2312" w:hAnsi="方正仿宋_GB2312" w:eastAsia="方正仿宋_GB2312" w:cs="方正仿宋_GB2312"/>
          <w:sz w:val="32"/>
          <w:szCs w:val="32"/>
        </w:rPr>
        <w:t>关于全面实施预算绩效管理的重大决策部署，积极推进预算绩效管理改革，不断完善预算绩效管理体系，提高财政资源配置效率和资金使用效益。</w:t>
      </w:r>
      <w:r>
        <w:rPr>
          <w:rFonts w:hint="eastAsia" w:ascii="方正仿宋_GB2312" w:hAnsi="方正仿宋_GB2312" w:eastAsia="方正仿宋_GB2312" w:cs="方正仿宋_GB2312"/>
          <w:sz w:val="32"/>
          <w:szCs w:val="32"/>
          <w:lang w:val="en-US" w:eastAsia="zh-CN"/>
        </w:rPr>
        <w:t>现将</w:t>
      </w:r>
      <w:r>
        <w:rPr>
          <w:rFonts w:hint="eastAsia" w:ascii="方正仿宋_GB2312" w:hAnsi="方正仿宋_GB2312" w:eastAsia="方正仿宋_GB2312" w:cs="方正仿宋_GB2312"/>
          <w:sz w:val="32"/>
          <w:szCs w:val="32"/>
        </w:rPr>
        <w:t>2024年区级预算绩效管理工作开展情况说明如下：​</w:t>
      </w:r>
    </w:p>
    <w:p w14:paraId="304B6C49">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一、完善制度体系，保障绩效管理有规可依​</w:t>
      </w:r>
    </w:p>
    <w:p w14:paraId="284656B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区财政局</w:t>
      </w:r>
      <w:r>
        <w:rPr>
          <w:rFonts w:hint="eastAsia" w:ascii="方正仿宋_GB2312" w:hAnsi="方正仿宋_GB2312" w:eastAsia="方正仿宋_GB2312" w:cs="方正仿宋_GB2312"/>
          <w:sz w:val="32"/>
          <w:szCs w:val="32"/>
        </w:rPr>
        <w:t>贯彻</w:t>
      </w:r>
      <w:r>
        <w:rPr>
          <w:rFonts w:hint="eastAsia" w:ascii="方正仿宋_GB2312" w:hAnsi="方正仿宋_GB2312" w:eastAsia="方正仿宋_GB2312" w:cs="方正仿宋_GB2312"/>
          <w:sz w:val="32"/>
          <w:szCs w:val="32"/>
          <w:lang w:val="en-US" w:eastAsia="zh-CN"/>
        </w:rPr>
        <w:t>省市</w:t>
      </w:r>
      <w:r>
        <w:rPr>
          <w:rFonts w:hint="eastAsia" w:ascii="方正仿宋_GB2312" w:hAnsi="方正仿宋_GB2312" w:eastAsia="方正仿宋_GB2312" w:cs="方正仿宋_GB2312"/>
          <w:sz w:val="32"/>
          <w:szCs w:val="32"/>
        </w:rPr>
        <w:t>和</w:t>
      </w:r>
      <w:r>
        <w:rPr>
          <w:rFonts w:hint="eastAsia" w:ascii="方正仿宋_GB2312" w:hAnsi="方正仿宋_GB2312" w:eastAsia="方正仿宋_GB2312" w:cs="方正仿宋_GB2312"/>
          <w:sz w:val="32"/>
          <w:szCs w:val="32"/>
          <w:lang w:val="en-US" w:eastAsia="zh-CN"/>
        </w:rPr>
        <w:t>区委区政府</w:t>
      </w:r>
      <w:r>
        <w:rPr>
          <w:rFonts w:hint="eastAsia" w:ascii="方正仿宋_GB2312" w:hAnsi="方正仿宋_GB2312" w:eastAsia="方正仿宋_GB2312" w:cs="方正仿宋_GB2312"/>
          <w:sz w:val="32"/>
          <w:szCs w:val="32"/>
        </w:rPr>
        <w:t>全面实施预算绩效管理的要求，制定出台“1+N”系列制度文件。其中，纲领性文件明确预算绩效管理的总体目标、原则、职责分工和工作流程；配套细则围绕事前绩效评估、绩效目标管理、绩效运行监控、绩效评价及结果应用等关键环节，如《昌江区财政支出事前绩效评估管理暂行办法》《昌江区区级预算绩效目标管理暂行办法》等，确保各环节工作有章可循，构建全方位、全过程、全覆盖的预算绩效管理制度框架 。这些制度的出台，为我区预算绩效管理工作提供了坚实的制度保障，使各项工作有章可循、有规可依。​</w:t>
      </w:r>
    </w:p>
    <w:p w14:paraId="71232A45">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二、强化事前绩效评估，把好财政资源配置关口</w:t>
      </w:r>
      <w:r>
        <w:rPr>
          <w:rFonts w:hint="eastAsia" w:ascii="方正仿宋_GB2312" w:hAnsi="方正仿宋_GB2312" w:eastAsia="方正仿宋_GB2312" w:cs="方正仿宋_GB2312"/>
          <w:sz w:val="32"/>
          <w:szCs w:val="32"/>
        </w:rPr>
        <w:t>​</w:t>
      </w:r>
    </w:p>
    <w:p w14:paraId="15E04D1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rPr>
        <w:t>对区级拟新增且需区级财政安排预算资金达到100万以上的项目开展事前评估。从立项必要性、投入经济性、目标合理性、实施方案可行性、筹资合规性等维度进行客观公正评估。评估通过的项目，方可纳入区级财政预算项目库，从源头保障项目质量，防控财政资源低效无效配置，提升行政决策科学性</w:t>
      </w:r>
      <w:r>
        <w:rPr>
          <w:rFonts w:hint="eastAsia" w:ascii="方正仿宋_GB2312" w:hAnsi="方正仿宋_GB2312" w:eastAsia="方正仿宋_GB2312" w:cs="方正仿宋_GB2312"/>
          <w:sz w:val="32"/>
          <w:szCs w:val="32"/>
          <w:lang w:eastAsia="zh-CN"/>
        </w:rPr>
        <w:t>。</w:t>
      </w:r>
    </w:p>
    <w:p w14:paraId="4519F5A8">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三、严格绩效目标管理，发挥绩效目标引导约束作用​</w:t>
      </w:r>
    </w:p>
    <w:p w14:paraId="7A2D7056">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在预算编制环节，要求各部门同步编细编实绩效目标，与部门职责、发展规划和年度工作计划紧密结合。构建科学合理的绩效指标体系，涵盖产出指标（数量、质量、时效、成本）、效益指标（经济效益、社会效益、生态效益、可持续影响）和满意度指标。财政部门加强对绩效目标的审核，对不符合要求的退回修改，确保绩效目标清晰、具体、可衡量，为后续绩效监控和评价提供明确依据 。</w:t>
      </w:r>
    </w:p>
    <w:p w14:paraId="3C06CE7B">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2024 年度预算中，对区级部门整体支出绩效目标及项目支出绩效目标全面开展审核工作。在审核过程中，严格按照绩效指标体系及预算一体化工作流程，加强财政对绩效目标的审核力度。对目标不明确、与资金不匹配的项目予以调整，建立完善了绩效目标与预算同步申报、同步审核、同步批复下达的工作机制，充分发挥了绩效目标的引导约束作用。</w:t>
      </w:r>
    </w:p>
    <w:p w14:paraId="7A993923">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四、深入开展绩效跟踪，确保绩效目标如期实现</w:t>
      </w:r>
      <w:r>
        <w:rPr>
          <w:rFonts w:hint="eastAsia" w:ascii="方正仿宋_GB2312" w:hAnsi="方正仿宋_GB2312" w:eastAsia="方正仿宋_GB2312" w:cs="方正仿宋_GB2312"/>
          <w:sz w:val="32"/>
          <w:szCs w:val="32"/>
        </w:rPr>
        <w:t>​</w:t>
      </w:r>
    </w:p>
    <w:p w14:paraId="5263993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2024年度部门整体和项目支出绩效目标实现程度和预算执行进度进行“双监控”。通过适时动态反映各预算单位全过程绩效管理情况，全面提升了预算绩效管理的执行力度。​</w:t>
      </w:r>
    </w:p>
    <w:p w14:paraId="3FA036F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本年度对部门整体支出及所属单位项目支出开展绩效监控。对预算执行率偏低和绩效目标偏离的项目进行调整，确保了绩效目标如期保质保量完成。</w:t>
      </w:r>
    </w:p>
    <w:p w14:paraId="5929C680">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五、深化绩效评价管理，强化绩效评价结果应用​</w:t>
      </w:r>
    </w:p>
    <w:p w14:paraId="1649B9CE">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在部门整体和单位项目自评全覆盖以及部门评价的基础上，</w:t>
      </w:r>
      <w:r>
        <w:rPr>
          <w:rFonts w:hint="eastAsia" w:ascii="方正仿宋_GB2312" w:hAnsi="方正仿宋_GB2312" w:eastAsia="方正仿宋_GB2312" w:cs="方正仿宋_GB2312"/>
          <w:sz w:val="32"/>
          <w:szCs w:val="32"/>
          <w:lang w:val="en-US" w:eastAsia="zh-CN"/>
        </w:rPr>
        <w:t>区</w:t>
      </w:r>
      <w:r>
        <w:rPr>
          <w:rFonts w:hint="eastAsia" w:ascii="方正仿宋_GB2312" w:hAnsi="方正仿宋_GB2312" w:eastAsia="方正仿宋_GB2312" w:cs="方正仿宋_GB2312"/>
          <w:sz w:val="32"/>
          <w:szCs w:val="32"/>
        </w:rPr>
        <w:t>财政局</w:t>
      </w:r>
      <w:r>
        <w:rPr>
          <w:rFonts w:hint="eastAsia" w:ascii="方正仿宋_GB2312" w:hAnsi="方正仿宋_GB2312" w:eastAsia="方正仿宋_GB2312" w:cs="方正仿宋_GB2312"/>
          <w:sz w:val="32"/>
          <w:szCs w:val="32"/>
          <w:lang w:val="en-US" w:eastAsia="zh-CN"/>
        </w:rPr>
        <w:t>选取了</w:t>
      </w:r>
      <w:r>
        <w:rPr>
          <w:rFonts w:hint="eastAsia" w:ascii="方正仿宋_GB2312" w:hAnsi="方正仿宋_GB2312" w:eastAsia="方正仿宋_GB2312" w:cs="方正仿宋_GB2312"/>
          <w:sz w:val="32"/>
          <w:szCs w:val="32"/>
        </w:rPr>
        <w:t>2023年度</w:t>
      </w:r>
      <w:r>
        <w:rPr>
          <w:rFonts w:hint="eastAsia" w:ascii="方正仿宋_GB2312" w:hAnsi="方正仿宋_GB2312" w:eastAsia="方正仿宋_GB2312" w:cs="方正仿宋_GB2312"/>
          <w:sz w:val="32"/>
          <w:szCs w:val="32"/>
          <w:lang w:val="en-US" w:eastAsia="zh-CN"/>
        </w:rPr>
        <w:t>9</w:t>
      </w:r>
      <w:r>
        <w:rPr>
          <w:rFonts w:hint="eastAsia" w:ascii="方正仿宋_GB2312" w:hAnsi="方正仿宋_GB2312" w:eastAsia="方正仿宋_GB2312" w:cs="方正仿宋_GB2312"/>
          <w:sz w:val="32"/>
          <w:szCs w:val="32"/>
        </w:rPr>
        <w:t>个重点项目、10个部门整体进行了财政重点绩效评价</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涉及民生、重点项目、地方政府债券、部门整体及下级财政等领域分层次、分行业的项目开展财政评价</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rPr>
        <w:t>。​</w:t>
      </w:r>
    </w:p>
    <w:p w14:paraId="1AF4279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rPr>
        <w:t>通过第三方评价，提出多条意见和建议</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同时，财政对绩效评价结果好的项目在预算安排上予以优先保障，对绩效评价发现问题、评价结果较差或整改不到位的项目，相应地进行预算调减</w:t>
      </w:r>
      <w:r>
        <w:rPr>
          <w:rFonts w:hint="eastAsia" w:ascii="方正仿宋_GB2312" w:hAnsi="方正仿宋_GB2312" w:eastAsia="方正仿宋_GB2312" w:cs="方正仿宋_GB2312"/>
          <w:sz w:val="32"/>
          <w:szCs w:val="32"/>
          <w:lang w:eastAsia="zh-CN"/>
        </w:rPr>
        <w:t>。</w:t>
      </w:r>
    </w:p>
    <w:p w14:paraId="4597BFD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2024年，在区委、区政府的领导下，我区全面实施预算绩效管理，规范了财政支出绩效行为，建立了科学、合理的绩效管理体系，提高了财政资金使用效益，不断发挥预算绩效管理的激励约束作用。在今后的工作中，我们将继续深化预算绩效管理改革，不断完善预算绩效管理体系，进一步提高财政资源配置效率和资金使用效益，为我区经济社会发展提供有力的财政保障。​</w:t>
      </w:r>
      <w:bookmarkStart w:id="0" w:name="_GoBack"/>
      <w:bookmarkEnd w:id="0"/>
    </w:p>
    <w:p w14:paraId="0F37C772">
      <w:pPr>
        <w:rPr>
          <w:rFonts w:hint="eastAsia" w:ascii="方正仿宋_GB2312" w:hAnsi="方正仿宋_GB2312" w:eastAsia="方正仿宋_GB2312" w:cs="方正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5AA43DE1-A3B6-420F-97D9-FCD84DED645D}"/>
  </w:font>
  <w:font w:name="仿宋_GB2312">
    <w:altName w:val="仿宋"/>
    <w:panose1 w:val="00000000000000000000"/>
    <w:charset w:val="00"/>
    <w:family w:val="auto"/>
    <w:pitch w:val="default"/>
    <w:sig w:usb0="00000000" w:usb1="00000000" w:usb2="00000000" w:usb3="00000000" w:csb0="00000000" w:csb1="00000000"/>
    <w:embedRegular r:id="rId2" w:fontKey="{C9614824-DB3E-4F4E-850F-D2D3A65DCD7C}"/>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90303"/>
    <w:rsid w:val="226B2757"/>
    <w:rsid w:val="25672EFA"/>
    <w:rsid w:val="2A3A138D"/>
    <w:rsid w:val="4BE331DB"/>
    <w:rsid w:val="4DF92303"/>
    <w:rsid w:val="551E0B1F"/>
    <w:rsid w:val="5EB033F0"/>
    <w:rsid w:val="691D5B26"/>
    <w:rsid w:val="762A3631"/>
    <w:rsid w:val="76BB697E"/>
    <w:rsid w:val="78E026CC"/>
    <w:rsid w:val="79BC0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1432</Words>
  <Characters>1458</Characters>
  <Lines>0</Lines>
  <Paragraphs>0</Paragraphs>
  <TotalTime>4</TotalTime>
  <ScaleCrop>false</ScaleCrop>
  <LinksUpToDate>false</LinksUpToDate>
  <CharactersWithSpaces>1462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2025-09-12T07:17:00Z</dcterms:created>
  <dc:creator>Administrator</dc:creator>
  <cp:lastModifiedBy>昳呀</cp:lastModifiedBy>
  <dcterms:modified xsi:type="dcterms:W3CDTF">2025-09-15T01:36:07Z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eyJoZGlkIjoiMzAwMDk1YTUwNzMyYTkxOTBiNzJiOGZkMDRlYTE1OGQiLCJ1c2VySWQiOiIyNjA5NzUxNjIifQ==</vt:lpwstr>
  </property>
  <property fmtid="{D5CDD505-2E9C-101B-9397-08002B2CF9AE}" pid="4" name="ICV">
    <vt:lpwstr>62147664B984449BBF44FE3A10C71F6D_12</vt:lpwstr>
  </property>
</Properties>
</file>