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hint="default" w:ascii="黑体" w:eastAsia="黑体" w:cs="黑体"/>
          <w:color w:val="000000"/>
          <w:sz w:val="36"/>
          <w:szCs w:val="36"/>
        </w:rPr>
      </w:pPr>
      <w:r>
        <w:rPr>
          <w:rFonts w:ascii="黑体" w:eastAsia="黑体" w:cs="黑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ascii="黑体" w:eastAsia="黑体" w:cs="黑体"/>
          <w:color w:val="000000"/>
          <w:sz w:val="36"/>
          <w:szCs w:val="36"/>
          <w:shd w:val="clear" w:color="auto" w:fill="FFFFFF"/>
        </w:rPr>
        <w:t>年转移支付情况说明</w:t>
      </w:r>
    </w:p>
    <w:p>
      <w:pP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</w:p>
    <w:p>
      <w:pPr>
        <w:ind w:left="538" w:leftChars="256" w:firstLine="540" w:firstLineChars="200"/>
        <w:jc w:val="left"/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一、税收返还和转移支付情况</w:t>
      </w:r>
    </w:p>
    <w:p>
      <w:pPr>
        <w:ind w:left="538" w:leftChars="256" w:firstLine="540" w:firstLineChars="200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根据编制202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年财政预算时上级转移支付资金情况，其中返还性收入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  <w:t>32652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 xml:space="preserve"> 万元、一般性转移支付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  <w:t>45317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万元、专项转移支付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  <w:t>5318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万元。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 xml:space="preserve">    二、转移支付资金安排情况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 xml:space="preserve">    根据上级转移支付资金的性质，转移支付的支出安排除特定专项用途的之外，安排在本级人员工资，部门业务费等方面支出。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jI5MGI5NzU5ZTYzZjE5YTY2YWM4MjgxMGJkNjMifQ=="/>
  </w:docVars>
  <w:rsids>
    <w:rsidRoot w:val="00E879DC"/>
    <w:rsid w:val="008F5099"/>
    <w:rsid w:val="00AD6F0A"/>
    <w:rsid w:val="00E879DC"/>
    <w:rsid w:val="0B620F8C"/>
    <w:rsid w:val="102C4D5B"/>
    <w:rsid w:val="125B1CC5"/>
    <w:rsid w:val="13E54171"/>
    <w:rsid w:val="13E8614E"/>
    <w:rsid w:val="2B260C0F"/>
    <w:rsid w:val="44836E6A"/>
    <w:rsid w:val="5FD9799D"/>
    <w:rsid w:val="686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144</Words>
  <Characters>161</Characters>
  <Lines>1</Lines>
  <Paragraphs>1</Paragraphs>
  <TotalTime>1230</TotalTime>
  <ScaleCrop>false</ScaleCrop>
  <LinksUpToDate>false</LinksUpToDate>
  <CharactersWithSpaces>170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2024-03-21T07:01:53Z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F97C32632FC14E879D2DA18CC0BBB697_13</vt:lpwstr>
  </property>
</Properties>
</file>