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景德镇市昌江区国有资产服务中心2023年度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景德镇市昌江区国有资产服务中心概况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景德镇市昌江区国有资产服务中心概况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sz w:val="32"/>
          <w:szCs w:val="32"/>
        </w:rPr>
      </w:pPr>
      <w:r>
        <w:rPr>
          <w:rFonts w:hint="eastAsia" w:ascii="仿宋_GB2312" w:hAnsi="仿宋_GB2312" w:eastAsia="仿宋_GB2312"/>
          <w:color w:val="auto"/>
          <w:sz w:val="32"/>
          <w:szCs w:val="32"/>
          <w:lang w:eastAsia="zh-CN"/>
        </w:rPr>
        <w:t>贯彻执行国有资产管理的法律、法规和政策，代表区政府依法履行出资人职责。对全区国有企业进行监督管理，维护出资人权益，防止国有资产损失；负责国有企业监督管理和国企改革事务性工作；负责起草我区国有企业的管理制度、规定等规范性文件工作；负责国有企业资产配置、使用、处置、产权变动、产权登记、产权界定、产权纠纷调处、资产评估、清产核资等具体经办工作；负责国有企业经营指标的统计监测工作，国有企业经营和运营质量分析工作；负责国有企业综合考核，指导国有企业人才的培养和教育培训工作，负责指导国有企业党的建设工作等</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olor w:val="auto"/>
          <w:sz w:val="32"/>
          <w:szCs w:val="32"/>
          <w:lang w:val="en-US" w:eastAsia="zh-CN"/>
        </w:rPr>
        <w:t>本单位设立4个内设机构，分别是综合科、财务科、国企资产管理科、国企运营管理科</w:t>
      </w:r>
      <w:r>
        <w:rPr>
          <w:rFonts w:hint="eastAsia" w:ascii="仿宋_GB2312" w:hAnsi="仿宋_GB2312" w:eastAsia="仿宋_GB2312" w:cs="Times New Roman"/>
          <w:color w:val="auto"/>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年末在职人员10人，离退休人员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人（不含由养老保险基金发放养老金的离退休人员），其他人员0人。由养老保险基金发放养老金的离退休人员4人。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104.58</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75.28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19,500.00</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4.51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19,500.00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19,604.58</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19,604.64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0.81</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19,605.39</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19,605.39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19,604.58</w:t>
            </w:r>
          </w:p>
        </w:tc>
        <w:tc>
          <w:tcPr>
            <w:tcW w:w="900" w:type="dxa"/>
            <w:vAlign w:val="center"/>
          </w:tcPr>
          <w:p>
            <w:pPr>
              <w:jc w:val="right"/>
            </w:pPr>
            <w:r>
              <w:rPr>
                <w:rFonts w:ascii="宋体" w:hAnsi="宋体" w:eastAsia="宋体" w:cs="宋体"/>
                <w:b w:val="0"/>
                <w:i w:val="0"/>
                <w:color w:val="000000"/>
                <w:sz w:val="9"/>
              </w:rPr>
              <w:t>19,604.58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75.22</w:t>
            </w:r>
          </w:p>
        </w:tc>
        <w:tc>
          <w:tcPr>
            <w:tcW w:w="900" w:type="dxa"/>
            <w:vAlign w:val="center"/>
          </w:tcPr>
          <w:p>
            <w:pPr>
              <w:jc w:val="right"/>
            </w:pPr>
            <w:r>
              <w:rPr>
                <w:rFonts w:ascii="宋体" w:hAnsi="宋体" w:eastAsia="宋体" w:cs="宋体"/>
                <w:b w:val="0"/>
                <w:i w:val="0"/>
                <w:color w:val="000000"/>
                <w:sz w:val="9"/>
              </w:rPr>
              <w:t>75.22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75.09</w:t>
            </w:r>
          </w:p>
        </w:tc>
        <w:tc>
          <w:tcPr>
            <w:tcW w:w="900" w:type="dxa"/>
            <w:vAlign w:val="center"/>
          </w:tcPr>
          <w:p>
            <w:pPr>
              <w:jc w:val="right"/>
            </w:pPr>
            <w:r>
              <w:rPr>
                <w:rFonts w:ascii="宋体" w:hAnsi="宋体" w:eastAsia="宋体" w:cs="宋体"/>
                <w:b w:val="0"/>
                <w:i w:val="0"/>
                <w:color w:val="000000"/>
                <w:sz w:val="9"/>
              </w:rPr>
              <w:t>75.09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71.57</w:t>
            </w:r>
          </w:p>
        </w:tc>
        <w:tc>
          <w:tcPr>
            <w:tcW w:w="900" w:type="dxa"/>
            <w:vAlign w:val="center"/>
          </w:tcPr>
          <w:p>
            <w:pPr>
              <w:jc w:val="right"/>
            </w:pPr>
            <w:r>
              <w:rPr>
                <w:rFonts w:ascii="宋体" w:hAnsi="宋体" w:eastAsia="宋体" w:cs="宋体"/>
                <w:b w:val="0"/>
                <w:i w:val="0"/>
                <w:color w:val="000000"/>
                <w:sz w:val="9"/>
              </w:rPr>
              <w:t>71.57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3.52</w:t>
            </w:r>
          </w:p>
        </w:tc>
        <w:tc>
          <w:tcPr>
            <w:tcW w:w="900" w:type="dxa"/>
            <w:vAlign w:val="center"/>
          </w:tcPr>
          <w:p>
            <w:pPr>
              <w:jc w:val="right"/>
            </w:pPr>
            <w:r>
              <w:rPr>
                <w:rFonts w:ascii="宋体" w:hAnsi="宋体" w:eastAsia="宋体" w:cs="宋体"/>
                <w:b w:val="0"/>
                <w:i w:val="0"/>
                <w:color w:val="000000"/>
                <w:sz w:val="9"/>
              </w:rPr>
              <w:t>3.52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20133</w:t>
            </w:r>
          </w:p>
        </w:tc>
        <w:tc>
          <w:tcPr>
            <w:tcW w:w="1420" w:type="dxa"/>
            <w:vAlign w:val="center"/>
          </w:tcPr>
          <w:p>
            <w:pPr>
              <w:jc w:val="left"/>
            </w:pPr>
            <w:r>
              <w:rPr>
                <w:rFonts w:ascii="宋体" w:hAnsi="宋体" w:eastAsia="宋体" w:cs="宋体"/>
                <w:b w:val="0"/>
                <w:i w:val="0"/>
                <w:color w:val="000000"/>
                <w:sz w:val="9"/>
              </w:rPr>
              <w:t>宣传事务</w:t>
            </w:r>
          </w:p>
        </w:tc>
        <w:tc>
          <w:tcPr>
            <w:tcW w:w="860" w:type="dxa"/>
            <w:vAlign w:val="center"/>
          </w:tcPr>
          <w:p>
            <w:pPr>
              <w:jc w:val="right"/>
            </w:pPr>
            <w:r>
              <w:rPr>
                <w:rFonts w:ascii="宋体" w:hAnsi="宋体" w:eastAsia="宋体" w:cs="宋体"/>
                <w:b w:val="0"/>
                <w:i w:val="0"/>
                <w:color w:val="000000"/>
                <w:sz w:val="9"/>
              </w:rPr>
              <w:t>0.13</w:t>
            </w:r>
          </w:p>
        </w:tc>
        <w:tc>
          <w:tcPr>
            <w:tcW w:w="900" w:type="dxa"/>
            <w:vAlign w:val="center"/>
          </w:tcPr>
          <w:p>
            <w:pPr>
              <w:jc w:val="right"/>
            </w:pPr>
            <w:r>
              <w:rPr>
                <w:rFonts w:ascii="宋体" w:hAnsi="宋体" w:eastAsia="宋体" w:cs="宋体"/>
                <w:b w:val="0"/>
                <w:i w:val="0"/>
                <w:color w:val="000000"/>
                <w:sz w:val="9"/>
              </w:rPr>
              <w:t>0.13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2013302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0.13</w:t>
            </w:r>
          </w:p>
        </w:tc>
        <w:tc>
          <w:tcPr>
            <w:tcW w:w="900" w:type="dxa"/>
            <w:vAlign w:val="center"/>
          </w:tcPr>
          <w:p>
            <w:pPr>
              <w:jc w:val="right"/>
            </w:pPr>
            <w:r>
              <w:rPr>
                <w:rFonts w:ascii="宋体" w:hAnsi="宋体" w:eastAsia="宋体" w:cs="宋体"/>
                <w:b w:val="0"/>
                <w:i w:val="0"/>
                <w:color w:val="000000"/>
                <w:sz w:val="9"/>
              </w:rPr>
              <w:t>0.13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10.73</w:t>
            </w:r>
          </w:p>
        </w:tc>
        <w:tc>
          <w:tcPr>
            <w:tcW w:w="900" w:type="dxa"/>
            <w:vAlign w:val="center"/>
          </w:tcPr>
          <w:p>
            <w:pPr>
              <w:jc w:val="right"/>
            </w:pPr>
            <w:r>
              <w:rPr>
                <w:rFonts w:ascii="宋体" w:hAnsi="宋体" w:eastAsia="宋体" w:cs="宋体"/>
                <w:b w:val="0"/>
                <w:i w:val="0"/>
                <w:color w:val="000000"/>
                <w:sz w:val="9"/>
              </w:rPr>
              <w:t>10.73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10.73</w:t>
            </w:r>
          </w:p>
        </w:tc>
        <w:tc>
          <w:tcPr>
            <w:tcW w:w="900" w:type="dxa"/>
            <w:vAlign w:val="center"/>
          </w:tcPr>
          <w:p>
            <w:pPr>
              <w:jc w:val="right"/>
            </w:pPr>
            <w:r>
              <w:rPr>
                <w:rFonts w:ascii="宋体" w:hAnsi="宋体" w:eastAsia="宋体" w:cs="宋体"/>
                <w:b w:val="0"/>
                <w:i w:val="0"/>
                <w:color w:val="000000"/>
                <w:sz w:val="9"/>
              </w:rPr>
              <w:t>10.73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10.73</w:t>
            </w:r>
          </w:p>
        </w:tc>
        <w:tc>
          <w:tcPr>
            <w:tcW w:w="900" w:type="dxa"/>
            <w:vAlign w:val="center"/>
          </w:tcPr>
          <w:p>
            <w:pPr>
              <w:jc w:val="right"/>
            </w:pPr>
            <w:r>
              <w:rPr>
                <w:rFonts w:ascii="宋体" w:hAnsi="宋体" w:eastAsia="宋体" w:cs="宋体"/>
                <w:b w:val="0"/>
                <w:i w:val="0"/>
                <w:color w:val="000000"/>
                <w:sz w:val="9"/>
              </w:rPr>
              <w:t>10.73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4.51</w:t>
            </w:r>
          </w:p>
        </w:tc>
        <w:tc>
          <w:tcPr>
            <w:tcW w:w="900" w:type="dxa"/>
            <w:vAlign w:val="center"/>
          </w:tcPr>
          <w:p>
            <w:pPr>
              <w:jc w:val="right"/>
            </w:pPr>
            <w:r>
              <w:rPr>
                <w:rFonts w:ascii="宋体" w:hAnsi="宋体" w:eastAsia="宋体" w:cs="宋体"/>
                <w:b w:val="0"/>
                <w:i w:val="0"/>
                <w:color w:val="000000"/>
                <w:sz w:val="9"/>
              </w:rPr>
              <w:t>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4.51</w:t>
            </w:r>
          </w:p>
        </w:tc>
        <w:tc>
          <w:tcPr>
            <w:tcW w:w="900" w:type="dxa"/>
            <w:vAlign w:val="center"/>
          </w:tcPr>
          <w:p>
            <w:pPr>
              <w:jc w:val="right"/>
            </w:pPr>
            <w:r>
              <w:rPr>
                <w:rFonts w:ascii="宋体" w:hAnsi="宋体" w:eastAsia="宋体" w:cs="宋体"/>
                <w:b w:val="0"/>
                <w:i w:val="0"/>
                <w:color w:val="000000"/>
                <w:sz w:val="9"/>
              </w:rPr>
              <w:t>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4.17</w:t>
            </w:r>
          </w:p>
        </w:tc>
        <w:tc>
          <w:tcPr>
            <w:tcW w:w="900" w:type="dxa"/>
            <w:vAlign w:val="center"/>
          </w:tcPr>
          <w:p>
            <w:pPr>
              <w:jc w:val="right"/>
            </w:pPr>
            <w:r>
              <w:rPr>
                <w:rFonts w:ascii="宋体" w:hAnsi="宋体" w:eastAsia="宋体" w:cs="宋体"/>
                <w:b w:val="0"/>
                <w:i w:val="0"/>
                <w:color w:val="000000"/>
                <w:sz w:val="9"/>
              </w:rPr>
              <w:t>4.17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0.33</w:t>
            </w:r>
          </w:p>
        </w:tc>
        <w:tc>
          <w:tcPr>
            <w:tcW w:w="900" w:type="dxa"/>
            <w:vAlign w:val="center"/>
          </w:tcPr>
          <w:p>
            <w:pPr>
              <w:jc w:val="right"/>
            </w:pPr>
            <w:r>
              <w:rPr>
                <w:rFonts w:ascii="宋体" w:hAnsi="宋体" w:eastAsia="宋体" w:cs="宋体"/>
                <w:b w:val="0"/>
                <w:i w:val="0"/>
                <w:color w:val="000000"/>
                <w:sz w:val="9"/>
              </w:rPr>
              <w:t>0.33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19,500.00</w:t>
            </w:r>
          </w:p>
        </w:tc>
        <w:tc>
          <w:tcPr>
            <w:tcW w:w="900" w:type="dxa"/>
            <w:vAlign w:val="center"/>
          </w:tcPr>
          <w:p>
            <w:pPr>
              <w:jc w:val="right"/>
            </w:pPr>
            <w:r>
              <w:rPr>
                <w:rFonts w:ascii="宋体" w:hAnsi="宋体" w:eastAsia="宋体" w:cs="宋体"/>
                <w:b w:val="0"/>
                <w:i w:val="0"/>
                <w:color w:val="000000"/>
                <w:sz w:val="9"/>
              </w:rPr>
              <w:t>19,500.00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w:t>
            </w:r>
          </w:p>
        </w:tc>
        <w:tc>
          <w:tcPr>
            <w:tcW w:w="1420" w:type="dxa"/>
            <w:vAlign w:val="center"/>
          </w:tcPr>
          <w:p>
            <w:pPr>
              <w:jc w:val="left"/>
            </w:pPr>
            <w:r>
              <w:rPr>
                <w:rFonts w:ascii="宋体" w:hAnsi="宋体" w:eastAsia="宋体" w:cs="宋体"/>
                <w:b w:val="0"/>
                <w:i w:val="0"/>
                <w:color w:val="000000"/>
                <w:sz w:val="9"/>
              </w:rPr>
              <w:t>国有土地使用权出让收入安排的支出</w:t>
            </w:r>
          </w:p>
        </w:tc>
        <w:tc>
          <w:tcPr>
            <w:tcW w:w="860" w:type="dxa"/>
            <w:vAlign w:val="center"/>
          </w:tcPr>
          <w:p>
            <w:pPr>
              <w:jc w:val="right"/>
            </w:pPr>
            <w:r>
              <w:rPr>
                <w:rFonts w:ascii="宋体" w:hAnsi="宋体" w:eastAsia="宋体" w:cs="宋体"/>
                <w:b w:val="0"/>
                <w:i w:val="0"/>
                <w:color w:val="000000"/>
                <w:sz w:val="9"/>
              </w:rPr>
              <w:t>19,500.00</w:t>
            </w:r>
          </w:p>
        </w:tc>
        <w:tc>
          <w:tcPr>
            <w:tcW w:w="900" w:type="dxa"/>
            <w:vAlign w:val="center"/>
          </w:tcPr>
          <w:p>
            <w:pPr>
              <w:jc w:val="right"/>
            </w:pPr>
            <w:r>
              <w:rPr>
                <w:rFonts w:ascii="宋体" w:hAnsi="宋体" w:eastAsia="宋体" w:cs="宋体"/>
                <w:b w:val="0"/>
                <w:i w:val="0"/>
                <w:color w:val="000000"/>
                <w:sz w:val="9"/>
              </w:rPr>
              <w:t>19,500.00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2120899</w:t>
            </w:r>
          </w:p>
        </w:tc>
        <w:tc>
          <w:tcPr>
            <w:tcW w:w="1420" w:type="dxa"/>
            <w:vAlign w:val="center"/>
          </w:tcPr>
          <w:p>
            <w:pPr>
              <w:jc w:val="left"/>
            </w:pPr>
            <w:r>
              <w:rPr>
                <w:rFonts w:ascii="宋体" w:hAnsi="宋体" w:eastAsia="宋体" w:cs="宋体"/>
                <w:b w:val="0"/>
                <w:i w:val="0"/>
                <w:color w:val="000000"/>
                <w:sz w:val="9"/>
              </w:rPr>
              <w:t>其他国有土地使用权出让收入安排的支出</w:t>
            </w:r>
          </w:p>
        </w:tc>
        <w:tc>
          <w:tcPr>
            <w:tcW w:w="860" w:type="dxa"/>
            <w:vAlign w:val="center"/>
          </w:tcPr>
          <w:p>
            <w:pPr>
              <w:jc w:val="right"/>
            </w:pPr>
            <w:r>
              <w:rPr>
                <w:rFonts w:ascii="宋体" w:hAnsi="宋体" w:eastAsia="宋体" w:cs="宋体"/>
                <w:b w:val="0"/>
                <w:i w:val="0"/>
                <w:color w:val="000000"/>
                <w:sz w:val="9"/>
              </w:rPr>
              <w:t>19,500.00</w:t>
            </w:r>
          </w:p>
        </w:tc>
        <w:tc>
          <w:tcPr>
            <w:tcW w:w="900" w:type="dxa"/>
            <w:vAlign w:val="center"/>
          </w:tcPr>
          <w:p>
            <w:pPr>
              <w:jc w:val="right"/>
            </w:pPr>
            <w:r>
              <w:rPr>
                <w:rFonts w:ascii="宋体" w:hAnsi="宋体" w:eastAsia="宋体" w:cs="宋体"/>
                <w:b w:val="0"/>
                <w:i w:val="0"/>
                <w:color w:val="000000"/>
                <w:sz w:val="9"/>
              </w:rPr>
              <w:t>19,500.00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14.13</w:t>
            </w:r>
          </w:p>
        </w:tc>
        <w:tc>
          <w:tcPr>
            <w:tcW w:w="900" w:type="dxa"/>
            <w:vAlign w:val="center"/>
          </w:tcPr>
          <w:p>
            <w:pPr>
              <w:jc w:val="right"/>
            </w:pPr>
            <w:r>
              <w:rPr>
                <w:rFonts w:ascii="宋体" w:hAnsi="宋体" w:eastAsia="宋体" w:cs="宋体"/>
                <w:b w:val="0"/>
                <w:i w:val="0"/>
                <w:color w:val="000000"/>
                <w:sz w:val="9"/>
              </w:rPr>
              <w:t>14.13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14.13</w:t>
            </w:r>
          </w:p>
        </w:tc>
        <w:tc>
          <w:tcPr>
            <w:tcW w:w="900" w:type="dxa"/>
            <w:vAlign w:val="center"/>
          </w:tcPr>
          <w:p>
            <w:pPr>
              <w:jc w:val="right"/>
            </w:pPr>
            <w:r>
              <w:rPr>
                <w:rFonts w:ascii="宋体" w:hAnsi="宋体" w:eastAsia="宋体" w:cs="宋体"/>
                <w:b w:val="0"/>
                <w:i w:val="0"/>
                <w:color w:val="000000"/>
                <w:sz w:val="9"/>
              </w:rPr>
              <w:t>14.13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14.13</w:t>
            </w:r>
          </w:p>
        </w:tc>
        <w:tc>
          <w:tcPr>
            <w:tcW w:w="900" w:type="dxa"/>
            <w:vAlign w:val="center"/>
          </w:tcPr>
          <w:p>
            <w:pPr>
              <w:jc w:val="right"/>
            </w:pPr>
            <w:r>
              <w:rPr>
                <w:rFonts w:ascii="宋体" w:hAnsi="宋体" w:eastAsia="宋体" w:cs="宋体"/>
                <w:b w:val="0"/>
                <w:i w:val="0"/>
                <w:color w:val="000000"/>
                <w:sz w:val="9"/>
              </w:rPr>
              <w:t>14.13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19,604.64</w:t>
            </w:r>
          </w:p>
        </w:tc>
        <w:tc>
          <w:tcPr>
            <w:tcW w:w="1000" w:type="dxa"/>
            <w:vAlign w:val="center"/>
          </w:tcPr>
          <w:p>
            <w:pPr>
              <w:jc w:val="right"/>
            </w:pPr>
            <w:r>
              <w:rPr>
                <w:rFonts w:ascii="宋体" w:hAnsi="宋体" w:eastAsia="宋体" w:cs="宋体"/>
                <w:b w:val="0"/>
                <w:i w:val="0"/>
                <w:color w:val="000000"/>
                <w:sz w:val="11"/>
              </w:rPr>
              <w:t>101.12</w:t>
            </w:r>
          </w:p>
        </w:tc>
        <w:tc>
          <w:tcPr>
            <w:tcW w:w="980" w:type="dxa"/>
            <w:vAlign w:val="center"/>
          </w:tcPr>
          <w:p>
            <w:pPr>
              <w:jc w:val="right"/>
            </w:pPr>
            <w:r>
              <w:rPr>
                <w:rFonts w:ascii="宋体" w:hAnsi="宋体" w:eastAsia="宋体" w:cs="宋体"/>
                <w:b w:val="0"/>
                <w:i w:val="0"/>
                <w:color w:val="000000"/>
                <w:sz w:val="11"/>
              </w:rPr>
              <w:t>19,503.52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75.28</w:t>
            </w:r>
          </w:p>
        </w:tc>
        <w:tc>
          <w:tcPr>
            <w:tcW w:w="1000" w:type="dxa"/>
            <w:vAlign w:val="center"/>
          </w:tcPr>
          <w:p>
            <w:pPr>
              <w:jc w:val="right"/>
            </w:pPr>
            <w:r>
              <w:rPr>
                <w:rFonts w:ascii="宋体" w:hAnsi="宋体" w:eastAsia="宋体" w:cs="宋体"/>
                <w:b w:val="0"/>
                <w:i w:val="0"/>
                <w:color w:val="000000"/>
                <w:sz w:val="11"/>
              </w:rPr>
              <w:t>71.76</w:t>
            </w:r>
          </w:p>
        </w:tc>
        <w:tc>
          <w:tcPr>
            <w:tcW w:w="980" w:type="dxa"/>
            <w:vAlign w:val="center"/>
          </w:tcPr>
          <w:p>
            <w:pPr>
              <w:jc w:val="right"/>
            </w:pPr>
            <w:r>
              <w:rPr>
                <w:rFonts w:ascii="宋体" w:hAnsi="宋体" w:eastAsia="宋体" w:cs="宋体"/>
                <w:b w:val="0"/>
                <w:i w:val="0"/>
                <w:color w:val="000000"/>
                <w:sz w:val="11"/>
              </w:rPr>
              <w:t>3.52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75.14</w:t>
            </w:r>
          </w:p>
        </w:tc>
        <w:tc>
          <w:tcPr>
            <w:tcW w:w="1000" w:type="dxa"/>
            <w:vAlign w:val="center"/>
          </w:tcPr>
          <w:p>
            <w:pPr>
              <w:jc w:val="right"/>
            </w:pPr>
            <w:r>
              <w:rPr>
                <w:rFonts w:ascii="宋体" w:hAnsi="宋体" w:eastAsia="宋体" w:cs="宋体"/>
                <w:b w:val="0"/>
                <w:i w:val="0"/>
                <w:color w:val="000000"/>
                <w:sz w:val="11"/>
              </w:rPr>
              <w:t>71.63</w:t>
            </w:r>
          </w:p>
        </w:tc>
        <w:tc>
          <w:tcPr>
            <w:tcW w:w="980" w:type="dxa"/>
            <w:vAlign w:val="center"/>
          </w:tcPr>
          <w:p>
            <w:pPr>
              <w:jc w:val="right"/>
            </w:pPr>
            <w:r>
              <w:rPr>
                <w:rFonts w:ascii="宋体" w:hAnsi="宋体" w:eastAsia="宋体" w:cs="宋体"/>
                <w:b w:val="0"/>
                <w:i w:val="0"/>
                <w:color w:val="000000"/>
                <w:sz w:val="11"/>
              </w:rPr>
              <w:t>3.52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71.57</w:t>
            </w:r>
          </w:p>
        </w:tc>
        <w:tc>
          <w:tcPr>
            <w:tcW w:w="1000" w:type="dxa"/>
            <w:vAlign w:val="center"/>
          </w:tcPr>
          <w:p>
            <w:pPr>
              <w:jc w:val="right"/>
            </w:pPr>
            <w:r>
              <w:rPr>
                <w:rFonts w:ascii="宋体" w:hAnsi="宋体" w:eastAsia="宋体" w:cs="宋体"/>
                <w:b w:val="0"/>
                <w:i w:val="0"/>
                <w:color w:val="000000"/>
                <w:sz w:val="11"/>
              </w:rPr>
              <w:t>71.57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3.57</w:t>
            </w:r>
          </w:p>
        </w:tc>
        <w:tc>
          <w:tcPr>
            <w:tcW w:w="1000" w:type="dxa"/>
            <w:vAlign w:val="center"/>
          </w:tcPr>
          <w:p>
            <w:pPr>
              <w:jc w:val="right"/>
            </w:pPr>
            <w:r>
              <w:rPr>
                <w:rFonts w:ascii="宋体" w:hAnsi="宋体" w:eastAsia="宋体" w:cs="宋体"/>
                <w:b w:val="0"/>
                <w:i w:val="0"/>
                <w:color w:val="000000"/>
                <w:sz w:val="11"/>
              </w:rPr>
              <w:t>0.06</w:t>
            </w:r>
          </w:p>
        </w:tc>
        <w:tc>
          <w:tcPr>
            <w:tcW w:w="980" w:type="dxa"/>
            <w:vAlign w:val="center"/>
          </w:tcPr>
          <w:p>
            <w:pPr>
              <w:jc w:val="right"/>
            </w:pPr>
            <w:r>
              <w:rPr>
                <w:rFonts w:ascii="宋体" w:hAnsi="宋体" w:eastAsia="宋体" w:cs="宋体"/>
                <w:b w:val="0"/>
                <w:i w:val="0"/>
                <w:color w:val="000000"/>
                <w:sz w:val="11"/>
              </w:rPr>
              <w:t>3.52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20133</w:t>
            </w:r>
          </w:p>
        </w:tc>
        <w:tc>
          <w:tcPr>
            <w:tcW w:w="1760" w:type="dxa"/>
            <w:vAlign w:val="center"/>
          </w:tcPr>
          <w:p>
            <w:pPr>
              <w:jc w:val="left"/>
            </w:pPr>
            <w:r>
              <w:rPr>
                <w:rFonts w:ascii="宋体" w:hAnsi="宋体" w:eastAsia="宋体" w:cs="宋体"/>
                <w:b w:val="0"/>
                <w:i w:val="0"/>
                <w:color w:val="000000"/>
                <w:sz w:val="11"/>
              </w:rPr>
              <w:t>宣传事务</w:t>
            </w:r>
          </w:p>
        </w:tc>
        <w:tc>
          <w:tcPr>
            <w:tcW w:w="940" w:type="dxa"/>
            <w:vAlign w:val="center"/>
          </w:tcPr>
          <w:p>
            <w:pPr>
              <w:jc w:val="right"/>
            </w:pPr>
            <w:r>
              <w:rPr>
                <w:rFonts w:ascii="宋体" w:hAnsi="宋体" w:eastAsia="宋体" w:cs="宋体"/>
                <w:b w:val="0"/>
                <w:i w:val="0"/>
                <w:color w:val="000000"/>
                <w:sz w:val="11"/>
              </w:rPr>
              <w:t>0.13</w:t>
            </w:r>
          </w:p>
        </w:tc>
        <w:tc>
          <w:tcPr>
            <w:tcW w:w="1000" w:type="dxa"/>
            <w:vAlign w:val="center"/>
          </w:tcPr>
          <w:p>
            <w:pPr>
              <w:jc w:val="right"/>
            </w:pPr>
            <w:r>
              <w:rPr>
                <w:rFonts w:ascii="宋体" w:hAnsi="宋体" w:eastAsia="宋体" w:cs="宋体"/>
                <w:b w:val="0"/>
                <w:i w:val="0"/>
                <w:color w:val="000000"/>
                <w:sz w:val="11"/>
              </w:rPr>
              <w:t>0.13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2013302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0.13</w:t>
            </w:r>
          </w:p>
        </w:tc>
        <w:tc>
          <w:tcPr>
            <w:tcW w:w="1000" w:type="dxa"/>
            <w:vAlign w:val="center"/>
          </w:tcPr>
          <w:p>
            <w:pPr>
              <w:jc w:val="right"/>
            </w:pPr>
            <w:r>
              <w:rPr>
                <w:rFonts w:ascii="宋体" w:hAnsi="宋体" w:eastAsia="宋体" w:cs="宋体"/>
                <w:b w:val="0"/>
                <w:i w:val="0"/>
                <w:color w:val="000000"/>
                <w:sz w:val="11"/>
              </w:rPr>
              <w:t>0.13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10.73</w:t>
            </w:r>
          </w:p>
        </w:tc>
        <w:tc>
          <w:tcPr>
            <w:tcW w:w="1000" w:type="dxa"/>
            <w:vAlign w:val="center"/>
          </w:tcPr>
          <w:p>
            <w:pPr>
              <w:jc w:val="right"/>
            </w:pPr>
            <w:r>
              <w:rPr>
                <w:rFonts w:ascii="宋体" w:hAnsi="宋体" w:eastAsia="宋体" w:cs="宋体"/>
                <w:b w:val="0"/>
                <w:i w:val="0"/>
                <w:color w:val="000000"/>
                <w:sz w:val="11"/>
              </w:rPr>
              <w:t>10.73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10.73</w:t>
            </w:r>
          </w:p>
        </w:tc>
        <w:tc>
          <w:tcPr>
            <w:tcW w:w="1000" w:type="dxa"/>
            <w:vAlign w:val="center"/>
          </w:tcPr>
          <w:p>
            <w:pPr>
              <w:jc w:val="right"/>
            </w:pPr>
            <w:r>
              <w:rPr>
                <w:rFonts w:ascii="宋体" w:hAnsi="宋体" w:eastAsia="宋体" w:cs="宋体"/>
                <w:b w:val="0"/>
                <w:i w:val="0"/>
                <w:color w:val="000000"/>
                <w:sz w:val="11"/>
              </w:rPr>
              <w:t>10.73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10.73</w:t>
            </w:r>
          </w:p>
        </w:tc>
        <w:tc>
          <w:tcPr>
            <w:tcW w:w="1000" w:type="dxa"/>
            <w:vAlign w:val="center"/>
          </w:tcPr>
          <w:p>
            <w:pPr>
              <w:jc w:val="right"/>
            </w:pPr>
            <w:r>
              <w:rPr>
                <w:rFonts w:ascii="宋体" w:hAnsi="宋体" w:eastAsia="宋体" w:cs="宋体"/>
                <w:b w:val="0"/>
                <w:i w:val="0"/>
                <w:color w:val="000000"/>
                <w:sz w:val="11"/>
              </w:rPr>
              <w:t>10.73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4.51</w:t>
            </w:r>
          </w:p>
        </w:tc>
        <w:tc>
          <w:tcPr>
            <w:tcW w:w="1000" w:type="dxa"/>
            <w:vAlign w:val="center"/>
          </w:tcPr>
          <w:p>
            <w:pPr>
              <w:jc w:val="right"/>
            </w:pPr>
            <w:r>
              <w:rPr>
                <w:rFonts w:ascii="宋体" w:hAnsi="宋体" w:eastAsia="宋体" w:cs="宋体"/>
                <w:b w:val="0"/>
                <w:i w:val="0"/>
                <w:color w:val="000000"/>
                <w:sz w:val="11"/>
              </w:rPr>
              <w:t>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4.51</w:t>
            </w:r>
          </w:p>
        </w:tc>
        <w:tc>
          <w:tcPr>
            <w:tcW w:w="1000" w:type="dxa"/>
            <w:vAlign w:val="center"/>
          </w:tcPr>
          <w:p>
            <w:pPr>
              <w:jc w:val="right"/>
            </w:pPr>
            <w:r>
              <w:rPr>
                <w:rFonts w:ascii="宋体" w:hAnsi="宋体" w:eastAsia="宋体" w:cs="宋体"/>
                <w:b w:val="0"/>
                <w:i w:val="0"/>
                <w:color w:val="000000"/>
                <w:sz w:val="11"/>
              </w:rPr>
              <w:t>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4.17</w:t>
            </w:r>
          </w:p>
        </w:tc>
        <w:tc>
          <w:tcPr>
            <w:tcW w:w="1000" w:type="dxa"/>
            <w:vAlign w:val="center"/>
          </w:tcPr>
          <w:p>
            <w:pPr>
              <w:jc w:val="right"/>
            </w:pPr>
            <w:r>
              <w:rPr>
                <w:rFonts w:ascii="宋体" w:hAnsi="宋体" w:eastAsia="宋体" w:cs="宋体"/>
                <w:b w:val="0"/>
                <w:i w:val="0"/>
                <w:color w:val="000000"/>
                <w:sz w:val="11"/>
              </w:rPr>
              <w:t>4.17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0.33</w:t>
            </w:r>
          </w:p>
        </w:tc>
        <w:tc>
          <w:tcPr>
            <w:tcW w:w="1000" w:type="dxa"/>
            <w:vAlign w:val="center"/>
          </w:tcPr>
          <w:p>
            <w:pPr>
              <w:jc w:val="right"/>
            </w:pPr>
            <w:r>
              <w:rPr>
                <w:rFonts w:ascii="宋体" w:hAnsi="宋体" w:eastAsia="宋体" w:cs="宋体"/>
                <w:b w:val="0"/>
                <w:i w:val="0"/>
                <w:color w:val="000000"/>
                <w:sz w:val="11"/>
              </w:rPr>
              <w:t>0.33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19,500.00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w:t>
            </w:r>
          </w:p>
        </w:tc>
        <w:tc>
          <w:tcPr>
            <w:tcW w:w="1760" w:type="dxa"/>
            <w:vAlign w:val="center"/>
          </w:tcPr>
          <w:p>
            <w:pPr>
              <w:jc w:val="left"/>
            </w:pPr>
            <w:r>
              <w:rPr>
                <w:rFonts w:ascii="宋体" w:hAnsi="宋体" w:eastAsia="宋体" w:cs="宋体"/>
                <w:b w:val="0"/>
                <w:i w:val="0"/>
                <w:color w:val="000000"/>
                <w:sz w:val="11"/>
              </w:rPr>
              <w:t>国有土地使用权出让收入安排的支出</w:t>
            </w:r>
          </w:p>
        </w:tc>
        <w:tc>
          <w:tcPr>
            <w:tcW w:w="940" w:type="dxa"/>
            <w:vAlign w:val="center"/>
          </w:tcPr>
          <w:p>
            <w:pPr>
              <w:jc w:val="right"/>
            </w:pPr>
            <w:r>
              <w:rPr>
                <w:rFonts w:ascii="宋体" w:hAnsi="宋体" w:eastAsia="宋体" w:cs="宋体"/>
                <w:b w:val="0"/>
                <w:i w:val="0"/>
                <w:color w:val="000000"/>
                <w:sz w:val="11"/>
              </w:rPr>
              <w:t>19,500.00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2120899</w:t>
            </w:r>
          </w:p>
        </w:tc>
        <w:tc>
          <w:tcPr>
            <w:tcW w:w="1760" w:type="dxa"/>
            <w:vAlign w:val="center"/>
          </w:tcPr>
          <w:p>
            <w:pPr>
              <w:jc w:val="left"/>
            </w:pPr>
            <w:r>
              <w:rPr>
                <w:rFonts w:ascii="宋体" w:hAnsi="宋体" w:eastAsia="宋体" w:cs="宋体"/>
                <w:b w:val="0"/>
                <w:i w:val="0"/>
                <w:color w:val="000000"/>
                <w:sz w:val="11"/>
              </w:rPr>
              <w:t>其他国有土地使用权出让收入安排的支出</w:t>
            </w:r>
          </w:p>
        </w:tc>
        <w:tc>
          <w:tcPr>
            <w:tcW w:w="940" w:type="dxa"/>
            <w:vAlign w:val="center"/>
          </w:tcPr>
          <w:p>
            <w:pPr>
              <w:jc w:val="right"/>
            </w:pPr>
            <w:r>
              <w:rPr>
                <w:rFonts w:ascii="宋体" w:hAnsi="宋体" w:eastAsia="宋体" w:cs="宋体"/>
                <w:b w:val="0"/>
                <w:i w:val="0"/>
                <w:color w:val="000000"/>
                <w:sz w:val="11"/>
              </w:rPr>
              <w:t>19,500.00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14.13</w:t>
            </w:r>
          </w:p>
        </w:tc>
        <w:tc>
          <w:tcPr>
            <w:tcW w:w="1000" w:type="dxa"/>
            <w:vAlign w:val="center"/>
          </w:tcPr>
          <w:p>
            <w:pPr>
              <w:jc w:val="right"/>
            </w:pPr>
            <w:r>
              <w:rPr>
                <w:rFonts w:ascii="宋体" w:hAnsi="宋体" w:eastAsia="宋体" w:cs="宋体"/>
                <w:b w:val="0"/>
                <w:i w:val="0"/>
                <w:color w:val="000000"/>
                <w:sz w:val="11"/>
              </w:rPr>
              <w:t>14.13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14.13</w:t>
            </w:r>
          </w:p>
        </w:tc>
        <w:tc>
          <w:tcPr>
            <w:tcW w:w="1000" w:type="dxa"/>
            <w:vAlign w:val="center"/>
          </w:tcPr>
          <w:p>
            <w:pPr>
              <w:jc w:val="right"/>
            </w:pPr>
            <w:r>
              <w:rPr>
                <w:rFonts w:ascii="宋体" w:hAnsi="宋体" w:eastAsia="宋体" w:cs="宋体"/>
                <w:b w:val="0"/>
                <w:i w:val="0"/>
                <w:color w:val="000000"/>
                <w:sz w:val="11"/>
              </w:rPr>
              <w:t>14.13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14.13</w:t>
            </w:r>
          </w:p>
        </w:tc>
        <w:tc>
          <w:tcPr>
            <w:tcW w:w="1000" w:type="dxa"/>
            <w:vAlign w:val="center"/>
          </w:tcPr>
          <w:p>
            <w:pPr>
              <w:jc w:val="right"/>
            </w:pPr>
            <w:r>
              <w:rPr>
                <w:rFonts w:ascii="宋体" w:hAnsi="宋体" w:eastAsia="宋体" w:cs="宋体"/>
                <w:b w:val="0"/>
                <w:i w:val="0"/>
                <w:color w:val="000000"/>
                <w:sz w:val="11"/>
              </w:rPr>
              <w:t>14.13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104.58</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75.22</w:t>
            </w:r>
          </w:p>
        </w:tc>
        <w:tc>
          <w:tcPr>
            <w:tcW w:w="1460" w:type="dxa"/>
            <w:vAlign w:val="center"/>
          </w:tcPr>
          <w:p>
            <w:pPr>
              <w:jc w:val="right"/>
            </w:pPr>
            <w:r>
              <w:rPr>
                <w:rFonts w:ascii="宋体" w:hAnsi="宋体" w:eastAsia="宋体" w:cs="宋体"/>
                <w:b w:val="0"/>
                <w:i w:val="0"/>
                <w:color w:val="000000"/>
                <w:sz w:val="17"/>
              </w:rPr>
              <w:t>75.22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19,500.00</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10.73</w:t>
            </w:r>
          </w:p>
        </w:tc>
        <w:tc>
          <w:tcPr>
            <w:tcW w:w="1460" w:type="dxa"/>
            <w:vAlign w:val="center"/>
          </w:tcPr>
          <w:p>
            <w:pPr>
              <w:jc w:val="right"/>
            </w:pPr>
            <w:r>
              <w:rPr>
                <w:rFonts w:ascii="宋体" w:hAnsi="宋体" w:eastAsia="宋体" w:cs="宋体"/>
                <w:b w:val="0"/>
                <w:i w:val="0"/>
                <w:color w:val="000000"/>
                <w:sz w:val="17"/>
              </w:rPr>
              <w:t>10.73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4.51</w:t>
            </w:r>
          </w:p>
        </w:tc>
        <w:tc>
          <w:tcPr>
            <w:tcW w:w="1460" w:type="dxa"/>
            <w:vAlign w:val="center"/>
          </w:tcPr>
          <w:p>
            <w:pPr>
              <w:jc w:val="right"/>
            </w:pPr>
            <w:r>
              <w:rPr>
                <w:rFonts w:ascii="宋体" w:hAnsi="宋体" w:eastAsia="宋体" w:cs="宋体"/>
                <w:b w:val="0"/>
                <w:i w:val="0"/>
                <w:color w:val="000000"/>
                <w:sz w:val="17"/>
              </w:rPr>
              <w:t>4.51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19,500.00</w:t>
            </w:r>
          </w:p>
        </w:tc>
        <w:tc>
          <w:tcPr>
            <w:tcW w:w="1460" w:type="dxa"/>
            <w:vAlign w:val="center"/>
          </w:tcPr>
          <w:p/>
        </w:tc>
        <w:tc>
          <w:tcPr>
            <w:tcW w:w="1460" w:type="dxa"/>
            <w:vAlign w:val="center"/>
          </w:tcPr>
          <w:p>
            <w:pPr>
              <w:jc w:val="right"/>
            </w:pPr>
            <w:r>
              <w:rPr>
                <w:rFonts w:ascii="宋体" w:hAnsi="宋体" w:eastAsia="宋体" w:cs="宋体"/>
                <w:b w:val="0"/>
                <w:i w:val="0"/>
                <w:color w:val="000000"/>
                <w:sz w:val="17"/>
              </w:rPr>
              <w:t>19,500.00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14.13</w:t>
            </w:r>
          </w:p>
        </w:tc>
        <w:tc>
          <w:tcPr>
            <w:tcW w:w="1460" w:type="dxa"/>
            <w:vAlign w:val="center"/>
          </w:tcPr>
          <w:p>
            <w:pPr>
              <w:jc w:val="right"/>
            </w:pPr>
            <w:r>
              <w:rPr>
                <w:rFonts w:ascii="宋体" w:hAnsi="宋体" w:eastAsia="宋体" w:cs="宋体"/>
                <w:b w:val="0"/>
                <w:i w:val="0"/>
                <w:color w:val="000000"/>
                <w:sz w:val="17"/>
              </w:rPr>
              <w:t>14.13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19,604.58</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19,604.58</w:t>
            </w:r>
          </w:p>
        </w:tc>
        <w:tc>
          <w:tcPr>
            <w:tcW w:w="1460" w:type="dxa"/>
            <w:vAlign w:val="center"/>
          </w:tcPr>
          <w:p>
            <w:pPr>
              <w:jc w:val="right"/>
            </w:pPr>
            <w:r>
              <w:rPr>
                <w:rFonts w:ascii="宋体" w:hAnsi="宋体" w:eastAsia="宋体" w:cs="宋体"/>
                <w:b w:val="0"/>
                <w:i w:val="0"/>
                <w:color w:val="000000"/>
                <w:sz w:val="17"/>
              </w:rPr>
              <w:t>104.58</w:t>
            </w:r>
          </w:p>
        </w:tc>
        <w:tc>
          <w:tcPr>
            <w:tcW w:w="1460" w:type="dxa"/>
            <w:vAlign w:val="center"/>
          </w:tcPr>
          <w:p>
            <w:pPr>
              <w:jc w:val="right"/>
            </w:pPr>
            <w:r>
              <w:rPr>
                <w:rFonts w:ascii="宋体" w:hAnsi="宋体" w:eastAsia="宋体" w:cs="宋体"/>
                <w:b w:val="0"/>
                <w:i w:val="0"/>
                <w:color w:val="000000"/>
                <w:sz w:val="17"/>
              </w:rPr>
              <w:t>19,500.00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19,604.58</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19,604.58</w:t>
            </w:r>
          </w:p>
        </w:tc>
        <w:tc>
          <w:tcPr>
            <w:tcW w:w="1460" w:type="dxa"/>
            <w:vAlign w:val="center"/>
          </w:tcPr>
          <w:p>
            <w:pPr>
              <w:jc w:val="right"/>
            </w:pPr>
            <w:r>
              <w:rPr>
                <w:rFonts w:ascii="宋体" w:hAnsi="宋体" w:eastAsia="宋体" w:cs="宋体"/>
                <w:b w:val="0"/>
                <w:i w:val="0"/>
                <w:color w:val="000000"/>
                <w:sz w:val="17"/>
              </w:rPr>
              <w:t>104.58</w:t>
            </w:r>
          </w:p>
        </w:tc>
        <w:tc>
          <w:tcPr>
            <w:tcW w:w="1460" w:type="dxa"/>
            <w:vAlign w:val="center"/>
          </w:tcPr>
          <w:p>
            <w:pPr>
              <w:jc w:val="right"/>
            </w:pPr>
            <w:r>
              <w:rPr>
                <w:rFonts w:ascii="宋体" w:hAnsi="宋体" w:eastAsia="宋体" w:cs="宋体"/>
                <w:b w:val="0"/>
                <w:i w:val="0"/>
                <w:color w:val="000000"/>
                <w:sz w:val="17"/>
              </w:rPr>
              <w:t>19,500.00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104.58</w:t>
            </w:r>
          </w:p>
        </w:tc>
        <w:tc>
          <w:tcPr>
            <w:tcW w:w="1520" w:type="dxa"/>
            <w:vAlign w:val="center"/>
          </w:tcPr>
          <w:p>
            <w:pPr>
              <w:jc w:val="right"/>
            </w:pPr>
            <w:r>
              <w:rPr>
                <w:rFonts w:ascii="宋体" w:hAnsi="宋体" w:eastAsia="宋体" w:cs="宋体"/>
                <w:b w:val="0"/>
                <w:i w:val="0"/>
                <w:color w:val="000000"/>
                <w:sz w:val="16"/>
              </w:rPr>
              <w:t>101.06</w:t>
            </w:r>
          </w:p>
        </w:tc>
        <w:tc>
          <w:tcPr>
            <w:tcW w:w="1526" w:type="dxa"/>
            <w:vAlign w:val="center"/>
          </w:tcPr>
          <w:p>
            <w:pPr>
              <w:jc w:val="right"/>
            </w:pPr>
            <w:r>
              <w:rPr>
                <w:rFonts w:ascii="宋体" w:hAnsi="宋体" w:eastAsia="宋体" w:cs="宋体"/>
                <w:b w:val="0"/>
                <w:i w:val="0"/>
                <w:color w:val="000000"/>
                <w:sz w:val="16"/>
              </w:rPr>
              <w:t>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75.22</w:t>
            </w:r>
          </w:p>
        </w:tc>
        <w:tc>
          <w:tcPr>
            <w:tcW w:w="1520" w:type="dxa"/>
            <w:vAlign w:val="center"/>
          </w:tcPr>
          <w:p>
            <w:pPr>
              <w:jc w:val="right"/>
            </w:pPr>
            <w:r>
              <w:rPr>
                <w:rFonts w:ascii="宋体" w:hAnsi="宋体" w:eastAsia="宋体" w:cs="宋体"/>
                <w:b w:val="0"/>
                <w:i w:val="0"/>
                <w:color w:val="000000"/>
                <w:sz w:val="16"/>
              </w:rPr>
              <w:t>71.70</w:t>
            </w:r>
          </w:p>
        </w:tc>
        <w:tc>
          <w:tcPr>
            <w:tcW w:w="1526" w:type="dxa"/>
            <w:vAlign w:val="center"/>
          </w:tcPr>
          <w:p>
            <w:pPr>
              <w:jc w:val="right"/>
            </w:pPr>
            <w:r>
              <w:rPr>
                <w:rFonts w:ascii="宋体" w:hAnsi="宋体" w:eastAsia="宋体" w:cs="宋体"/>
                <w:b w:val="0"/>
                <w:i w:val="0"/>
                <w:color w:val="000000"/>
                <w:sz w:val="16"/>
              </w:rPr>
              <w:t>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75.09</w:t>
            </w:r>
          </w:p>
        </w:tc>
        <w:tc>
          <w:tcPr>
            <w:tcW w:w="1520" w:type="dxa"/>
            <w:vAlign w:val="center"/>
          </w:tcPr>
          <w:p>
            <w:pPr>
              <w:jc w:val="right"/>
            </w:pPr>
            <w:r>
              <w:rPr>
                <w:rFonts w:ascii="宋体" w:hAnsi="宋体" w:eastAsia="宋体" w:cs="宋体"/>
                <w:b w:val="0"/>
                <w:i w:val="0"/>
                <w:color w:val="000000"/>
                <w:sz w:val="16"/>
              </w:rPr>
              <w:t>71.57</w:t>
            </w:r>
          </w:p>
        </w:tc>
        <w:tc>
          <w:tcPr>
            <w:tcW w:w="1526" w:type="dxa"/>
            <w:vAlign w:val="center"/>
          </w:tcPr>
          <w:p>
            <w:pPr>
              <w:jc w:val="right"/>
            </w:pPr>
            <w:r>
              <w:rPr>
                <w:rFonts w:ascii="宋体" w:hAnsi="宋体" w:eastAsia="宋体" w:cs="宋体"/>
                <w:b w:val="0"/>
                <w:i w:val="0"/>
                <w:color w:val="000000"/>
                <w:sz w:val="16"/>
              </w:rPr>
              <w:t>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71.57</w:t>
            </w:r>
          </w:p>
        </w:tc>
        <w:tc>
          <w:tcPr>
            <w:tcW w:w="1520" w:type="dxa"/>
            <w:vAlign w:val="center"/>
          </w:tcPr>
          <w:p>
            <w:pPr>
              <w:jc w:val="right"/>
            </w:pPr>
            <w:r>
              <w:rPr>
                <w:rFonts w:ascii="宋体" w:hAnsi="宋体" w:eastAsia="宋体" w:cs="宋体"/>
                <w:b w:val="0"/>
                <w:i w:val="0"/>
                <w:color w:val="000000"/>
                <w:sz w:val="16"/>
              </w:rPr>
              <w:t>71.57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3.52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20133</w:t>
            </w:r>
          </w:p>
        </w:tc>
        <w:tc>
          <w:tcPr>
            <w:tcW w:w="2700" w:type="dxa"/>
            <w:vAlign w:val="center"/>
          </w:tcPr>
          <w:p>
            <w:pPr>
              <w:jc w:val="left"/>
            </w:pPr>
            <w:r>
              <w:rPr>
                <w:rFonts w:ascii="宋体" w:hAnsi="宋体" w:eastAsia="宋体" w:cs="宋体"/>
                <w:b w:val="0"/>
                <w:i w:val="0"/>
                <w:color w:val="000000"/>
                <w:sz w:val="16"/>
              </w:rPr>
              <w:t>宣传事务</w:t>
            </w:r>
          </w:p>
        </w:tc>
        <w:tc>
          <w:tcPr>
            <w:tcW w:w="1420" w:type="dxa"/>
            <w:vAlign w:val="center"/>
          </w:tcPr>
          <w:p>
            <w:pPr>
              <w:jc w:val="right"/>
            </w:pPr>
            <w:r>
              <w:rPr>
                <w:rFonts w:ascii="宋体" w:hAnsi="宋体" w:eastAsia="宋体" w:cs="宋体"/>
                <w:b w:val="0"/>
                <w:i w:val="0"/>
                <w:color w:val="000000"/>
                <w:sz w:val="16"/>
              </w:rPr>
              <w:t>0.13</w:t>
            </w:r>
          </w:p>
        </w:tc>
        <w:tc>
          <w:tcPr>
            <w:tcW w:w="1520" w:type="dxa"/>
            <w:vAlign w:val="center"/>
          </w:tcPr>
          <w:p>
            <w:pPr>
              <w:jc w:val="right"/>
            </w:pPr>
            <w:r>
              <w:rPr>
                <w:rFonts w:ascii="宋体" w:hAnsi="宋体" w:eastAsia="宋体" w:cs="宋体"/>
                <w:b w:val="0"/>
                <w:i w:val="0"/>
                <w:color w:val="000000"/>
                <w:sz w:val="16"/>
              </w:rPr>
              <w:t>0.13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2013302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0.13</w:t>
            </w:r>
          </w:p>
        </w:tc>
        <w:tc>
          <w:tcPr>
            <w:tcW w:w="1520" w:type="dxa"/>
            <w:vAlign w:val="center"/>
          </w:tcPr>
          <w:p>
            <w:pPr>
              <w:jc w:val="right"/>
            </w:pPr>
            <w:r>
              <w:rPr>
                <w:rFonts w:ascii="宋体" w:hAnsi="宋体" w:eastAsia="宋体" w:cs="宋体"/>
                <w:b w:val="0"/>
                <w:i w:val="0"/>
                <w:color w:val="000000"/>
                <w:sz w:val="16"/>
              </w:rPr>
              <w:t>0.13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10.73</w:t>
            </w:r>
          </w:p>
        </w:tc>
        <w:tc>
          <w:tcPr>
            <w:tcW w:w="1520" w:type="dxa"/>
            <w:vAlign w:val="center"/>
          </w:tcPr>
          <w:p>
            <w:pPr>
              <w:jc w:val="right"/>
            </w:pPr>
            <w:r>
              <w:rPr>
                <w:rFonts w:ascii="宋体" w:hAnsi="宋体" w:eastAsia="宋体" w:cs="宋体"/>
                <w:b w:val="0"/>
                <w:i w:val="0"/>
                <w:color w:val="000000"/>
                <w:sz w:val="16"/>
              </w:rPr>
              <w:t>10.73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10.73</w:t>
            </w:r>
          </w:p>
        </w:tc>
        <w:tc>
          <w:tcPr>
            <w:tcW w:w="1520" w:type="dxa"/>
            <w:vAlign w:val="center"/>
          </w:tcPr>
          <w:p>
            <w:pPr>
              <w:jc w:val="right"/>
            </w:pPr>
            <w:r>
              <w:rPr>
                <w:rFonts w:ascii="宋体" w:hAnsi="宋体" w:eastAsia="宋体" w:cs="宋体"/>
                <w:b w:val="0"/>
                <w:i w:val="0"/>
                <w:color w:val="000000"/>
                <w:sz w:val="16"/>
              </w:rPr>
              <w:t>10.73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10.73</w:t>
            </w:r>
          </w:p>
        </w:tc>
        <w:tc>
          <w:tcPr>
            <w:tcW w:w="1520" w:type="dxa"/>
            <w:vAlign w:val="center"/>
          </w:tcPr>
          <w:p>
            <w:pPr>
              <w:jc w:val="right"/>
            </w:pPr>
            <w:r>
              <w:rPr>
                <w:rFonts w:ascii="宋体" w:hAnsi="宋体" w:eastAsia="宋体" w:cs="宋体"/>
                <w:b w:val="0"/>
                <w:i w:val="0"/>
                <w:color w:val="000000"/>
                <w:sz w:val="16"/>
              </w:rPr>
              <w:t>10.73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4.51</w:t>
            </w:r>
          </w:p>
        </w:tc>
        <w:tc>
          <w:tcPr>
            <w:tcW w:w="1520" w:type="dxa"/>
            <w:vAlign w:val="center"/>
          </w:tcPr>
          <w:p>
            <w:pPr>
              <w:jc w:val="right"/>
            </w:pPr>
            <w:r>
              <w:rPr>
                <w:rFonts w:ascii="宋体" w:hAnsi="宋体" w:eastAsia="宋体" w:cs="宋体"/>
                <w:b w:val="0"/>
                <w:i w:val="0"/>
                <w:color w:val="000000"/>
                <w:sz w:val="16"/>
              </w:rPr>
              <w:t>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4.51</w:t>
            </w:r>
          </w:p>
        </w:tc>
        <w:tc>
          <w:tcPr>
            <w:tcW w:w="1520" w:type="dxa"/>
            <w:vAlign w:val="center"/>
          </w:tcPr>
          <w:p>
            <w:pPr>
              <w:jc w:val="right"/>
            </w:pPr>
            <w:r>
              <w:rPr>
                <w:rFonts w:ascii="宋体" w:hAnsi="宋体" w:eastAsia="宋体" w:cs="宋体"/>
                <w:b w:val="0"/>
                <w:i w:val="0"/>
                <w:color w:val="000000"/>
                <w:sz w:val="16"/>
              </w:rPr>
              <w:t>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4.17</w:t>
            </w:r>
          </w:p>
        </w:tc>
        <w:tc>
          <w:tcPr>
            <w:tcW w:w="1520" w:type="dxa"/>
            <w:vAlign w:val="center"/>
          </w:tcPr>
          <w:p>
            <w:pPr>
              <w:jc w:val="right"/>
            </w:pPr>
            <w:r>
              <w:rPr>
                <w:rFonts w:ascii="宋体" w:hAnsi="宋体" w:eastAsia="宋体" w:cs="宋体"/>
                <w:b w:val="0"/>
                <w:i w:val="0"/>
                <w:color w:val="000000"/>
                <w:sz w:val="16"/>
              </w:rPr>
              <w:t>4.17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0.33</w:t>
            </w:r>
          </w:p>
        </w:tc>
        <w:tc>
          <w:tcPr>
            <w:tcW w:w="1520" w:type="dxa"/>
            <w:vAlign w:val="center"/>
          </w:tcPr>
          <w:p>
            <w:pPr>
              <w:jc w:val="right"/>
            </w:pPr>
            <w:r>
              <w:rPr>
                <w:rFonts w:ascii="宋体" w:hAnsi="宋体" w:eastAsia="宋体" w:cs="宋体"/>
                <w:b w:val="0"/>
                <w:i w:val="0"/>
                <w:color w:val="000000"/>
                <w:sz w:val="16"/>
              </w:rPr>
              <w:t>0.33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14.13</w:t>
            </w:r>
          </w:p>
        </w:tc>
        <w:tc>
          <w:tcPr>
            <w:tcW w:w="1520" w:type="dxa"/>
            <w:vAlign w:val="center"/>
          </w:tcPr>
          <w:p>
            <w:pPr>
              <w:jc w:val="right"/>
            </w:pPr>
            <w:r>
              <w:rPr>
                <w:rFonts w:ascii="宋体" w:hAnsi="宋体" w:eastAsia="宋体" w:cs="宋体"/>
                <w:b w:val="0"/>
                <w:i w:val="0"/>
                <w:color w:val="000000"/>
                <w:sz w:val="16"/>
              </w:rPr>
              <w:t>14.13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14.13</w:t>
            </w:r>
          </w:p>
        </w:tc>
        <w:tc>
          <w:tcPr>
            <w:tcW w:w="1520" w:type="dxa"/>
            <w:vAlign w:val="center"/>
          </w:tcPr>
          <w:p>
            <w:pPr>
              <w:jc w:val="right"/>
            </w:pPr>
            <w:r>
              <w:rPr>
                <w:rFonts w:ascii="宋体" w:hAnsi="宋体" w:eastAsia="宋体" w:cs="宋体"/>
                <w:b w:val="0"/>
                <w:i w:val="0"/>
                <w:color w:val="000000"/>
                <w:sz w:val="16"/>
              </w:rPr>
              <w:t>14.13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14.13</w:t>
            </w:r>
          </w:p>
        </w:tc>
        <w:tc>
          <w:tcPr>
            <w:tcW w:w="1520" w:type="dxa"/>
            <w:vAlign w:val="center"/>
          </w:tcPr>
          <w:p>
            <w:pPr>
              <w:jc w:val="right"/>
            </w:pPr>
            <w:r>
              <w:rPr>
                <w:rFonts w:ascii="宋体" w:hAnsi="宋体" w:eastAsia="宋体" w:cs="宋体"/>
                <w:b w:val="0"/>
                <w:i w:val="0"/>
                <w:color w:val="000000"/>
                <w:sz w:val="16"/>
              </w:rPr>
              <w:t>14.13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101.06</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43.32</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28.25</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10.73</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4.17</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0.46</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14.13</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101.06</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19,500.00</w:t>
            </w:r>
          </w:p>
        </w:tc>
        <w:tc>
          <w:tcPr>
            <w:tcW w:w="940" w:type="dxa"/>
            <w:vAlign w:val="center"/>
          </w:tcPr>
          <w:p>
            <w:pPr>
              <w:jc w:val="right"/>
            </w:pPr>
            <w:r>
              <w:rPr>
                <w:rFonts w:ascii="宋体" w:hAnsi="宋体" w:eastAsia="宋体" w:cs="宋体"/>
                <w:b w:val="0"/>
                <w:i w:val="0"/>
                <w:color w:val="000000"/>
                <w:sz w:val="11"/>
              </w:rPr>
              <w:t>19,500.00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w:t>
            </w:r>
          </w:p>
        </w:tc>
        <w:tc>
          <w:tcPr>
            <w:tcW w:w="1700" w:type="dxa"/>
            <w:vAlign w:val="center"/>
          </w:tcPr>
          <w:p>
            <w:pPr>
              <w:jc w:val="left"/>
            </w:pPr>
            <w:r>
              <w:rPr>
                <w:rFonts w:ascii="宋体" w:hAnsi="宋体" w:eastAsia="宋体" w:cs="宋体"/>
                <w:b w:val="0"/>
                <w:i w:val="0"/>
                <w:color w:val="000000"/>
                <w:sz w:val="11"/>
              </w:rPr>
              <w:t>城乡社区支出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19,500.00</w:t>
            </w:r>
          </w:p>
        </w:tc>
        <w:tc>
          <w:tcPr>
            <w:tcW w:w="940" w:type="dxa"/>
            <w:vAlign w:val="center"/>
          </w:tcPr>
          <w:p>
            <w:pPr>
              <w:jc w:val="right"/>
            </w:pPr>
            <w:r>
              <w:rPr>
                <w:rFonts w:ascii="宋体" w:hAnsi="宋体" w:eastAsia="宋体" w:cs="宋体"/>
                <w:b w:val="0"/>
                <w:i w:val="0"/>
                <w:color w:val="000000"/>
                <w:sz w:val="11"/>
              </w:rPr>
              <w:t>19,500.00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w:t>
            </w:r>
          </w:p>
        </w:tc>
        <w:tc>
          <w:tcPr>
            <w:tcW w:w="1700" w:type="dxa"/>
            <w:vAlign w:val="center"/>
          </w:tcPr>
          <w:p>
            <w:pPr>
              <w:jc w:val="left"/>
            </w:pPr>
            <w:r>
              <w:rPr>
                <w:rFonts w:ascii="宋体" w:hAnsi="宋体" w:eastAsia="宋体" w:cs="宋体"/>
                <w:b w:val="0"/>
                <w:i w:val="0"/>
                <w:color w:val="000000"/>
                <w:sz w:val="11"/>
              </w:rPr>
              <w:t>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19,500.00</w:t>
            </w:r>
          </w:p>
        </w:tc>
        <w:tc>
          <w:tcPr>
            <w:tcW w:w="940" w:type="dxa"/>
            <w:vAlign w:val="center"/>
          </w:tcPr>
          <w:p>
            <w:pPr>
              <w:jc w:val="right"/>
            </w:pPr>
            <w:r>
              <w:rPr>
                <w:rFonts w:ascii="宋体" w:hAnsi="宋体" w:eastAsia="宋体" w:cs="宋体"/>
                <w:b w:val="0"/>
                <w:i w:val="0"/>
                <w:color w:val="000000"/>
                <w:sz w:val="11"/>
              </w:rPr>
              <w:t>19,500.00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2120899</w:t>
            </w:r>
          </w:p>
        </w:tc>
        <w:tc>
          <w:tcPr>
            <w:tcW w:w="1700" w:type="dxa"/>
            <w:vAlign w:val="center"/>
          </w:tcPr>
          <w:p>
            <w:pPr>
              <w:jc w:val="left"/>
            </w:pPr>
            <w:r>
              <w:rPr>
                <w:rFonts w:ascii="宋体" w:hAnsi="宋体" w:eastAsia="宋体" w:cs="宋体"/>
                <w:b w:val="0"/>
                <w:i w:val="0"/>
                <w:color w:val="000000"/>
                <w:sz w:val="11"/>
              </w:rPr>
              <w:t>其他国有土地使用权出让收入安排的支出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19,500.00</w:t>
            </w:r>
          </w:p>
        </w:tc>
        <w:tc>
          <w:tcPr>
            <w:tcW w:w="940" w:type="dxa"/>
            <w:vAlign w:val="center"/>
          </w:tcPr>
          <w:p>
            <w:pPr>
              <w:jc w:val="right"/>
            </w:pPr>
            <w:r>
              <w:rPr>
                <w:rFonts w:ascii="宋体" w:hAnsi="宋体" w:eastAsia="宋体" w:cs="宋体"/>
                <w:b w:val="0"/>
                <w:i w:val="0"/>
                <w:color w:val="000000"/>
                <w:sz w:val="11"/>
              </w:rPr>
              <w:t>19,500.00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19,500.00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单位：景德镇市昌江区国有资产服务中心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景德镇市昌江区国有资产服务中心</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2023年度收入总计19605.39万元，其中年初结转和结余0.81万元，比上年增加0.81万元；使用非财政拨款结余和专用结余0.00万元，与上年持平；本年收入合计19604.58万元，比上年增加18996.92万元</w:t>
      </w:r>
      <w:r>
        <w:rPr>
          <w:rFonts w:hint="eastAsia" w:ascii="仿宋_GB2312" w:hAnsi="仿宋_GB2312" w:eastAsia="仿宋_GB2312" w:cs="Times New Roman"/>
          <w:sz w:val="32"/>
          <w:szCs w:val="32"/>
        </w:rPr>
        <w:t>，增长3126.22%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新增企业补助项目1.95亿元</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本年收入的具体构成：财政拨款收入19604.58万元，占100.00%；事业收入0.00万元，占0.00%；经营收入0.00万元，占0.00%；上级补助收入0.00万元，占0.00%；附属单位上缴收入0.00万元，占0.00%；其他收入0.00万元，占0.00%。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2023年度支出总计19605.39万元，其中本年支出合计19604.64万元，比上年增加18997.78万元</w:t>
      </w:r>
      <w:r>
        <w:rPr>
          <w:rFonts w:hint="eastAsia" w:ascii="仿宋_GB2312" w:hAnsi="仿宋_GB2312" w:eastAsia="仿宋_GB2312" w:cs="Times New Roman"/>
          <w:sz w:val="32"/>
          <w:szCs w:val="32"/>
        </w:rPr>
        <w:t>，增长3130.53%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新增企业补助项目1.9亿元</w:t>
      </w:r>
      <w:r>
        <w:rPr>
          <w:rFonts w:hint="eastAsia" w:ascii="仿宋_GB2312" w:hAnsi="仿宋_GB2312" w:eastAsia="仿宋_GB2312"/>
          <w:sz w:val="32"/>
          <w:szCs w:val="32"/>
        </w:rPr>
        <w:t>；结余分配0.00万元，与上年持平；年末结转和结余0.75万元，比上年减少0.06万元，下降6.80%，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合理预算，减少实有资金结转结余</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本年支出的具体构成：基本支出101.12万元，占0.52%；项目支出19503.52万元，占99.48%；经营支出0.00万元，占0.00%；上缴上级支出0.00万元，占0.00%；对附属单位补助支出0.00万元，占0.00%。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2023年度财政拨款本年支出年初预算数127.69万元，决算数19604.58万元，完成年初预算的15353.75%。其中：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（一）一般公共服务支出（类）年初预算数99.71万元，决算数75.22万元，完成年初预算的75.43%。预决算差异主要原因：</w:t>
      </w:r>
      <w:r>
        <w:rPr>
          <w:rFonts w:hint="eastAsia" w:ascii="仿宋_GB2312" w:hAnsi="仿宋_GB2312" w:eastAsia="仿宋_GB2312" w:cs="Times New Roman"/>
          <w:sz w:val="32"/>
          <w:szCs w:val="32"/>
          <w:lang w:val="en-US" w:eastAsia="zh-CN"/>
        </w:rPr>
        <w:t>公用经费上拨局本级统一规划使用</w:t>
      </w:r>
      <w:r>
        <w:rPr>
          <w:rFonts w:hint="eastAsia" w:ascii="仿宋_GB2312" w:hAnsi="仿宋_GB2312" w:eastAsia="仿宋_GB2312" w:cs="Times New Roman"/>
          <w:sz w:val="32"/>
          <w:szCs w:val="32"/>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）社会保障和就业支出（类）年初预算数10.58万元，决算数10.73万元，完成年初预算的101.40%。预决算差异主要原因：</w:t>
      </w:r>
      <w:r>
        <w:rPr>
          <w:rFonts w:hint="eastAsia" w:ascii="仿宋_GB2312" w:hAnsi="仿宋_GB2312" w:eastAsia="仿宋_GB2312"/>
          <w:sz w:val="32"/>
          <w:szCs w:val="32"/>
          <w:lang w:val="en-US" w:eastAsia="zh-CN"/>
        </w:rPr>
        <w:t>社保及职业年金基数调整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）卫生健康支出（类）年初预算数5.16万元，决算数4.51万元，完成年初预算的87.34%。预决算差异主要原因：</w:t>
      </w:r>
      <w:r>
        <w:rPr>
          <w:rFonts w:hint="eastAsia" w:ascii="仿宋_GB2312" w:hAnsi="仿宋_GB2312" w:eastAsia="仿宋_GB2312"/>
          <w:sz w:val="32"/>
          <w:szCs w:val="32"/>
          <w:lang w:val="en-US" w:eastAsia="zh-CN"/>
        </w:rPr>
        <w:t>人员调整，调动进出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）城乡社区支出（类）年初预算数0.00万元，决算数19500.00万元，预决算差异主要原因：</w:t>
      </w:r>
      <w:r>
        <w:rPr>
          <w:rFonts w:hint="eastAsia" w:ascii="仿宋_GB2312" w:hAnsi="仿宋_GB2312" w:eastAsia="仿宋_GB2312"/>
          <w:color w:val="000000" w:themeColor="text1"/>
          <w:sz w:val="32"/>
          <w:szCs w:val="32"/>
          <w:lang w:val="en-US" w:eastAsia="zh-CN"/>
        </w:rPr>
        <w:t>新增企业补助项目1.95亿元</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）住房保障支出（类）年初预算数12.23万元，决算数14.13万元，完成年初预算的115.47%。预决算差异主要原因：</w:t>
      </w:r>
      <w:r>
        <w:rPr>
          <w:rFonts w:hint="eastAsia" w:ascii="仿宋_GB2312" w:hAnsi="仿宋_GB2312" w:eastAsia="仿宋_GB2312"/>
          <w:sz w:val="32"/>
          <w:szCs w:val="32"/>
          <w:lang w:val="en-US" w:eastAsia="zh-CN"/>
        </w:rPr>
        <w:t>住房公积金基数调整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2023年度一般公共预算财政拨款基本支出101.06万元，其中：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（一）工资福利支出101.06万元，比上年增加0.42万元</w:t>
      </w:r>
      <w:r>
        <w:rPr>
          <w:rFonts w:hint="eastAsia" w:ascii="仿宋_GB2312" w:hAnsi="仿宋_GB2312" w:eastAsia="仿宋_GB2312" w:cs="Times New Roman"/>
          <w:sz w:val="32"/>
          <w:szCs w:val="32"/>
        </w:rPr>
        <w:t>，增长0.42%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正常调资</w:t>
      </w:r>
      <w:r>
        <w:rPr>
          <w:rFonts w:hint="eastAsia" w:ascii="仿宋_GB2312" w:hAnsi="仿宋_GB2312" w:eastAsia="仿宋_GB2312"/>
          <w:color w:val="000000" w:themeColor="text1"/>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（二）商品和服务支出0.00万元，比上年减少0.38万元，下降100.00%，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公用经费上拨局本级统一规划使用</w:t>
      </w:r>
      <w:r>
        <w:rPr>
          <w:rFonts w:hint="eastAsia" w:ascii="仿宋_GB2312" w:hAnsi="仿宋_GB2312" w:eastAsia="仿宋_GB2312" w:cs="Times New Roman"/>
          <w:sz w:val="32"/>
          <w:szCs w:val="32"/>
        </w:rPr>
        <w:t xml:space="preserve">。 </w:t>
      </w:r>
    </w:p>
    <w:p>
      <w:pPr>
        <w:keepNext w:val="0"/>
        <w:keepLines w:val="0"/>
        <w:widowControl/>
        <w:suppressLineNumbers w:val="0"/>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（三）对个人和家庭补助支出0.00万元，比上年减少0.17万元，下降100.00%，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color w:val="000000"/>
          <w:kern w:val="0"/>
          <w:sz w:val="31"/>
          <w:szCs w:val="31"/>
          <w:lang w:val="en-US" w:eastAsia="zh-CN" w:bidi="ar"/>
        </w:rPr>
        <w:t>本年无</w:t>
      </w:r>
      <w:r>
        <w:rPr>
          <w:rFonts w:hint="eastAsia" w:ascii="仿宋" w:hAnsi="仿宋" w:eastAsia="仿宋" w:cs="仿宋"/>
          <w:color w:val="000000"/>
          <w:kern w:val="0"/>
          <w:sz w:val="31"/>
          <w:szCs w:val="31"/>
          <w:lang w:val="en-US" w:eastAsia="zh-CN" w:bidi="ar"/>
        </w:rPr>
        <w:t>困难职工</w:t>
      </w:r>
      <w:r>
        <w:rPr>
          <w:rFonts w:hint="eastAsia" w:ascii="仿宋_GB2312" w:hAnsi="仿宋_GB2312" w:eastAsia="仿宋_GB2312"/>
          <w:color w:val="000000" w:themeColor="text1"/>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本年未新增固定资产</w:t>
      </w:r>
      <w:r>
        <w:rPr>
          <w:rFonts w:hint="eastAsia" w:ascii="仿宋_GB2312" w:hAnsi="仿宋_GB2312" w:eastAsia="仿宋_GB2312"/>
          <w:color w:val="000000" w:themeColor="text1"/>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2023年度财政拨款“三公”经费支出全年预算数0.00万元，决算数0.00万元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决算数与上年持平，其中：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本单位无公务接待</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本单位无公务接待</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olor w:val="000000" w:themeColor="text1"/>
          <w:sz w:val="32"/>
          <w:szCs w:val="32"/>
          <w:lang w:val="en-US" w:eastAsia="zh-CN"/>
        </w:rPr>
        <w:t>本单位无公务接待</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公用经费上拨局本级统一规划使用</w:t>
      </w:r>
      <w:r>
        <w:rPr>
          <w:rFonts w:hint="eastAsia" w:ascii="仿宋_GB2312" w:hAnsi="仿宋_GB2312" w:eastAsia="仿宋_GB2312" w:cs="Times New Roman"/>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%，工程采购授予中小企业合同金额占工程支出金额的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%，服务采购授予中小企业合同金额占服务支出金额的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rPr>
          <w:rFonts w:hint="eastAsia"/>
          <w:b/>
          <w:bCs/>
        </w:rPr>
      </w:pPr>
      <w:r>
        <w:drawing>
          <wp:inline distT="0" distB="0" distL="114300" distR="114300">
            <wp:extent cx="5269865" cy="4786630"/>
            <wp:effectExtent l="0" t="0" r="698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4786630"/>
                    </a:xfrm>
                    <a:prstGeom prst="rect">
                      <a:avLst/>
                    </a:prstGeom>
                    <a:noFill/>
                    <a:ln>
                      <a:noFill/>
                    </a:ln>
                  </pic:spPr>
                </pic:pic>
              </a:graphicData>
            </a:graphic>
          </wp:inline>
        </w:drawing>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（一）财政拨款：反映财政部门当年拨付的非偿还性资金。</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（二）上年结转结余：反映上年全部结转和结余的资金数，包括当年结转结余资金和历年滚存结转结余资金。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（一）公共安全支出反映政府用于维护社会公共安全方面的支出。我院主要反映检察事务的支出。</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（二）社会保障和就业支出反映政府在保障与就业方面的支出。我院主要是反映实行归口管理的行政单位开支的社保医保费用。</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（三）基本支出：指行政事业单位用于保障其机构正常运转、完成日常工作任务而发生的人员支出和公用支出。</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（四）项目支出：指在基本支出之外为完成特定的行政工作任务或事业发展目标发生的支出。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0F7339DC"/>
    <w:rsid w:val="36BF0144"/>
    <w:rsid w:val="3B474CE8"/>
    <w:rsid w:val="4CF86A70"/>
    <w:rsid w:val="4F841A91"/>
    <w:rsid w:val="6D505367"/>
    <w:rsid w:val="71B35E7D"/>
    <w:rsid w:val="74D650B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7569</Words>
  <Characters>9616</Characters>
  <Lines>119</Lines>
  <Paragraphs>33</Paragraphs>
  <TotalTime>2</TotalTime>
  <ScaleCrop>false</ScaleCrop>
  <LinksUpToDate>false</LinksUpToDate>
  <CharactersWithSpaces>10030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2024-09-23T06:22:06Z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C03146444DFD49C1A44D3C2D2872D230</vt:lpwstr>
  </property>
</Properties>
</file>