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jc w:val="both"/>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w:t>
      </w:r>
      <w:r>
        <w:rPr>
          <w:rFonts w:hint="eastAsia" w:ascii="黑体" w:hAnsi="黑体" w:eastAsia="黑体" w:cs="黑体"/>
          <w:b w:val="0"/>
          <w:bCs w:val="0"/>
          <w:color w:val="333333"/>
          <w:kern w:val="0"/>
          <w:sz w:val="44"/>
          <w:szCs w:val="44"/>
          <w:lang w:eastAsia="zh-CN"/>
        </w:rPr>
        <w:t>发展和改革委员会2021</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w:t>
      </w:r>
      <w:r>
        <w:rPr>
          <w:rFonts w:hint="eastAsia" w:ascii="仿宋_GB2312" w:hAnsi="仿宋_GB2312" w:eastAsia="仿宋_GB2312" w:cs="仿宋_GB2312"/>
          <w:b/>
          <w:bCs/>
          <w:sz w:val="32"/>
          <w:szCs w:val="32"/>
          <w:lang w:eastAsia="zh-CN"/>
        </w:rPr>
        <w:t>发展和改革委员会</w:t>
      </w:r>
      <w:r>
        <w:rPr>
          <w:rFonts w:hint="eastAsia" w:ascii="仿宋_GB2312" w:hAnsi="仿宋_GB2312" w:eastAsia="仿宋_GB2312" w:cs="仿宋_GB2312"/>
          <w:b/>
          <w:bCs/>
          <w:sz w:val="32"/>
          <w:szCs w:val="32"/>
        </w:rPr>
        <w:t>概况</w:t>
      </w:r>
    </w:p>
    <w:p>
      <w:pPr>
        <w:widowControl/>
        <w:spacing w:line="600" w:lineRule="exact"/>
        <w:ind w:firstLine="1280" w:firstLineChars="400"/>
        <w:jc w:val="left"/>
        <w:rPr>
          <w:rFonts w:hint="eastAsia" w:ascii="楷体_GB2312" w:eastAsia="楷体_GB2312"/>
          <w:sz w:val="32"/>
          <w:szCs w:val="30"/>
        </w:rPr>
      </w:pPr>
      <w:r>
        <w:rPr>
          <w:rFonts w:hint="eastAsia" w:ascii="仿宋_GB2312" w:hAnsi="仿宋_GB2312" w:eastAsia="仿宋_GB2312" w:cs="仿宋_GB2312"/>
          <w:b w:val="0"/>
          <w:bCs w:val="0"/>
          <w:sz w:val="32"/>
          <w:szCs w:val="32"/>
        </w:rPr>
        <w:t xml:space="preserve">    </w:t>
      </w:r>
      <w:r>
        <w:rPr>
          <w:rFonts w:hint="eastAsia" w:ascii="楷体_GB2312" w:eastAsia="楷体_GB2312"/>
          <w:sz w:val="32"/>
          <w:szCs w:val="30"/>
        </w:rPr>
        <w:t>一、部门主要职责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w:t>
      </w:r>
      <w:r>
        <w:rPr>
          <w:rFonts w:hint="eastAsia" w:ascii="仿宋_GB2312" w:hAnsi="仿宋_GB2312" w:eastAsia="仿宋_GB2312" w:cs="仿宋_GB2312"/>
          <w:b/>
          <w:bCs/>
          <w:sz w:val="32"/>
          <w:szCs w:val="32"/>
          <w:lang w:eastAsia="zh-CN"/>
        </w:rPr>
        <w:t>发展和改革委员会2021</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2021</w:t>
      </w:r>
      <w:r>
        <w:rPr>
          <w:rFonts w:hint="eastAsia" w:ascii="楷体_GB2312" w:eastAsia="楷体_GB2312"/>
          <w:sz w:val="32"/>
          <w:szCs w:val="30"/>
        </w:rPr>
        <w:t>年部门预算收支情况说明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w:t>
      </w:r>
      <w:r>
        <w:rPr>
          <w:rFonts w:hint="eastAsia" w:ascii="楷体_GB2312" w:eastAsia="楷体_GB2312"/>
          <w:sz w:val="32"/>
          <w:szCs w:val="30"/>
          <w:lang w:eastAsia="zh-CN"/>
        </w:rPr>
        <w:t>2021</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w:t>
      </w:r>
      <w:r>
        <w:rPr>
          <w:rFonts w:hint="eastAsia" w:ascii="仿宋_GB2312" w:hAnsi="仿宋_GB2312" w:eastAsia="仿宋_GB2312" w:cs="仿宋_GB2312"/>
          <w:b/>
          <w:bCs/>
          <w:sz w:val="32"/>
          <w:szCs w:val="32"/>
          <w:lang w:eastAsia="zh-CN"/>
        </w:rPr>
        <w:t>发展和改革委员会2021</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昌江区发展和改革委员会概况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7"/>
        <w:numPr>
          <w:ilvl w:val="0"/>
          <w:numId w:val="1"/>
        </w:numPr>
        <w:ind w:firstLineChars="0"/>
        <w:rPr>
          <w:rFonts w:ascii="微软雅黑" w:hAnsi="微软雅黑" w:eastAsia="微软雅黑" w:cs="微软雅黑"/>
          <w:b w:val="0"/>
          <w:i w:val="0"/>
          <w:caps w:val="0"/>
          <w:color w:val="555555"/>
          <w:spacing w:val="0"/>
          <w:sz w:val="24"/>
          <w:szCs w:val="24"/>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一）拟订本区国民经济和社会发展战略、中长期规划和年度计划，并组织实施；根据国家和省、市宏观调控要求，统筹协调经济社会发展，研究提出经济社会发展、经济结构调整的目标和政策措施，提出综合运用各种调控手段的建议；受区政府委托向区人大提交本区国民经济和社会发展计划的报告。</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（三）负责汇总和分析本区财政、金融等方面情况，参与研究街乡财政体制，提出投融资政策建议，拟订投融资体制改革方案并组织实施；研究拟订政府重大项目融资方案。</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（六）统筹规划和综合协调产业发展，组织拟订综合性产业发展战略、规划和政策，推进区域经济结构战略性调整，协调推进各行业的发展。</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（九）组织拟订区域统筹发展战略、规划和重大政策，研究推动功能区和城乡一体化的发展战略和措施。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承担本区价格管理职责；贯彻实施国家和省、市的价格宏观调控政策，组织落实省、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widowControl/>
        <w:spacing w:before="300" w:after="300"/>
        <w:ind w:left="346"/>
        <w:jc w:val="left"/>
        <w:rPr>
          <w:rFonts w:hint="eastAsia" w:ascii="仿宋" w:hAnsi="仿宋" w:eastAsia="仿宋" w:cs="仿宋"/>
          <w:sz w:val="28"/>
          <w:szCs w:val="28"/>
        </w:rPr>
      </w:pPr>
      <w:r>
        <w:rPr>
          <w:rFonts w:hint="eastAsia" w:ascii="仿宋" w:hAnsi="仿宋" w:eastAsia="仿宋" w:cs="仿宋"/>
          <w:color w:val="000000"/>
          <w:kern w:val="0"/>
          <w:sz w:val="28"/>
          <w:szCs w:val="28"/>
        </w:rPr>
        <w:t xml:space="preserve">（十四）负责组织拟订本区国民经济动员规划、计划；研究国民经济动员与国民经济、国防建设的关系，协调相关重大问题；负责组织实施国民经济动员有关工作。 </w:t>
      </w:r>
    </w:p>
    <w:p>
      <w:pPr>
        <w:numPr>
          <w:ilvl w:val="0"/>
          <w:numId w:val="0"/>
        </w:numPr>
        <w:ind w:left="73" w:leftChars="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（十五）承办区委、区政府交办的其他事项</w:t>
      </w:r>
    </w:p>
    <w:p>
      <w:pPr>
        <w:numPr>
          <w:ilvl w:val="0"/>
          <w:numId w:val="0"/>
        </w:numPr>
        <w:ind w:left="73" w:leftChars="0" w:firstLine="321" w:firstLineChars="1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widowControl/>
        <w:shd w:val="clear" w:color="auto" w:fill="FFFFFF"/>
        <w:spacing w:line="58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区发改委共有预算单位1个。编制人数13人，其中：行政编制8人，全部补助事业编制5人；实有人数1</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人，其中：在职人数1</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人，退休人员4人。</w:t>
      </w:r>
    </w:p>
    <w:p>
      <w:pPr>
        <w:widowControl/>
        <w:shd w:val="clear" w:color="auto" w:fill="FFFFFF"/>
        <w:spacing w:line="580" w:lineRule="atLeast"/>
        <w:ind w:firstLine="640"/>
        <w:jc w:val="left"/>
        <w:rPr>
          <w:rFonts w:ascii="仿宋" w:hAnsi="仿宋" w:eastAsia="仿宋" w:cs="宋体"/>
          <w:b w:val="0"/>
          <w:bCs w:val="0"/>
          <w:color w:val="333333"/>
          <w:kern w:val="0"/>
          <w:szCs w:val="21"/>
        </w:rPr>
      </w:pP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2021</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172.81</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172.81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，较上年减少</w:t>
      </w:r>
      <w:r>
        <w:rPr>
          <w:rFonts w:hint="eastAsia" w:ascii="仿宋_GB2312" w:hAnsi="仿宋_GB2312" w:eastAsia="仿宋_GB2312" w:cs="仿宋_GB2312"/>
          <w:b w:val="0"/>
          <w:bCs w:val="0"/>
          <w:color w:val="333333"/>
          <w:kern w:val="0"/>
          <w:sz w:val="32"/>
          <w:szCs w:val="32"/>
          <w:lang w:val="en-US" w:eastAsia="zh-CN"/>
        </w:rPr>
        <w:t>5.82%，</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变动及</w:t>
      </w:r>
      <w:r>
        <w:rPr>
          <w:rFonts w:hint="eastAsia" w:ascii="仿宋_GB2312" w:hAnsi="仿宋_GB2312" w:eastAsia="仿宋_GB2312" w:cs="仿宋_GB2312"/>
          <w:b w:val="0"/>
          <w:bCs w:val="0"/>
          <w:color w:val="333333"/>
          <w:kern w:val="0"/>
          <w:sz w:val="32"/>
          <w:szCs w:val="32"/>
          <w:lang w:val="en-US" w:eastAsia="zh-CN"/>
        </w:rPr>
        <w:t>2021年零基预算</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172.81</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172.81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，较上年减少</w:t>
      </w:r>
      <w:r>
        <w:rPr>
          <w:rFonts w:hint="eastAsia" w:ascii="仿宋_GB2312" w:hAnsi="仿宋_GB2312" w:eastAsia="仿宋_GB2312" w:cs="仿宋_GB2312"/>
          <w:b w:val="0"/>
          <w:bCs w:val="0"/>
          <w:color w:val="333333"/>
          <w:kern w:val="0"/>
          <w:sz w:val="32"/>
          <w:szCs w:val="32"/>
          <w:lang w:val="en-US" w:eastAsia="zh-CN"/>
        </w:rPr>
        <w:t>5.82%，</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变动及</w:t>
      </w:r>
      <w:r>
        <w:rPr>
          <w:rFonts w:hint="eastAsia" w:ascii="仿宋_GB2312" w:hAnsi="仿宋_GB2312" w:eastAsia="仿宋_GB2312" w:cs="仿宋_GB2312"/>
          <w:b w:val="0"/>
          <w:bCs w:val="0"/>
          <w:color w:val="333333"/>
          <w:kern w:val="0"/>
          <w:sz w:val="32"/>
          <w:szCs w:val="32"/>
          <w:lang w:val="en-US" w:eastAsia="zh-CN"/>
        </w:rPr>
        <w:t>2021年零基预算</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155.31</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135.76</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18.06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1.49万元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17.50</w:t>
      </w:r>
      <w:r>
        <w:rPr>
          <w:rFonts w:hint="eastAsia" w:ascii="仿宋_GB2312" w:hAnsi="仿宋_GB2312" w:eastAsia="仿宋_GB2312" w:cs="仿宋_GB2312"/>
          <w:b w:val="0"/>
          <w:bCs w:val="0"/>
          <w:color w:val="333333"/>
          <w:kern w:val="0"/>
          <w:sz w:val="32"/>
          <w:szCs w:val="32"/>
        </w:rPr>
        <w:t>万元。主要原因是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变动及</w:t>
      </w:r>
      <w:r>
        <w:rPr>
          <w:rFonts w:hint="eastAsia" w:ascii="仿宋_GB2312" w:hAnsi="仿宋_GB2312" w:eastAsia="仿宋_GB2312" w:cs="仿宋_GB2312"/>
          <w:b w:val="0"/>
          <w:bCs w:val="0"/>
          <w:color w:val="333333"/>
          <w:kern w:val="0"/>
          <w:sz w:val="32"/>
          <w:szCs w:val="32"/>
          <w:lang w:val="en-US" w:eastAsia="zh-CN"/>
        </w:rPr>
        <w:t>2021年零基预算</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jc w:val="left"/>
        <w:rPr>
          <w:rFonts w:hint="eastAsia" w:ascii="仿宋_GB2312" w:hAnsi="仿宋_GB2312" w:eastAsia="仿宋_GB2312" w:cs="仿宋_GB2312"/>
          <w:b w:val="0"/>
          <w:bCs w:val="0"/>
          <w:color w:val="333333"/>
          <w:kern w:val="0"/>
          <w:sz w:val="32"/>
          <w:szCs w:val="32"/>
        </w:rPr>
      </w:pP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333333"/>
          <w:kern w:val="0"/>
          <w:sz w:val="32"/>
          <w:szCs w:val="32"/>
          <w:lang w:val="en-US" w:eastAsia="zh-CN"/>
        </w:rPr>
        <w:t>172.81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，较上年减少</w:t>
      </w:r>
      <w:r>
        <w:rPr>
          <w:rFonts w:hint="eastAsia" w:ascii="仿宋_GB2312" w:hAnsi="仿宋_GB2312" w:eastAsia="仿宋_GB2312" w:cs="仿宋_GB2312"/>
          <w:b w:val="0"/>
          <w:bCs w:val="0"/>
          <w:color w:val="333333"/>
          <w:kern w:val="0"/>
          <w:sz w:val="32"/>
          <w:szCs w:val="32"/>
          <w:lang w:val="en-US" w:eastAsia="zh-CN"/>
        </w:rPr>
        <w:t>5.82%。</w:t>
      </w:r>
      <w:r>
        <w:rPr>
          <w:rFonts w:hint="eastAsia" w:ascii="仿宋_GB2312" w:hAnsi="仿宋_GB2312" w:eastAsia="仿宋_GB2312" w:cs="仿宋_GB2312"/>
          <w:b w:val="0"/>
          <w:bCs w:val="0"/>
          <w:color w:val="333333"/>
          <w:kern w:val="0"/>
          <w:sz w:val="32"/>
          <w:szCs w:val="32"/>
        </w:rPr>
        <w:t>具体支出情况是：</w:t>
      </w:r>
      <w:r>
        <w:rPr>
          <w:rFonts w:hint="eastAsia" w:ascii="仿宋_GB2312" w:hAnsi="仿宋_GB2312" w:eastAsia="仿宋_GB2312" w:cs="仿宋_GB2312"/>
          <w:b w:val="0"/>
          <w:bCs w:val="0"/>
          <w:color w:val="333333"/>
          <w:kern w:val="0"/>
          <w:sz w:val="32"/>
          <w:szCs w:val="32"/>
          <w:lang w:eastAsia="zh-CN"/>
        </w:rPr>
        <w:t>一般公共服务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138.28</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14.56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12.73万元，卫生健康支出7.24万元。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18.06</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18.06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3万、印刷费2万、差旅费1万、培训费1万、公务接待费4万、其他交通费5.1万、其他商品服务支出费1.96万。</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8.6</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3.6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家具用具</w:t>
      </w:r>
      <w:r>
        <w:rPr>
          <w:rFonts w:hint="eastAsia" w:ascii="仿宋_GB2312" w:hAnsi="仿宋_GB2312" w:eastAsia="仿宋_GB2312" w:cs="仿宋_GB2312"/>
          <w:b w:val="0"/>
          <w:bCs w:val="0"/>
          <w:color w:val="333333"/>
          <w:kern w:val="0"/>
          <w:sz w:val="32"/>
          <w:szCs w:val="32"/>
          <w:lang w:val="en-US" w:eastAsia="zh-CN"/>
        </w:rPr>
        <w:t>5.0万元</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 xml:space="preserve"> “三公”经费年初预算安排</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w:t>
      </w:r>
      <w:r>
        <w:rPr>
          <w:rFonts w:hint="eastAsia" w:ascii="仿宋_GB2312" w:hAnsi="仿宋_GB2312" w:eastAsia="仿宋_GB2312" w:cs="仿宋_GB2312"/>
          <w:b/>
          <w:bCs/>
          <w:color w:val="333333"/>
          <w:kern w:val="0"/>
          <w:sz w:val="32"/>
          <w:szCs w:val="32"/>
          <w:lang w:eastAsia="zh-CN"/>
        </w:rPr>
        <w:t>发展和改革委员会2021</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十</w:t>
      </w:r>
      <w:r>
        <w:rPr>
          <w:rFonts w:hint="eastAsia" w:ascii="仿宋_GB2312" w:hAnsi="仿宋_GB2312" w:eastAsia="仿宋_GB2312" w:cs="仿宋_GB2312"/>
          <w:b w:val="0"/>
          <w:bCs w:val="0"/>
          <w:color w:val="333333"/>
          <w:kern w:val="0"/>
          <w:sz w:val="32"/>
          <w:szCs w:val="32"/>
        </w:rPr>
        <w:t>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昌江区发展和改革委员会</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昌江区发展和改革委员会未单独设置项级科目的其他项目支出。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w:t>
      </w:r>
      <w:bookmarkStart w:id="0" w:name="_GoBack"/>
      <w:bookmarkEnd w:id="0"/>
      <w:r>
        <w:rPr>
          <w:rFonts w:hint="eastAsia" w:ascii="仿宋_GB2312" w:eastAsia="仿宋_GB2312"/>
          <w:b w:val="0"/>
          <w:bCs w:val="0"/>
          <w:sz w:val="32"/>
          <w:szCs w:val="30"/>
        </w:rPr>
        <w:t>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7744A41"/>
    <w:rsid w:val="0BCA397C"/>
    <w:rsid w:val="0BDF7AF5"/>
    <w:rsid w:val="0F6065E6"/>
    <w:rsid w:val="169B4F3B"/>
    <w:rsid w:val="1A61139B"/>
    <w:rsid w:val="1C2618CE"/>
    <w:rsid w:val="1ED822F6"/>
    <w:rsid w:val="1F36682B"/>
    <w:rsid w:val="20B80505"/>
    <w:rsid w:val="25461A5F"/>
    <w:rsid w:val="29C1612C"/>
    <w:rsid w:val="2FF84B1A"/>
    <w:rsid w:val="34051E66"/>
    <w:rsid w:val="35011CBA"/>
    <w:rsid w:val="35856DA1"/>
    <w:rsid w:val="35B66069"/>
    <w:rsid w:val="3E2A5748"/>
    <w:rsid w:val="42176945"/>
    <w:rsid w:val="47DA7A11"/>
    <w:rsid w:val="4B4465D2"/>
    <w:rsid w:val="4D990B2A"/>
    <w:rsid w:val="4DF673D7"/>
    <w:rsid w:val="4EE1660A"/>
    <w:rsid w:val="52A64031"/>
    <w:rsid w:val="53E8275F"/>
    <w:rsid w:val="57701BA5"/>
    <w:rsid w:val="5D061CB2"/>
    <w:rsid w:val="5E0504E5"/>
    <w:rsid w:val="5E693A0A"/>
    <w:rsid w:val="682C1BD1"/>
    <w:rsid w:val="6A20273A"/>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333333"/>
      <w:u w:val="none"/>
    </w:rPr>
  </w:style>
  <w:style w:type="character" w:styleId="9">
    <w:name w:val="Emphasis"/>
    <w:basedOn w:val="6"/>
    <w:qFormat/>
    <w:uiPriority w:val="20"/>
    <w:rPr>
      <w:i/>
    </w:rPr>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rPr>
      <w:i/>
    </w:rPr>
  </w:style>
  <w:style w:type="character" w:styleId="13">
    <w:name w:val="Hyperlink"/>
    <w:basedOn w:val="6"/>
    <w:unhideWhenUsed/>
    <w:qFormat/>
    <w:uiPriority w:val="99"/>
    <w:rPr>
      <w:color w:val="333333"/>
      <w:u w:val="none"/>
    </w:rPr>
  </w:style>
  <w:style w:type="character" w:styleId="14">
    <w:name w:val="HTML Code"/>
    <w:basedOn w:val="6"/>
    <w:unhideWhenUsed/>
    <w:qFormat/>
    <w:uiPriority w:val="99"/>
    <w:rPr>
      <w:rFonts w:ascii="Courier New" w:hAnsi="Courier New"/>
      <w:sz w:val="20"/>
    </w:rPr>
  </w:style>
  <w:style w:type="character" w:styleId="15">
    <w:name w:val="HTML Cite"/>
    <w:basedOn w:val="6"/>
    <w:unhideWhenUsed/>
    <w:qFormat/>
    <w:uiPriority w:val="99"/>
    <w:rPr>
      <w:i/>
    </w:rPr>
  </w:style>
  <w:style w:type="character" w:customStyle="1" w:styleId="16">
    <w:name w:val="apple-converted-space"/>
    <w:basedOn w:val="6"/>
    <w:qFormat/>
    <w:uiPriority w:val="0"/>
  </w:style>
  <w:style w:type="paragraph" w:customStyle="1" w:styleId="17">
    <w:name w:val="列出段落1"/>
    <w:basedOn w:val="1"/>
    <w:qFormat/>
    <w:uiPriority w:val="34"/>
    <w:pPr>
      <w:ind w:firstLine="420" w:firstLineChars="200"/>
    </w:pPr>
  </w:style>
  <w:style w:type="character" w:customStyle="1" w:styleId="18">
    <w:name w:val="页眉 Char"/>
    <w:basedOn w:val="6"/>
    <w:link w:val="3"/>
    <w:qFormat/>
    <w:uiPriority w:val="99"/>
    <w:rPr>
      <w:rFonts w:asciiTheme="minorHAnsi" w:hAnsiTheme="minorHAnsi" w:eastAsiaTheme="minorEastAsia" w:cstheme="minorBidi"/>
      <w:kern w:val="2"/>
      <w:sz w:val="18"/>
      <w:szCs w:val="18"/>
    </w:rPr>
  </w:style>
  <w:style w:type="character" w:customStyle="1" w:styleId="1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5</TotalTime>
  <ScaleCrop>false</ScaleCrop>
  <LinksUpToDate>false</LinksUpToDate>
  <CharactersWithSpaces>2148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2021-04-15T03:30:05Z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625FC70EDF2A492DABDF1B2BC1E63D32</vt:lpwstr>
  </property>
</Properties>
</file>