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黑体" w:eastAsia="黑体"/>
          <w:sz w:val="44"/>
          <w:szCs w:val="36"/>
        </w:rPr>
      </w:pPr>
      <w:bookmarkStart w:id="0" w:name="_GoBack"/>
      <w:r>
        <w:rPr>
          <w:rFonts w:hint="eastAsia" w:ascii="黑体" w:hAnsi="黑体" w:eastAsia="黑体"/>
          <w:sz w:val="44"/>
          <w:szCs w:val="36"/>
          <w:lang w:eastAsia="zh-CN"/>
        </w:rPr>
        <w:t>昌江区发展和改革委员会</w:t>
      </w:r>
      <w:r>
        <w:rPr>
          <w:rFonts w:hint="eastAsia" w:ascii="黑体" w:hAnsi="黑体" w:eastAsia="黑体"/>
          <w:sz w:val="44"/>
          <w:szCs w:val="36"/>
        </w:rPr>
        <w:t>部门</w:t>
      </w:r>
      <w:r>
        <w:rPr>
          <w:rFonts w:hint="eastAsia" w:ascii="黑体" w:eastAsia="黑体"/>
          <w:sz w:val="44"/>
          <w:szCs w:val="36"/>
        </w:rPr>
        <w:t>2018年度</w:t>
      </w:r>
    </w:p>
    <w:p>
      <w:pPr>
        <w:spacing w:line="600" w:lineRule="exact"/>
        <w:jc w:val="center"/>
        <w:rPr>
          <w:rFonts w:hint="eastAsia" w:ascii="黑体" w:eastAsia="黑体"/>
          <w:sz w:val="44"/>
          <w:szCs w:val="36"/>
        </w:rPr>
      </w:pPr>
      <w:r>
        <w:rPr>
          <w:rFonts w:hint="eastAsia" w:ascii="黑体" w:eastAsia="黑体"/>
          <w:sz w:val="44"/>
          <w:szCs w:val="36"/>
        </w:rPr>
        <w:t>部门决算</w:t>
      </w:r>
    </w:p>
    <w:bookmarkEnd w:id="0"/>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昌江区发展和改革委员会</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2018年度部门决算表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2018年度部门决算情况说明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昌江区发展和改革委员会</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ascii="黑体" w:hAnsi="黑体" w:eastAsia="黑体"/>
          <w:sz w:val="30"/>
          <w:szCs w:val="30"/>
        </w:rPr>
      </w:pPr>
      <w:r>
        <w:rPr>
          <w:rFonts w:hint="eastAsia" w:ascii="黑体" w:hAnsi="黑体" w:eastAsia="黑体"/>
          <w:sz w:val="30"/>
          <w:szCs w:val="30"/>
        </w:rPr>
        <w:t>一、部门主要职能</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（一）拟订本区国民经济和社会发展战略、中长期规划和年度计划，并组织实施；根据国家和</w:t>
      </w:r>
      <w:r>
        <w:rPr>
          <w:rFonts w:hint="eastAsia" w:ascii="宋体" w:hAnsi="宋体" w:cs="宋体"/>
          <w:color w:val="000000"/>
          <w:sz w:val="30"/>
          <w:szCs w:val="30"/>
          <w:lang w:eastAsia="zh-CN"/>
        </w:rPr>
        <w:t>省、</w:t>
      </w:r>
      <w:r>
        <w:rPr>
          <w:rFonts w:hint="eastAsia" w:ascii="宋体" w:hAnsi="宋体" w:eastAsia="宋体" w:cs="宋体"/>
          <w:color w:val="000000"/>
          <w:sz w:val="30"/>
          <w:szCs w:val="30"/>
        </w:rPr>
        <w:t>市宏观调控要求，统筹协调经济社会发展，研究提出经济社会发展、经济结构调整的目标和政策措施，提出综合运用各种调控手段的建议；受区政府委托向区人大提交本区国民经济和社会发展计划的报告。</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（三）负责汇总和分析本区财政、金融等方面情况，参与研究街乡财政体制，提出投融资政策建议，拟订投融资体制改革方案并组织实施；研究拟订政府重大项目融资方案。</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（六）统筹规划和综合协调产业发展，组织拟订综合性产业发展战略、规划和政策，推进区域经济结构战略性调整，协调推进各行业的发展。</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（九）组织拟订区域统筹发展战略、规划和重大政策，研究推动功能区和城乡一体化的发展战略和措施。</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（十）承担本区价格管理职责；贯彻实施国家和</w:t>
      </w:r>
      <w:r>
        <w:rPr>
          <w:rFonts w:hint="eastAsia" w:ascii="宋体" w:hAnsi="宋体" w:cs="宋体"/>
          <w:color w:val="000000"/>
          <w:sz w:val="30"/>
          <w:szCs w:val="30"/>
          <w:lang w:eastAsia="zh-CN"/>
        </w:rPr>
        <w:t>省、</w:t>
      </w:r>
      <w:r>
        <w:rPr>
          <w:rFonts w:hint="eastAsia" w:ascii="宋体" w:hAnsi="宋体" w:eastAsia="宋体" w:cs="宋体"/>
          <w:color w:val="000000"/>
          <w:sz w:val="30"/>
          <w:szCs w:val="30"/>
        </w:rPr>
        <w:t>市的价格宏观调控政策，组织落实</w:t>
      </w:r>
      <w:r>
        <w:rPr>
          <w:rFonts w:hint="eastAsia" w:ascii="宋体" w:hAnsi="宋体" w:cs="宋体"/>
          <w:color w:val="000000"/>
          <w:sz w:val="30"/>
          <w:szCs w:val="30"/>
          <w:lang w:eastAsia="zh-CN"/>
        </w:rPr>
        <w:t>省、</w:t>
      </w:r>
      <w:r>
        <w:rPr>
          <w:rFonts w:hint="eastAsia" w:ascii="宋体" w:hAnsi="宋体" w:eastAsia="宋体" w:cs="宋体"/>
          <w:color w:val="000000"/>
          <w:sz w:val="30"/>
          <w:szCs w:val="30"/>
        </w:rPr>
        <w:t>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pStyle w:val="5"/>
        <w:keepNext w:val="0"/>
        <w:keepLines w:val="0"/>
        <w:widowControl/>
        <w:suppressLineNumbers w:val="0"/>
        <w:spacing w:before="300" w:beforeAutospacing="0" w:after="300" w:afterAutospacing="0" w:line="378" w:lineRule="atLeast"/>
        <w:ind w:left="346" w:right="0" w:firstLine="420"/>
        <w:jc w:val="left"/>
        <w:rPr>
          <w:sz w:val="30"/>
          <w:szCs w:val="30"/>
        </w:rPr>
      </w:pPr>
      <w:r>
        <w:rPr>
          <w:rFonts w:hint="eastAsia" w:ascii="宋体" w:hAnsi="宋体" w:eastAsia="宋体" w:cs="宋体"/>
          <w:color w:val="000000"/>
          <w:sz w:val="30"/>
          <w:szCs w:val="30"/>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keepNext w:val="0"/>
        <w:keepLines w:val="0"/>
        <w:widowControl/>
        <w:suppressLineNumbers w:val="0"/>
        <w:spacing w:before="300" w:beforeAutospacing="0" w:after="300" w:afterAutospacing="0"/>
        <w:ind w:left="346" w:right="0"/>
        <w:jc w:val="left"/>
        <w:rPr>
          <w:sz w:val="30"/>
          <w:szCs w:val="30"/>
        </w:rPr>
      </w:pPr>
      <w:r>
        <w:rPr>
          <w:rFonts w:hint="eastAsia" w:ascii="宋体" w:hAnsi="宋体" w:eastAsia="宋体" w:cs="宋体"/>
          <w:color w:val="000000"/>
          <w:kern w:val="0"/>
          <w:sz w:val="30"/>
          <w:szCs w:val="30"/>
          <w:lang w:val="en-US" w:eastAsia="zh-CN" w:bidi="ar"/>
        </w:rPr>
        <w:t xml:space="preserve">（十四）负责组织拟订本区国民经济动员规划、计划；研究国民经济动员与国民经济、国防建设的关系，协调相关重大问题；负责组织实施国民经济动员有关工作。 </w:t>
      </w:r>
    </w:p>
    <w:p>
      <w:pPr>
        <w:pStyle w:val="5"/>
        <w:keepNext w:val="0"/>
        <w:keepLines w:val="0"/>
        <w:widowControl/>
        <w:suppressLineNumbers w:val="0"/>
        <w:spacing w:before="300" w:beforeAutospacing="0" w:after="300" w:afterAutospacing="0" w:line="378" w:lineRule="atLeast"/>
        <w:ind w:right="0" w:firstLine="300" w:firstLineChars="100"/>
        <w:jc w:val="left"/>
        <w:rPr>
          <w:sz w:val="30"/>
          <w:szCs w:val="30"/>
        </w:rPr>
      </w:pPr>
      <w:r>
        <w:rPr>
          <w:rFonts w:hint="eastAsia" w:ascii="宋体" w:hAnsi="宋体" w:eastAsia="宋体" w:cs="宋体"/>
          <w:color w:val="000000"/>
          <w:sz w:val="30"/>
          <w:szCs w:val="30"/>
        </w:rPr>
        <w:t>（十</w:t>
      </w:r>
      <w:r>
        <w:rPr>
          <w:rFonts w:hint="eastAsia" w:ascii="宋体" w:hAnsi="宋体" w:cs="宋体"/>
          <w:color w:val="000000"/>
          <w:sz w:val="30"/>
          <w:szCs w:val="30"/>
          <w:lang w:eastAsia="zh-CN"/>
        </w:rPr>
        <w:t>五</w:t>
      </w:r>
      <w:r>
        <w:rPr>
          <w:rFonts w:hint="eastAsia" w:ascii="宋体" w:hAnsi="宋体" w:eastAsia="宋体" w:cs="宋体"/>
          <w:color w:val="000000"/>
          <w:sz w:val="30"/>
          <w:szCs w:val="30"/>
        </w:rPr>
        <w:t>）承办</w:t>
      </w:r>
      <w:r>
        <w:rPr>
          <w:rFonts w:hint="eastAsia" w:ascii="宋体" w:hAnsi="宋体" w:cs="宋体"/>
          <w:color w:val="000000"/>
          <w:sz w:val="30"/>
          <w:szCs w:val="30"/>
          <w:lang w:eastAsia="zh-CN"/>
        </w:rPr>
        <w:t>区委、</w:t>
      </w:r>
      <w:r>
        <w:rPr>
          <w:rFonts w:hint="eastAsia" w:ascii="宋体" w:hAnsi="宋体" w:eastAsia="宋体" w:cs="宋体"/>
          <w:color w:val="000000"/>
          <w:sz w:val="30"/>
          <w:szCs w:val="30"/>
        </w:rPr>
        <w:t>区政府交办的其他事项。</w:t>
      </w:r>
    </w:p>
    <w:p>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机构设置</w:t>
      </w:r>
    </w:p>
    <w:p>
      <w:pPr>
        <w:numPr>
          <w:ilvl w:val="0"/>
          <w:numId w:val="0"/>
        </w:numPr>
        <w:ind w:firstLine="600" w:firstLineChars="200"/>
        <w:jc w:val="left"/>
        <w:rPr>
          <w:rFonts w:hint="eastAsia" w:ascii="宋体" w:hAnsi="宋体" w:eastAsia="宋体" w:cs="宋体"/>
          <w:sz w:val="30"/>
          <w:szCs w:val="30"/>
          <w:lang w:eastAsia="zh-CN"/>
        </w:rPr>
      </w:pPr>
      <w:r>
        <w:rPr>
          <w:rFonts w:hint="eastAsia" w:ascii="宋体" w:hAnsi="宋体" w:eastAsia="宋体" w:cs="宋体"/>
          <w:b w:val="0"/>
          <w:i w:val="0"/>
          <w:caps w:val="0"/>
          <w:color w:val="333333"/>
          <w:spacing w:val="0"/>
          <w:sz w:val="30"/>
          <w:szCs w:val="30"/>
          <w:shd w:val="clear" w:color="auto" w:fill="FFFFFF"/>
          <w:lang w:eastAsia="zh-CN"/>
        </w:rPr>
        <w:t>区发改委现内设股室</w:t>
      </w:r>
      <w:r>
        <w:rPr>
          <w:rFonts w:hint="eastAsia" w:ascii="宋体" w:hAnsi="宋体" w:eastAsia="宋体" w:cs="宋体"/>
          <w:b w:val="0"/>
          <w:i w:val="0"/>
          <w:caps w:val="0"/>
          <w:color w:val="333333"/>
          <w:spacing w:val="0"/>
          <w:sz w:val="30"/>
          <w:szCs w:val="30"/>
          <w:shd w:val="clear" w:color="auto" w:fill="FFFFFF"/>
          <w:lang w:val="en-US" w:eastAsia="zh-CN"/>
        </w:rPr>
        <w:t>4个，内设事业单位1个。</w:t>
      </w:r>
      <w:r>
        <w:rPr>
          <w:rFonts w:hint="eastAsia" w:ascii="宋体" w:hAnsi="宋体" w:eastAsia="宋体" w:cs="宋体"/>
          <w:b w:val="0"/>
          <w:i w:val="0"/>
          <w:caps w:val="0"/>
          <w:color w:val="333333"/>
          <w:spacing w:val="0"/>
          <w:sz w:val="30"/>
          <w:szCs w:val="30"/>
          <w:shd w:val="clear" w:color="auto" w:fill="FFFFFF"/>
          <w:lang w:eastAsia="zh-CN"/>
        </w:rPr>
        <w:t>在编在岗人员</w:t>
      </w:r>
      <w:r>
        <w:rPr>
          <w:rFonts w:hint="eastAsia" w:ascii="宋体" w:hAnsi="宋体" w:eastAsia="宋体" w:cs="宋体"/>
          <w:b w:val="0"/>
          <w:i w:val="0"/>
          <w:caps w:val="0"/>
          <w:color w:val="333333"/>
          <w:spacing w:val="0"/>
          <w:sz w:val="30"/>
          <w:szCs w:val="30"/>
          <w:shd w:val="clear" w:color="auto" w:fill="FFFFFF"/>
          <w:lang w:val="en-US" w:eastAsia="zh-CN"/>
        </w:rPr>
        <w:t>人13，退休人员3人。</w:t>
      </w:r>
      <w:r>
        <w:rPr>
          <w:rFonts w:hint="eastAsia" w:ascii="宋体" w:hAnsi="宋体" w:eastAsia="宋体" w:cs="宋体"/>
          <w:sz w:val="30"/>
          <w:szCs w:val="30"/>
        </w:rPr>
        <w:t>纳入本套部门决算汇编范围的单位共1个，</w:t>
      </w:r>
      <w:r>
        <w:rPr>
          <w:rFonts w:hint="eastAsia" w:ascii="宋体" w:hAnsi="宋体" w:eastAsia="宋体" w:cs="宋体"/>
          <w:sz w:val="30"/>
          <w:szCs w:val="30"/>
          <w:lang w:eastAsia="zh-CN"/>
        </w:rPr>
        <w:t>即昌江区发改委。</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numPr>
          <w:ilvl w:val="0"/>
          <w:numId w:val="2"/>
        </w:numPr>
        <w:spacing w:line="600" w:lineRule="exact"/>
        <w:ind w:firstLine="640"/>
        <w:jc w:val="center"/>
        <w:rPr>
          <w:rFonts w:hint="eastAsia" w:ascii="宋体" w:hAnsi="宋体"/>
          <w:b/>
          <w:sz w:val="32"/>
          <w:szCs w:val="32"/>
        </w:rPr>
      </w:pPr>
      <w:r>
        <w:rPr>
          <w:rFonts w:hint="eastAsia" w:ascii="宋体" w:hAnsi="宋体"/>
          <w:b/>
          <w:sz w:val="32"/>
          <w:szCs w:val="32"/>
        </w:rPr>
        <w:t xml:space="preserve"> 2018年度部门决算表</w:t>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r>
        <w:drawing>
          <wp:inline distT="0" distB="0" distL="114300" distR="114300">
            <wp:extent cx="5266690" cy="3856355"/>
            <wp:effectExtent l="0" t="0" r="10160" b="10795"/>
            <wp:docPr id="1"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6"/>
                    <pic:cNvPicPr>
                      <a:picLocks noChangeAspect="1"/>
                    </pic:cNvPicPr>
                  </pic:nvPicPr>
                  <pic:blipFill>
                    <a:blip r:embed="rId4"/>
                    <a:stretch>
                      <a:fillRect/>
                    </a:stretch>
                  </pic:blipFill>
                  <pic:spPr>
                    <a:xfrm>
                      <a:off x="0" y="0"/>
                      <a:ext cx="5266690" cy="385635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865" cy="3277235"/>
            <wp:effectExtent l="0" t="0" r="6985" b="18415"/>
            <wp:docPr id="2"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7"/>
                    <pic:cNvPicPr>
                      <a:picLocks noChangeAspect="1"/>
                    </pic:cNvPicPr>
                  </pic:nvPicPr>
                  <pic:blipFill>
                    <a:blip r:embed="rId5"/>
                    <a:stretch>
                      <a:fillRect/>
                    </a:stretch>
                  </pic:blipFill>
                  <pic:spPr>
                    <a:xfrm>
                      <a:off x="0" y="0"/>
                      <a:ext cx="5269865" cy="327723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szCs w:val="30"/>
          <w:lang w:val="en-US" w:eastAsia="zh-CN"/>
        </w:rPr>
        <w:t xml:space="preserve">     </w:t>
      </w:r>
      <w:r>
        <w:drawing>
          <wp:inline distT="0" distB="0" distL="114300" distR="114300">
            <wp:extent cx="5265420" cy="3186430"/>
            <wp:effectExtent l="0" t="0" r="11430" b="13970"/>
            <wp:docPr id="3"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8"/>
                    <pic:cNvPicPr>
                      <a:picLocks noChangeAspect="1"/>
                    </pic:cNvPicPr>
                  </pic:nvPicPr>
                  <pic:blipFill>
                    <a:blip r:embed="rId6"/>
                    <a:stretch>
                      <a:fillRect/>
                    </a:stretch>
                  </pic:blipFill>
                  <pic:spPr>
                    <a:xfrm>
                      <a:off x="0" y="0"/>
                      <a:ext cx="5265420" cy="31864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1770" cy="4412615"/>
            <wp:effectExtent l="0" t="0" r="5080" b="6985"/>
            <wp:docPr id="4"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9"/>
                    <pic:cNvPicPr>
                      <a:picLocks noChangeAspect="1"/>
                    </pic:cNvPicPr>
                  </pic:nvPicPr>
                  <pic:blipFill>
                    <a:blip r:embed="rId7"/>
                    <a:stretch>
                      <a:fillRect/>
                    </a:stretch>
                  </pic:blipFill>
                  <pic:spPr>
                    <a:xfrm>
                      <a:off x="0" y="0"/>
                      <a:ext cx="5271770" cy="441261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8595" cy="4984115"/>
            <wp:effectExtent l="0" t="0" r="8255" b="6985"/>
            <wp:docPr id="5"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1"/>
                    <pic:cNvPicPr>
                      <a:picLocks noChangeAspect="1"/>
                    </pic:cNvPicPr>
                  </pic:nvPicPr>
                  <pic:blipFill>
                    <a:blip r:embed="rId8"/>
                    <a:stretch>
                      <a:fillRect/>
                    </a:stretch>
                  </pic:blipFill>
                  <pic:spPr>
                    <a:xfrm>
                      <a:off x="0" y="0"/>
                      <a:ext cx="5268595" cy="498411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5420" cy="8819515"/>
            <wp:effectExtent l="0" t="0" r="11430" b="635"/>
            <wp:docPr id="6"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2"/>
                    <pic:cNvPicPr>
                      <a:picLocks noChangeAspect="1"/>
                    </pic:cNvPicPr>
                  </pic:nvPicPr>
                  <pic:blipFill>
                    <a:blip r:embed="rId9"/>
                    <a:stretch>
                      <a:fillRect/>
                    </a:stretch>
                  </pic:blipFill>
                  <pic:spPr>
                    <a:xfrm>
                      <a:off x="0" y="0"/>
                      <a:ext cx="5265420" cy="88195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143500" cy="5391150"/>
            <wp:effectExtent l="0" t="0" r="0" b="0"/>
            <wp:docPr id="7"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3"/>
                    <pic:cNvPicPr>
                      <a:picLocks noChangeAspect="1"/>
                    </pic:cNvPicPr>
                  </pic:nvPicPr>
                  <pic:blipFill>
                    <a:blip r:embed="rId10"/>
                    <a:stretch>
                      <a:fillRect/>
                    </a:stretch>
                  </pic:blipFill>
                  <pic:spPr>
                    <a:xfrm>
                      <a:off x="0" y="0"/>
                      <a:ext cx="5143500" cy="539115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1770" cy="1582420"/>
            <wp:effectExtent l="0" t="0" r="5080" b="17780"/>
            <wp:docPr id="8"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4"/>
                    <pic:cNvPicPr>
                      <a:picLocks noChangeAspect="1"/>
                    </pic:cNvPicPr>
                  </pic:nvPicPr>
                  <pic:blipFill>
                    <a:blip r:embed="rId11"/>
                    <a:stretch>
                      <a:fillRect/>
                    </a:stretch>
                  </pic:blipFill>
                  <pic:spPr>
                    <a:xfrm>
                      <a:off x="0" y="0"/>
                      <a:ext cx="5271770" cy="158242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2018年度部门决算情况说明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本部门2018年度收入总计</w:t>
      </w:r>
      <w:r>
        <w:rPr>
          <w:rFonts w:hint="eastAsia" w:ascii="仿宋" w:hAnsi="仿宋" w:eastAsia="仿宋"/>
          <w:sz w:val="30"/>
          <w:szCs w:val="30"/>
          <w:lang w:val="en-US" w:eastAsia="zh-CN"/>
        </w:rPr>
        <w:t>2042.31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37.6</w:t>
      </w:r>
      <w:r>
        <w:rPr>
          <w:rFonts w:hint="eastAsia" w:ascii="仿宋" w:hAnsi="仿宋" w:eastAsia="仿宋"/>
          <w:sz w:val="30"/>
          <w:szCs w:val="30"/>
        </w:rPr>
        <w:t>万元，较2017年</w:t>
      </w:r>
      <w:r>
        <w:rPr>
          <w:rFonts w:hint="eastAsia" w:ascii="仿宋" w:hAnsi="仿宋" w:eastAsia="仿宋"/>
          <w:sz w:val="30"/>
          <w:szCs w:val="30"/>
          <w:lang w:eastAsia="zh-CN"/>
        </w:rPr>
        <w:t>增加</w:t>
      </w:r>
      <w:r>
        <w:rPr>
          <w:rFonts w:hint="eastAsia" w:ascii="仿宋" w:hAnsi="仿宋" w:eastAsia="仿宋"/>
          <w:sz w:val="30"/>
          <w:szCs w:val="30"/>
          <w:lang w:val="en-US" w:eastAsia="zh-CN"/>
        </w:rPr>
        <w:t>1760.92</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86.22</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2004.71</w:t>
      </w:r>
      <w:r>
        <w:rPr>
          <w:rFonts w:hint="eastAsia" w:ascii="仿宋" w:hAnsi="仿宋" w:eastAsia="仿宋"/>
          <w:sz w:val="30"/>
          <w:szCs w:val="30"/>
        </w:rPr>
        <w:t>万元，较2017年增加</w:t>
      </w:r>
      <w:r>
        <w:rPr>
          <w:rFonts w:hint="eastAsia" w:ascii="仿宋" w:hAnsi="仿宋" w:eastAsia="仿宋"/>
          <w:sz w:val="30"/>
          <w:szCs w:val="30"/>
          <w:lang w:val="en-US" w:eastAsia="zh-CN"/>
        </w:rPr>
        <w:t>1758.11</w:t>
      </w:r>
      <w:r>
        <w:rPr>
          <w:rFonts w:hint="eastAsia" w:ascii="仿宋" w:hAnsi="仿宋" w:eastAsia="仿宋"/>
          <w:sz w:val="30"/>
          <w:szCs w:val="30"/>
        </w:rPr>
        <w:t>万元，增长</w:t>
      </w:r>
      <w:r>
        <w:rPr>
          <w:rFonts w:hint="eastAsia" w:ascii="仿宋" w:hAnsi="仿宋" w:eastAsia="仿宋"/>
          <w:sz w:val="30"/>
          <w:szCs w:val="30"/>
          <w:lang w:val="en-US" w:eastAsia="zh-CN"/>
        </w:rPr>
        <w:t>87.70</w:t>
      </w:r>
      <w:r>
        <w:rPr>
          <w:rFonts w:hint="eastAsia" w:ascii="仿宋" w:hAnsi="仿宋" w:eastAsia="仿宋"/>
          <w:sz w:val="30"/>
          <w:szCs w:val="30"/>
        </w:rPr>
        <w:t>%，主要原因是：</w:t>
      </w:r>
      <w:r>
        <w:rPr>
          <w:rFonts w:hint="eastAsia" w:ascii="仿宋" w:hAnsi="仿宋" w:eastAsia="仿宋"/>
          <w:sz w:val="30"/>
          <w:szCs w:val="30"/>
          <w:lang w:eastAsia="zh-CN"/>
        </w:rPr>
        <w:t>宁封窑项目资金启动增加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2004.71</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本部门2018年度支出总计</w:t>
      </w:r>
      <w:r>
        <w:rPr>
          <w:rFonts w:hint="eastAsia" w:ascii="仿宋" w:hAnsi="仿宋" w:eastAsia="仿宋"/>
          <w:sz w:val="30"/>
          <w:szCs w:val="30"/>
          <w:lang w:val="en-US" w:eastAsia="zh-CN"/>
        </w:rPr>
        <w:t>2010.23</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2010.23</w:t>
      </w:r>
      <w:r>
        <w:rPr>
          <w:rFonts w:hint="eastAsia" w:ascii="仿宋" w:hAnsi="仿宋" w:eastAsia="仿宋"/>
          <w:sz w:val="30"/>
          <w:szCs w:val="30"/>
        </w:rPr>
        <w:t>万元，较2017年增加</w:t>
      </w:r>
      <w:r>
        <w:rPr>
          <w:rFonts w:hint="eastAsia" w:ascii="仿宋" w:hAnsi="仿宋" w:eastAsia="仿宋"/>
          <w:sz w:val="30"/>
          <w:szCs w:val="30"/>
          <w:lang w:val="en-US" w:eastAsia="zh-CN"/>
        </w:rPr>
        <w:t>1766.44</w:t>
      </w:r>
      <w:r>
        <w:rPr>
          <w:rFonts w:hint="eastAsia" w:ascii="仿宋" w:hAnsi="仿宋" w:eastAsia="仿宋"/>
          <w:sz w:val="30"/>
          <w:szCs w:val="30"/>
        </w:rPr>
        <w:t>元，增长</w:t>
      </w:r>
      <w:r>
        <w:rPr>
          <w:rFonts w:hint="eastAsia" w:ascii="仿宋" w:hAnsi="仿宋" w:eastAsia="仿宋"/>
          <w:sz w:val="30"/>
          <w:szCs w:val="30"/>
          <w:lang w:val="en-US" w:eastAsia="zh-CN"/>
        </w:rPr>
        <w:t>724.57</w:t>
      </w:r>
      <w:r>
        <w:rPr>
          <w:rFonts w:hint="eastAsia" w:ascii="仿宋" w:hAnsi="仿宋" w:eastAsia="仿宋"/>
          <w:sz w:val="30"/>
          <w:szCs w:val="30"/>
        </w:rPr>
        <w:t>%，主要原因是：</w:t>
      </w:r>
      <w:r>
        <w:rPr>
          <w:rFonts w:hint="eastAsia" w:ascii="仿宋" w:hAnsi="仿宋" w:eastAsia="仿宋"/>
          <w:sz w:val="30"/>
          <w:szCs w:val="30"/>
          <w:lang w:eastAsia="zh-CN"/>
        </w:rPr>
        <w:t>宁封窑项目支出增加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32.08</w:t>
      </w:r>
      <w:r>
        <w:rPr>
          <w:rFonts w:hint="eastAsia" w:ascii="仿宋" w:hAnsi="仿宋" w:eastAsia="仿宋"/>
          <w:sz w:val="30"/>
          <w:szCs w:val="30"/>
        </w:rPr>
        <w:t>万元，较2017年</w:t>
      </w:r>
      <w:r>
        <w:rPr>
          <w:rFonts w:hint="eastAsia" w:ascii="仿宋" w:hAnsi="仿宋" w:eastAsia="仿宋"/>
          <w:sz w:val="30"/>
          <w:szCs w:val="30"/>
          <w:lang w:eastAsia="zh-CN"/>
        </w:rPr>
        <w:t>减少</w:t>
      </w:r>
      <w:r>
        <w:rPr>
          <w:rFonts w:hint="eastAsia" w:ascii="仿宋" w:hAnsi="仿宋" w:eastAsia="仿宋"/>
          <w:sz w:val="30"/>
          <w:szCs w:val="30"/>
          <w:lang w:val="en-US" w:eastAsia="zh-CN"/>
        </w:rPr>
        <w:t>5.52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17.21%</w:t>
      </w:r>
      <w:r>
        <w:rPr>
          <w:rFonts w:hint="eastAsia" w:ascii="仿宋" w:hAnsi="仿宋" w:eastAsia="仿宋"/>
          <w:sz w:val="30"/>
          <w:szCs w:val="30"/>
        </w:rPr>
        <w:t>，主要原因是：</w:t>
      </w:r>
      <w:r>
        <w:rPr>
          <w:rFonts w:hint="eastAsia" w:ascii="仿宋" w:hAnsi="仿宋" w:eastAsia="仿宋"/>
          <w:sz w:val="30"/>
          <w:szCs w:val="30"/>
          <w:lang w:eastAsia="zh-CN"/>
        </w:rPr>
        <w:t>例行节俭，压缩开支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222.47</w:t>
      </w:r>
      <w:r>
        <w:rPr>
          <w:rFonts w:hint="eastAsia" w:ascii="仿宋" w:hAnsi="仿宋" w:eastAsia="仿宋"/>
          <w:sz w:val="30"/>
          <w:szCs w:val="30"/>
        </w:rPr>
        <w:t>万元，占</w:t>
      </w:r>
      <w:r>
        <w:rPr>
          <w:rFonts w:hint="eastAsia" w:ascii="仿宋" w:hAnsi="仿宋" w:eastAsia="仿宋"/>
          <w:sz w:val="30"/>
          <w:szCs w:val="30"/>
          <w:lang w:val="en-US" w:eastAsia="zh-CN"/>
        </w:rPr>
        <w:t>11.07</w:t>
      </w:r>
      <w:r>
        <w:rPr>
          <w:rFonts w:hint="eastAsia" w:ascii="仿宋" w:hAnsi="仿宋" w:eastAsia="仿宋"/>
          <w:sz w:val="30"/>
          <w:szCs w:val="30"/>
        </w:rPr>
        <w:t>%；项目支出</w:t>
      </w:r>
      <w:r>
        <w:rPr>
          <w:rFonts w:hint="eastAsia" w:ascii="仿宋" w:hAnsi="仿宋" w:eastAsia="仿宋"/>
          <w:sz w:val="30"/>
          <w:szCs w:val="30"/>
          <w:lang w:val="en-US" w:eastAsia="zh-CN"/>
        </w:rPr>
        <w:t>1787.75</w:t>
      </w:r>
      <w:r>
        <w:rPr>
          <w:rFonts w:hint="eastAsia" w:ascii="仿宋" w:hAnsi="仿宋" w:eastAsia="仿宋"/>
          <w:sz w:val="30"/>
          <w:szCs w:val="30"/>
        </w:rPr>
        <w:t>万元，占</w:t>
      </w:r>
      <w:r>
        <w:rPr>
          <w:rFonts w:hint="eastAsia" w:ascii="仿宋" w:hAnsi="仿宋" w:eastAsia="仿宋"/>
          <w:sz w:val="30"/>
          <w:szCs w:val="30"/>
          <w:lang w:val="en-US" w:eastAsia="zh-CN"/>
        </w:rPr>
        <w:t>88.93</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本部门2018年度财政拨款本年支出年初预算数为</w:t>
      </w:r>
      <w:r>
        <w:rPr>
          <w:rFonts w:hint="eastAsia" w:ascii="仿宋" w:hAnsi="仿宋" w:eastAsia="仿宋"/>
          <w:sz w:val="30"/>
          <w:szCs w:val="30"/>
          <w:lang w:val="en-US" w:eastAsia="zh-CN"/>
        </w:rPr>
        <w:t>175.07</w:t>
      </w:r>
      <w:r>
        <w:rPr>
          <w:rFonts w:hint="eastAsia" w:ascii="仿宋" w:hAnsi="仿宋" w:eastAsia="仿宋"/>
          <w:sz w:val="30"/>
          <w:szCs w:val="30"/>
        </w:rPr>
        <w:t>万元，决算数为</w:t>
      </w:r>
      <w:r>
        <w:rPr>
          <w:rFonts w:hint="eastAsia" w:ascii="仿宋" w:hAnsi="仿宋" w:eastAsia="仿宋"/>
          <w:sz w:val="30"/>
          <w:szCs w:val="30"/>
          <w:lang w:val="en-US" w:eastAsia="zh-CN"/>
        </w:rPr>
        <w:t>2004.71</w:t>
      </w:r>
      <w:r>
        <w:rPr>
          <w:rFonts w:hint="eastAsia" w:ascii="仿宋" w:hAnsi="仿宋" w:eastAsia="仿宋"/>
          <w:sz w:val="30"/>
          <w:szCs w:val="30"/>
        </w:rPr>
        <w:t>万元，完成年初预算的</w:t>
      </w:r>
      <w:r>
        <w:rPr>
          <w:rFonts w:hint="eastAsia" w:ascii="仿宋" w:hAnsi="仿宋" w:eastAsia="仿宋"/>
          <w:sz w:val="30"/>
          <w:szCs w:val="30"/>
          <w:lang w:val="en-US" w:eastAsia="zh-CN"/>
        </w:rPr>
        <w:t>114.09</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0.52</w:t>
      </w:r>
      <w:r>
        <w:rPr>
          <w:rFonts w:hint="eastAsia" w:ascii="仿宋" w:hAnsi="仿宋" w:eastAsia="仿宋"/>
          <w:sz w:val="30"/>
          <w:szCs w:val="30"/>
        </w:rPr>
        <w:t>万元，决算数为</w:t>
      </w:r>
      <w:r>
        <w:rPr>
          <w:rFonts w:hint="eastAsia" w:ascii="仿宋" w:hAnsi="仿宋" w:eastAsia="仿宋"/>
          <w:sz w:val="30"/>
          <w:szCs w:val="30"/>
          <w:lang w:val="en-US" w:eastAsia="zh-CN"/>
        </w:rPr>
        <w:t>11.26</w:t>
      </w:r>
      <w:r>
        <w:rPr>
          <w:rFonts w:hint="eastAsia" w:ascii="仿宋" w:hAnsi="仿宋" w:eastAsia="仿宋"/>
          <w:sz w:val="30"/>
          <w:szCs w:val="30"/>
        </w:rPr>
        <w:t>万元，完成年初预算的</w:t>
      </w:r>
      <w:r>
        <w:rPr>
          <w:rFonts w:hint="eastAsia" w:ascii="仿宋" w:hAnsi="仿宋" w:eastAsia="仿宋"/>
          <w:sz w:val="30"/>
          <w:szCs w:val="30"/>
          <w:lang w:val="en-US" w:eastAsia="zh-CN"/>
        </w:rPr>
        <w:t>2065.38</w:t>
      </w:r>
      <w:r>
        <w:rPr>
          <w:rFonts w:hint="eastAsia" w:ascii="仿宋" w:hAnsi="仿宋" w:eastAsia="仿宋"/>
          <w:sz w:val="30"/>
          <w:szCs w:val="30"/>
        </w:rPr>
        <w:t>%，主要原因是：</w:t>
      </w:r>
      <w:r>
        <w:rPr>
          <w:rFonts w:hint="eastAsia" w:ascii="仿宋" w:hAnsi="仿宋" w:eastAsia="仿宋"/>
          <w:sz w:val="30"/>
          <w:szCs w:val="30"/>
          <w:lang w:eastAsia="zh-CN"/>
        </w:rPr>
        <w:t>人员编制变动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医疗卫生与计划生育支出</w:t>
      </w:r>
      <w:r>
        <w:rPr>
          <w:rFonts w:hint="eastAsia" w:ascii="仿宋" w:hAnsi="仿宋" w:eastAsia="仿宋"/>
          <w:sz w:val="30"/>
          <w:szCs w:val="30"/>
        </w:rPr>
        <w:t>年初预算数为</w:t>
      </w:r>
      <w:r>
        <w:rPr>
          <w:rFonts w:hint="eastAsia" w:ascii="仿宋" w:hAnsi="仿宋" w:eastAsia="仿宋"/>
          <w:sz w:val="30"/>
          <w:szCs w:val="30"/>
          <w:lang w:val="en-US" w:eastAsia="zh-CN"/>
        </w:rPr>
        <w:t>6.03</w:t>
      </w:r>
      <w:r>
        <w:rPr>
          <w:rFonts w:hint="eastAsia" w:ascii="仿宋" w:hAnsi="仿宋" w:eastAsia="仿宋"/>
          <w:sz w:val="30"/>
          <w:szCs w:val="30"/>
        </w:rPr>
        <w:t>万元，决算数为</w:t>
      </w:r>
      <w:r>
        <w:rPr>
          <w:rFonts w:hint="eastAsia" w:ascii="仿宋" w:hAnsi="仿宋" w:eastAsia="仿宋"/>
          <w:sz w:val="30"/>
          <w:szCs w:val="30"/>
          <w:lang w:val="en-US" w:eastAsia="zh-CN"/>
        </w:rPr>
        <w:t>4.33</w:t>
      </w:r>
      <w:r>
        <w:rPr>
          <w:rFonts w:hint="eastAsia" w:ascii="仿宋" w:hAnsi="仿宋" w:eastAsia="仿宋"/>
          <w:sz w:val="30"/>
          <w:szCs w:val="30"/>
        </w:rPr>
        <w:t>万元，完成年初预算的</w:t>
      </w:r>
      <w:r>
        <w:rPr>
          <w:rFonts w:hint="eastAsia" w:ascii="仿宋" w:hAnsi="仿宋" w:eastAsia="仿宋"/>
          <w:sz w:val="30"/>
          <w:szCs w:val="30"/>
          <w:lang w:val="en-US" w:eastAsia="zh-CN"/>
        </w:rPr>
        <w:t>71.81</w:t>
      </w:r>
      <w:r>
        <w:rPr>
          <w:rFonts w:hint="eastAsia" w:ascii="仿宋" w:hAnsi="仿宋" w:eastAsia="仿宋"/>
          <w:sz w:val="30"/>
          <w:szCs w:val="30"/>
        </w:rPr>
        <w:t>%，主要原因是：</w:t>
      </w:r>
      <w:r>
        <w:rPr>
          <w:rFonts w:hint="eastAsia" w:ascii="仿宋" w:hAnsi="仿宋" w:eastAsia="仿宋"/>
          <w:sz w:val="30"/>
          <w:szCs w:val="30"/>
          <w:lang w:eastAsia="zh-CN"/>
        </w:rPr>
        <w:t>人员编制变动</w:t>
      </w:r>
      <w:r>
        <w:rPr>
          <w:rFonts w:hint="eastAsia" w:ascii="仿宋" w:hAnsi="仿宋" w:eastAsia="仿宋"/>
          <w:sz w:val="30"/>
          <w:szCs w:val="30"/>
        </w:rPr>
        <w:t>。</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（三）商业服务业等支出年初预算数为</w:t>
      </w:r>
      <w:r>
        <w:rPr>
          <w:rFonts w:hint="eastAsia" w:ascii="仿宋" w:hAnsi="仿宋" w:eastAsia="仿宋"/>
          <w:sz w:val="30"/>
          <w:szCs w:val="30"/>
          <w:lang w:val="en-US" w:eastAsia="zh-CN"/>
        </w:rPr>
        <w:t>0万元，决算数支出为47.24万元，完成年初预算的4700.24%，主要原因是：宁封窑项目启动资金未做年初预算。</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（四）住房保障支出年初预算数为9.33万元，决算数支出为3.94万元，完成年初预算的42.23%，主要原因是：人员编制的变动。</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本部门2018年度一般公共预算财政拨款基本支出</w:t>
      </w:r>
      <w:r>
        <w:rPr>
          <w:rFonts w:hint="eastAsia" w:ascii="仿宋" w:hAnsi="仿宋" w:eastAsia="仿宋"/>
          <w:sz w:val="30"/>
          <w:szCs w:val="30"/>
          <w:lang w:val="en-US" w:eastAsia="zh-CN"/>
        </w:rPr>
        <w:t>222.47</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126.34</w:t>
      </w:r>
      <w:r>
        <w:rPr>
          <w:rFonts w:hint="eastAsia" w:ascii="仿宋" w:hAnsi="仿宋" w:eastAsia="仿宋"/>
          <w:sz w:val="30"/>
          <w:szCs w:val="30"/>
        </w:rPr>
        <w:t>万元，较2017年增加</w:t>
      </w:r>
      <w:r>
        <w:rPr>
          <w:rFonts w:hint="eastAsia" w:ascii="仿宋" w:hAnsi="仿宋" w:eastAsia="仿宋"/>
          <w:sz w:val="30"/>
          <w:szCs w:val="30"/>
          <w:lang w:val="en-US" w:eastAsia="zh-CN"/>
        </w:rPr>
        <w:t>23.10</w:t>
      </w:r>
      <w:r>
        <w:rPr>
          <w:rFonts w:hint="eastAsia" w:ascii="仿宋" w:hAnsi="仿宋" w:eastAsia="仿宋"/>
          <w:sz w:val="30"/>
          <w:szCs w:val="30"/>
        </w:rPr>
        <w:t>万元，增长</w:t>
      </w:r>
      <w:r>
        <w:rPr>
          <w:rFonts w:hint="eastAsia" w:ascii="仿宋" w:hAnsi="仿宋" w:eastAsia="仿宋"/>
          <w:sz w:val="30"/>
          <w:szCs w:val="30"/>
          <w:lang w:val="en-US" w:eastAsia="zh-CN"/>
        </w:rPr>
        <w:t>18.28</w:t>
      </w:r>
      <w:r>
        <w:rPr>
          <w:rFonts w:hint="eastAsia" w:ascii="仿宋" w:hAnsi="仿宋" w:eastAsia="仿宋"/>
          <w:sz w:val="30"/>
          <w:szCs w:val="30"/>
        </w:rPr>
        <w:t>%，主要原因是：</w:t>
      </w:r>
      <w:r>
        <w:rPr>
          <w:rFonts w:hint="eastAsia" w:ascii="仿宋" w:hAnsi="仿宋" w:eastAsia="仿宋"/>
          <w:sz w:val="30"/>
          <w:szCs w:val="30"/>
          <w:lang w:eastAsia="zh-CN"/>
        </w:rPr>
        <w:t>人员增资及经济科目调整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47.34</w:t>
      </w:r>
      <w:r>
        <w:rPr>
          <w:rFonts w:hint="eastAsia" w:ascii="仿宋" w:hAnsi="仿宋" w:eastAsia="仿宋"/>
          <w:sz w:val="30"/>
          <w:szCs w:val="30"/>
        </w:rPr>
        <w:t>万元，较2017年增加</w:t>
      </w:r>
      <w:r>
        <w:rPr>
          <w:rFonts w:hint="eastAsia" w:ascii="仿宋" w:hAnsi="仿宋" w:eastAsia="仿宋"/>
          <w:sz w:val="30"/>
          <w:szCs w:val="30"/>
          <w:lang w:val="en-US" w:eastAsia="zh-CN"/>
        </w:rPr>
        <w:t>15.76</w:t>
      </w:r>
      <w:r>
        <w:rPr>
          <w:rFonts w:hint="eastAsia" w:ascii="仿宋" w:hAnsi="仿宋" w:eastAsia="仿宋"/>
          <w:sz w:val="30"/>
          <w:szCs w:val="30"/>
        </w:rPr>
        <w:t xml:space="preserve"> 万元，增长</w:t>
      </w:r>
      <w:r>
        <w:rPr>
          <w:rFonts w:hint="eastAsia" w:ascii="仿宋" w:hAnsi="仿宋" w:eastAsia="仿宋"/>
          <w:sz w:val="30"/>
          <w:szCs w:val="30"/>
          <w:lang w:val="en-US" w:eastAsia="zh-CN"/>
        </w:rPr>
        <w:t>33.29</w:t>
      </w:r>
      <w:r>
        <w:rPr>
          <w:rFonts w:hint="eastAsia" w:ascii="仿宋" w:hAnsi="仿宋" w:eastAsia="仿宋"/>
          <w:sz w:val="30"/>
          <w:szCs w:val="30"/>
        </w:rPr>
        <w:t>%，主要原因是：</w:t>
      </w:r>
      <w:r>
        <w:rPr>
          <w:rFonts w:hint="eastAsia" w:ascii="仿宋" w:hAnsi="仿宋" w:eastAsia="仿宋"/>
          <w:sz w:val="30"/>
          <w:szCs w:val="30"/>
          <w:lang w:eastAsia="zh-CN"/>
        </w:rPr>
        <w:t>人员调动及印刷费等增加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46.19</w:t>
      </w:r>
      <w:r>
        <w:rPr>
          <w:rFonts w:hint="eastAsia" w:ascii="仿宋" w:hAnsi="仿宋" w:eastAsia="仿宋"/>
          <w:sz w:val="30"/>
          <w:szCs w:val="30"/>
        </w:rPr>
        <w:t>万元，较2017年减少</w:t>
      </w:r>
      <w:r>
        <w:rPr>
          <w:rFonts w:hint="eastAsia" w:ascii="仿宋" w:hAnsi="仿宋" w:eastAsia="仿宋"/>
          <w:sz w:val="30"/>
          <w:szCs w:val="30"/>
          <w:lang w:val="en-US" w:eastAsia="zh-CN"/>
        </w:rPr>
        <w:t>4.43</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9.59</w:t>
      </w:r>
      <w:r>
        <w:rPr>
          <w:rFonts w:hint="eastAsia" w:ascii="仿宋" w:hAnsi="仿宋" w:eastAsia="仿宋"/>
          <w:sz w:val="30"/>
          <w:szCs w:val="30"/>
        </w:rPr>
        <w:t>%，主要原因是：</w:t>
      </w:r>
      <w:r>
        <w:rPr>
          <w:rFonts w:hint="eastAsia" w:ascii="仿宋" w:hAnsi="仿宋" w:eastAsia="仿宋"/>
          <w:sz w:val="30"/>
          <w:szCs w:val="30"/>
          <w:lang w:eastAsia="zh-CN"/>
        </w:rPr>
        <w:t>会计经济科目调整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2.61</w:t>
      </w:r>
      <w:r>
        <w:rPr>
          <w:rFonts w:hint="eastAsia" w:ascii="仿宋" w:hAnsi="仿宋" w:eastAsia="仿宋"/>
          <w:sz w:val="30"/>
          <w:szCs w:val="30"/>
        </w:rPr>
        <w:t>万元，较2017年减少</w:t>
      </w:r>
      <w:r>
        <w:rPr>
          <w:rFonts w:hint="eastAsia" w:ascii="仿宋" w:hAnsi="仿宋" w:eastAsia="仿宋"/>
          <w:sz w:val="30"/>
          <w:szCs w:val="30"/>
          <w:lang w:val="en-US" w:eastAsia="zh-CN"/>
        </w:rPr>
        <w:t>0.26</w:t>
      </w:r>
      <w:r>
        <w:rPr>
          <w:rFonts w:hint="eastAsia" w:ascii="仿宋" w:hAnsi="仿宋" w:eastAsia="仿宋"/>
          <w:sz w:val="30"/>
          <w:szCs w:val="30"/>
        </w:rPr>
        <w:t>万元，下降</w:t>
      </w:r>
      <w:r>
        <w:rPr>
          <w:rFonts w:hint="eastAsia" w:ascii="仿宋" w:hAnsi="仿宋" w:eastAsia="仿宋"/>
          <w:sz w:val="30"/>
          <w:szCs w:val="30"/>
          <w:lang w:val="en-US" w:eastAsia="zh-CN"/>
        </w:rPr>
        <w:t>9.96</w:t>
      </w:r>
      <w:r>
        <w:rPr>
          <w:rFonts w:hint="eastAsia" w:ascii="仿宋" w:hAnsi="仿宋" w:eastAsia="仿宋"/>
          <w:sz w:val="30"/>
          <w:szCs w:val="30"/>
        </w:rPr>
        <w:t>%，主要原因是：</w:t>
      </w:r>
      <w:r>
        <w:rPr>
          <w:rFonts w:hint="eastAsia" w:ascii="仿宋" w:hAnsi="仿宋" w:eastAsia="仿宋"/>
          <w:sz w:val="30"/>
          <w:szCs w:val="30"/>
          <w:lang w:eastAsia="zh-CN"/>
        </w:rPr>
        <w:t>减少固定资产添置</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本部门2018年度一般公共预算财政拨款“三公”经费支出年初预算数为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%，决算数较2017年</w:t>
      </w:r>
      <w:r>
        <w:rPr>
          <w:rFonts w:hint="eastAsia" w:ascii="仿宋" w:hAnsi="仿宋" w:eastAsia="仿宋"/>
          <w:sz w:val="30"/>
          <w:szCs w:val="30"/>
          <w:lang w:eastAsia="zh-CN"/>
        </w:rPr>
        <w:t>减少</w:t>
      </w:r>
      <w:r>
        <w:rPr>
          <w:rFonts w:hint="eastAsia" w:ascii="仿宋" w:hAnsi="仿宋" w:eastAsia="仿宋"/>
          <w:sz w:val="30"/>
          <w:szCs w:val="30"/>
          <w:lang w:val="en-US" w:eastAsia="zh-CN"/>
        </w:rPr>
        <w:t>0.4</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100</w:t>
      </w:r>
      <w:r>
        <w:rPr>
          <w:rFonts w:hint="eastAsia" w:ascii="仿宋" w:hAnsi="仿宋" w:eastAsia="仿宋"/>
          <w:sz w:val="30"/>
          <w:szCs w:val="30"/>
        </w:rPr>
        <w:t>%，其中：</w:t>
      </w:r>
    </w:p>
    <w:p>
      <w:pPr>
        <w:numPr>
          <w:ilvl w:val="0"/>
          <w:numId w:val="3"/>
        </w:numPr>
        <w:ind w:firstLine="630"/>
        <w:jc w:val="left"/>
        <w:rPr>
          <w:rFonts w:hint="eastAsia" w:ascii="仿宋" w:hAnsi="仿宋" w:eastAsia="仿宋"/>
          <w:sz w:val="30"/>
          <w:szCs w:val="30"/>
          <w:lang w:val="en-US" w:eastAsia="zh-CN"/>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 xml:space="preserve"> 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%，决算数较2017年减少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2018年未发生因公出国费用。</w:t>
      </w:r>
    </w:p>
    <w:p>
      <w:pPr>
        <w:numPr>
          <w:ilvl w:val="0"/>
          <w:numId w:val="0"/>
        </w:numPr>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%，决算数较2017年</w:t>
      </w:r>
      <w:r>
        <w:rPr>
          <w:rFonts w:hint="eastAsia" w:ascii="仿宋" w:hAnsi="仿宋" w:eastAsia="仿宋"/>
          <w:sz w:val="30"/>
          <w:szCs w:val="30"/>
          <w:lang w:eastAsia="zh-CN"/>
        </w:rPr>
        <w:t>减少</w:t>
      </w:r>
      <w:r>
        <w:rPr>
          <w:rFonts w:hint="eastAsia" w:ascii="仿宋" w:hAnsi="仿宋" w:eastAsia="仿宋"/>
          <w:sz w:val="30"/>
          <w:szCs w:val="30"/>
          <w:lang w:val="en-US" w:eastAsia="zh-CN"/>
        </w:rPr>
        <w:t>0.4</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100</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2018年未发生三公经费。</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%，决算数较2017年增加（减少）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无公务用车购置及运行维护费</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%，决算数较2017年减少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公车改革已基本完成</w:t>
      </w:r>
      <w:r>
        <w:rPr>
          <w:rFonts w:hint="eastAsia" w:ascii="仿宋" w:hAnsi="仿宋" w:eastAsia="仿宋"/>
          <w:sz w:val="30"/>
          <w:szCs w:val="30"/>
        </w:rPr>
        <w:t>。</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本部门2018年度机关运行经费支出</w:t>
      </w:r>
      <w:r>
        <w:rPr>
          <w:rFonts w:hint="eastAsia" w:ascii="仿宋" w:hAnsi="仿宋" w:eastAsia="仿宋"/>
          <w:sz w:val="30"/>
          <w:szCs w:val="30"/>
          <w:lang w:val="en-US" w:eastAsia="zh-CN"/>
        </w:rPr>
        <w:t>49.94</w:t>
      </w:r>
      <w:r>
        <w:rPr>
          <w:rFonts w:hint="eastAsia" w:ascii="仿宋" w:hAnsi="仿宋" w:eastAsia="仿宋"/>
          <w:sz w:val="30"/>
          <w:szCs w:val="30"/>
        </w:rPr>
        <w:t>万元，较年初预算数</w:t>
      </w:r>
      <w:r>
        <w:rPr>
          <w:rFonts w:hint="eastAsia" w:ascii="仿宋" w:hAnsi="仿宋" w:eastAsia="仿宋"/>
          <w:sz w:val="30"/>
          <w:szCs w:val="30"/>
          <w:lang w:eastAsia="zh-CN"/>
        </w:rPr>
        <w:t>增加</w:t>
      </w:r>
      <w:r>
        <w:rPr>
          <w:rFonts w:hint="eastAsia" w:ascii="仿宋" w:hAnsi="仿宋" w:eastAsia="仿宋"/>
          <w:sz w:val="30"/>
          <w:szCs w:val="30"/>
          <w:lang w:val="en-US" w:eastAsia="zh-CN"/>
        </w:rPr>
        <w:t>1.29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2.58</w:t>
      </w:r>
      <w:r>
        <w:rPr>
          <w:rFonts w:hint="eastAsia" w:ascii="仿宋" w:hAnsi="仿宋" w:eastAsia="仿宋"/>
          <w:sz w:val="30"/>
          <w:szCs w:val="30"/>
        </w:rPr>
        <w:t>%，主要原因是：</w:t>
      </w:r>
      <w:r>
        <w:rPr>
          <w:rFonts w:hint="eastAsia" w:ascii="仿宋" w:hAnsi="仿宋" w:eastAsia="仿宋"/>
          <w:sz w:val="30"/>
          <w:szCs w:val="30"/>
          <w:lang w:eastAsia="zh-CN"/>
        </w:rPr>
        <w:t>人员调动及商品服务支出小幅度增加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本部门2018年度政府采购支出总额</w:t>
      </w:r>
      <w:r>
        <w:rPr>
          <w:rFonts w:hint="eastAsia" w:ascii="仿宋" w:hAnsi="仿宋" w:eastAsia="仿宋"/>
          <w:sz w:val="30"/>
          <w:szCs w:val="30"/>
          <w:lang w:val="en-US" w:eastAsia="zh-CN"/>
        </w:rPr>
        <w:t>2.61</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2.61</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截止2018年12月31日，本部门共有车辆</w:t>
      </w:r>
      <w:r>
        <w:rPr>
          <w:rFonts w:hint="eastAsia" w:ascii="仿宋" w:hAnsi="仿宋" w:eastAsia="仿宋"/>
          <w:kern w:val="0"/>
          <w:sz w:val="30"/>
          <w:szCs w:val="30"/>
          <w:lang w:val="en-US" w:eastAsia="zh-CN"/>
        </w:rPr>
        <w:t>0</w:t>
      </w:r>
      <w:r>
        <w:rPr>
          <w:rFonts w:hint="eastAsia" w:ascii="仿宋" w:hAnsi="仿宋" w:eastAsia="仿宋"/>
          <w:kern w:val="0"/>
          <w:sz w:val="30"/>
          <w:szCs w:val="30"/>
        </w:rPr>
        <w:t>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ind w:firstLine="600" w:firstLineChars="200"/>
        <w:rPr>
          <w:rFonts w:hint="eastAsia" w:ascii="仿宋_GB2312" w:eastAsia="仿宋_GB2312"/>
          <w:b/>
          <w:sz w:val="32"/>
          <w:szCs w:val="32"/>
        </w:rPr>
      </w:pPr>
      <w:r>
        <w:rPr>
          <w:rFonts w:hint="eastAsia" w:ascii="仿宋" w:hAnsi="仿宋" w:eastAsia="仿宋" w:cs="仿宋_GB2312"/>
          <w:kern w:val="0"/>
          <w:sz w:val="30"/>
          <w:szCs w:val="30"/>
        </w:rPr>
        <w:t xml:space="preserve">  </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2018年以来，在区委、区政府的正确领导和区人大、区政协的监督下，在市发改委的指导和支持下，区发改委认真履行工作职责、强化学习、转变作风、扎实工作、努力进取，较好地完成了全年工作目标任务。现将有关情况汇报如下：</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一、2018年工作情况</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认真做好2018年国民经济和社会发展计划的执行。区发改委作为区政府的综合部门，认真做好2018年国民经济和社会发展计划的编制工作。同时，在区委、区政府的正确领导下，协调区直相关部门努力抓好2018年国民经济和社会发展计划的执行，当好区委、区政府的参谋。按照区委第十一次党代会的总体部署，以习近平新时代中国特色社会主义思想为指导，深入贯彻新发展理念，围绕市委“打造一座与世界对话的城市”的发展定位，建设魅力昌江、做靓瓷都门户，努力将我区建设成为重点产业集聚区、创新创业示范区、生态文明样板区、文化旅游拓展区和幸福都市生活区。预计到年底2018年国民经济和社会发展各项目标任务能圆满完成，为我区建设魅力昌江，做靓瓷都门户,在打造一座与世界对话的城市中实现新跨越打下坚定的基础。</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2、促进机关效能提升，强化服务。一是做好“预测型”服务，制定调查研究计划，深入研究国家政策，及时把握经济运行和社会发展的脉搏， 主动收集整理分析社会经济活动中的热点和难点问题，提供预测、预警。二是做好“需求型”服务。根据经济社会发展的需要，根据区委、区政府的要求，主动分析预测，力求在第一时间，全面准确地提供各项服务，当好参谋。三是做好“监督型”服务。及时追踪经济运行的走势，监督项目建设，查找问题，分析根源，提出思路和方法建议。四是做好“成果型”服务。积极提供和发布国民经济发展的阶段性成果、调查成果，为区委、区政府决策提供依据。进一步规范项目审批（核准、备案）、资金安排、项目招投标等工作流程，提高工作效率，使机关作风得到明显改进。</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3、重视规划编制，积极推进项目谋划。规划工作是项目谋划的基础，是项目决策和实施的重要依据。2018年，在区直各部门的共同努力下，我委认真组织、谋划项目，编制项目信息。区项目库储存项目101个，其中：综合类项目5个、工业类项目12个、社会事业类项目15个、农林水类项目21个、基础设施类项目40个、服务业类项目8个。我区2018年重点调度建设项目38个，到目前为止，已基本完工项目8个，已开工建设项目22个，正在办理前期手续项目5个，处于启动阶段项目3个。区发改委积极做好项目推进的协调工作，加强项目前期工作的服务力度，协助各乡镇街道、区直各部门做好项目的前期工作，即项目的可行性研究报告、节能评估报告、初步设计、初步设计审批、项目立项等工作。区发改委2018年审批项目  共计227个。</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4、努力争取项目资金，力保投资稳定增长。学习研究国家和省、市相关投资政策，认真组织全区国民经济和各项社会事业发展项目的编制、审批、上报，努力争取上级对我区发展项目和资金的支持。今年以来，我委组织申报项目达160多项，为我区社会事业发展打下基础。组织申报了社会事业发展项目、文化旅游建设项目、城镇基础设施项目、生态文明示范工程试点项目、农林水基础投资等项目。1--11月份，据不完全统计，全区争取上级补助及项目在80个左右，项目资金在9340万元左右，主要集中在农业、水利、民政、教育、文化、交通等部门。其中我委共争取资金1060 万元，分别是：流域资金514万元，应急救灾补助中央预算内投资10万元，农村饮用水提升456万元，2018年重点防护林工程中央预算内投资计划20万元，现代服务业专项扶持资金60万。       </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5、全力做好招商引资工作。今年，在区委、区政府领导的高位推动下，我委把招商引资工作摆上重要议事日程，作为“一把手”工程来抓，主要负责人是第一责任人。主动收集适合我区产业发展的重大投资项目信息，强化跟踪对接，进行“零距离”接触，力促投资信息转化为新的投资项目，为我区今后经济又快又好发展奠定坚实基础。</w:t>
      </w:r>
    </w:p>
    <w:p>
      <w:pPr>
        <w:spacing w:line="480"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6、推进各项改革，优化发展环境。改革是加速发展、加快转型、实现跨越的动力之源。当前，我们要敢于破除各种思想障碍，克服阻碍发展的职能缺失，敢于突破，勇于担当，积极探索，深化改革。一是生态文明体制改革。紧扣生态文明建设总体目标要求，立足昌江实际，明确“六个一” 工作部署，以打造“一带四片七线” 为主轴，以实施乡村振兴战略为辅助，着力提升全区城乡品位和生态文明程度，全力实现生产空间集约高效、生活空间宜居适度、生态空间山清水秀的发展目标。2017年我区被评为江西省第三批生态文明示范区。二是推进机构和行政审批制度改革。随着审批事项的下放,区发改委在市发改委指导下，继续做好审批事项下放后的相关工作。该审批的项目及时审批，进一步简化审批程序，再造流程，积极构建起“科学合理、公开便捷、规范长效”的行政审批绿色通道。三是认真开展降成本优环境专项行动。按照省市要求，结合我区实际，出台了《昌江区2018年降成本优环境专项行动实施方案》。同时为扩大政策知晓度，帮助企业用好政策，我区“降成本、优环境”政策宣讲组深入企业，帮助企业吃透省、市税收优惠政策，对省80条及市36条涉企行政事业性收费及税费简免印制了宣传手册发放到企业手中。同时我区出台了22条政策措施，通过对减负效果测算，经统计实际减免了1944.87万余元，使企业真正从“降成本、优环境”工作中得到实惠。</w:t>
      </w:r>
    </w:p>
    <w:p>
      <w:pPr>
        <w:pStyle w:val="8"/>
        <w:widowControl w:val="0"/>
        <w:autoSpaceDN w:val="0"/>
        <w:spacing w:line="480" w:lineRule="exact"/>
        <w:ind w:firstLine="600" w:firstLineChars="200"/>
        <w:rPr>
          <w:rFonts w:hint="eastAsia" w:ascii="仿宋" w:hAnsi="仿宋" w:eastAsia="仿宋" w:cs="仿宋"/>
          <w:b w:val="0"/>
          <w:bCs w:val="0"/>
          <w:kern w:val="2"/>
          <w:sz w:val="30"/>
          <w:szCs w:val="30"/>
        </w:rPr>
      </w:pPr>
      <w:r>
        <w:rPr>
          <w:rFonts w:hint="eastAsia" w:ascii="仿宋" w:hAnsi="仿宋" w:eastAsia="仿宋" w:cs="仿宋"/>
          <w:b w:val="0"/>
          <w:bCs w:val="0"/>
          <w:kern w:val="2"/>
          <w:sz w:val="30"/>
          <w:szCs w:val="30"/>
        </w:rPr>
        <w:t>7、固定资产投资保持稳中有升。今年以来，我委会同区统计局每月定期组织各乡镇、街道召开全区固定资产投资工作调度会，认真梳理项目，进一步挖掘潜力，同时加强与上级部门的沟通衔接，确保顺利完成全年目标任务。1--10月份，我区固定资产投资完成76.11亿元，同比增长11%。</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8、加大项目资金监督检查工作力度。组织开展规范工程项目、防范廉政风险专项治理工作。以项目为重点，找准重点项目查找廉政风险，认真组织对全区政府投资和使用国有资金300万以上工程项目进行重点检查，针对项目决策、规划审批、项目核准、土地审批、环境评价、工程招投标、资金拨付使用等重点部位和关键环节，对廉政风险点进行逐项排，细化到工作中的各个岗位、各个环节，责任到人。 同时立足于防范在前、预防为主，努力建立预防腐败的长效工作机制。在做好分析、识别、预警工作的基础上，不断完善制度，强化制度意识，提升制度执行力，用制度防控和化解潜在的廉政风险，使预防风险的举措“固化于制”。一是针对重点、关键和敏感岗位，提出风险防控具体措施。二是针对工作程序中重点环节，从加强教育管理、规范和监督职权运行等方面制定风险防控措施。三是切实加强对项目实施过程中廉政风险点的监控。通过实施廉政跟踪检查，把廉政风险点管理延伸到项目管理工作的各个岗位，打造覆盖权力运行全过程的监控链条。</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9、认真做好价格监督检查工作。加强了行政事业单位收费管理和价格认证工作。加强事中事后监管工作力度，强化收费公示制度，建立收费清单；在“放、管、服”方面，根据《昌江区人民政府印发关于在市场体系建设中建立公平竞争审査制度实施方案的通知》(昌府字【2018】34 号)文件精神,在全区开展了2018年度清理现行排除限制竞争政策措施的工作，清理有碍和限制竞争政策措施文件，加快了建立竞争有序的市场体系，促进商品和要素的自由流通，尽快形成统一开放的全国市场，促进了市场经济建设。进一步厘清政府和市场边界、确立竞争政策的基础性地位。在“降成本、优环境”方面，配合市发改委开展了清理规范转供电环节加价工作，</w:t>
      </w:r>
      <w:r>
        <w:rPr>
          <w:rFonts w:hint="eastAsia" w:ascii="仿宋" w:hAnsi="仿宋" w:eastAsia="仿宋" w:cs="仿宋"/>
          <w:b w:val="0"/>
          <w:bCs w:val="0"/>
          <w:sz w:val="30"/>
          <w:szCs w:val="30"/>
          <w:lang w:val="en-US" w:eastAsia="zh-CN"/>
        </w:rPr>
        <w:t>2018</w:t>
      </w:r>
      <w:r>
        <w:rPr>
          <w:rFonts w:hint="eastAsia" w:ascii="仿宋" w:hAnsi="仿宋" w:eastAsia="仿宋" w:cs="仿宋"/>
          <w:b w:val="0"/>
          <w:bCs w:val="0"/>
          <w:sz w:val="30"/>
          <w:szCs w:val="30"/>
        </w:rPr>
        <w:t>年对辖区内的转供体开展了全面检查，督促转供体认真执行一般工商业电价降价落实政策，将国家减负优惠电价落实到终端用户。目前辖区内转供体降价政策已经落实到位。切实落实了李克强总理关于一般工商业电价降价10%的要求，进一步减轻了企业和群众的负担，为企业创业提高更好的服务。积极受理群众对价格和收费方面的来电、来访、来信工作，有效化解了价格矛盾。全力做好价格认定工作，服务于司法公正。完成价格认定53余起，认定标的187余万，有力打击了违法犯罪分子，促进社会和谐发展。</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10、认真做好相关工作。认真抓好政务信息中心工作和政务信息公开，确保政务网畅通和信息公开及时，同时协助区行政服务中心的工作，确保行政服务中心网络的正常运转。做好“双拥”的各项工作和人大、政协提案的办理工作。做好精准扶贫工作，我委选派优秀干部进驻鱼山镇留阳村担任第一书记及驻村工作队，同时做好6户贫困户的结对帮扶工作。积极参与挂点包村及五金厂征地拆迁等区委、区政府交办的其他中心工作。</w:t>
      </w:r>
    </w:p>
    <w:p>
      <w:pPr>
        <w:spacing w:line="4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2018年在全体干部职工的不懈努力下，取得了一些成绩，但离区委、区政府的要求还存在一定的差距。主要表现在：一是创造性地开展工作不够；二是做好做强项目，争取上级支持还要努力。这些都有待在今后的工作中加以解决、改进和提高。</w:t>
      </w:r>
    </w:p>
    <w:p>
      <w:pPr>
        <w:autoSpaceDE w:val="0"/>
        <w:autoSpaceDN w:val="0"/>
        <w:adjustRightInd w:val="0"/>
        <w:spacing w:line="360" w:lineRule="auto"/>
        <w:jc w:val="left"/>
        <w:rPr>
          <w:rFonts w:ascii="仿宋" w:hAnsi="仿宋" w:eastAsia="仿宋" w:cs="仿宋_GB2312"/>
          <w:kern w:val="0"/>
          <w:sz w:val="30"/>
          <w:szCs w:val="30"/>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8"/>
        <w:spacing w:line="600" w:lineRule="atLeast"/>
        <w:ind w:firstLine="600"/>
        <w:rPr>
          <w:rFonts w:hint="eastAsia" w:ascii="仿宋" w:hAnsi="仿宋" w:eastAsia="仿宋"/>
          <w:sz w:val="30"/>
          <w:szCs w:val="30"/>
        </w:rPr>
      </w:pPr>
    </w:p>
    <w:p>
      <w:pPr>
        <w:ind w:firstLine="630"/>
        <w:jc w:val="left"/>
        <w:rPr>
          <w:rFonts w:hint="eastAsia" w:ascii="仿宋" w:hAnsi="仿宋" w:eastAsia="仿宋" w:cs="仿宋"/>
          <w:sz w:val="30"/>
          <w:szCs w:val="30"/>
        </w:rPr>
      </w:pPr>
      <w:r>
        <w:rPr>
          <w:rFonts w:hint="eastAsia" w:ascii="仿宋" w:hAnsi="仿宋" w:eastAsia="仿宋"/>
          <w:kern w:val="0"/>
          <w:sz w:val="30"/>
          <w:szCs w:val="30"/>
        </w:rPr>
        <w:t xml:space="preserve">  </w:t>
      </w:r>
      <w:r>
        <w:rPr>
          <w:rFonts w:hint="eastAsia" w:ascii="仿宋" w:hAnsi="仿宋" w:eastAsia="仿宋" w:cs="仿宋"/>
          <w:b w:val="0"/>
          <w:bCs w:val="0"/>
          <w:sz w:val="30"/>
          <w:szCs w:val="30"/>
          <w:lang w:eastAsia="zh-CN"/>
        </w:rPr>
        <w:t>（一）</w:t>
      </w:r>
      <w:r>
        <w:rPr>
          <w:rFonts w:hint="eastAsia" w:ascii="仿宋" w:hAnsi="仿宋" w:eastAsia="仿宋" w:cs="仿宋"/>
          <w:sz w:val="30"/>
          <w:szCs w:val="30"/>
        </w:rPr>
        <w:t>(代码：2</w:t>
      </w:r>
      <w:r>
        <w:rPr>
          <w:rFonts w:hint="eastAsia" w:ascii="仿宋" w:hAnsi="仿宋" w:eastAsia="仿宋" w:cs="仿宋"/>
          <w:sz w:val="30"/>
          <w:szCs w:val="30"/>
          <w:lang w:val="en-US" w:eastAsia="zh-CN"/>
        </w:rPr>
        <w:t>010401</w:t>
      </w:r>
      <w:r>
        <w:rPr>
          <w:rFonts w:hint="eastAsia" w:ascii="仿宋" w:hAnsi="仿宋" w:eastAsia="仿宋" w:cs="仿宋"/>
          <w:sz w:val="30"/>
          <w:szCs w:val="30"/>
        </w:rPr>
        <w:t>)</w:t>
      </w:r>
      <w:r>
        <w:rPr>
          <w:rFonts w:hint="eastAsia" w:ascii="仿宋" w:hAnsi="仿宋" w:eastAsia="仿宋" w:cs="仿宋"/>
          <w:sz w:val="30"/>
          <w:szCs w:val="30"/>
          <w:lang w:eastAsia="zh-CN"/>
        </w:rPr>
        <w:t>一般公共服务支出</w:t>
      </w:r>
      <w:r>
        <w:rPr>
          <w:rFonts w:hint="eastAsia" w:ascii="仿宋" w:hAnsi="仿宋" w:eastAsia="仿宋" w:cs="仿宋"/>
          <w:sz w:val="30"/>
          <w:szCs w:val="30"/>
        </w:rPr>
        <w:t>——</w:t>
      </w:r>
      <w:r>
        <w:rPr>
          <w:rFonts w:hint="eastAsia" w:ascii="仿宋" w:hAnsi="仿宋" w:eastAsia="仿宋" w:cs="仿宋"/>
          <w:sz w:val="30"/>
          <w:szCs w:val="30"/>
          <w:lang w:eastAsia="zh-CN"/>
        </w:rPr>
        <w:t>发展与改革事务</w:t>
      </w:r>
      <w:r>
        <w:rPr>
          <w:rFonts w:hint="eastAsia" w:ascii="仿宋" w:hAnsi="仿宋" w:eastAsia="仿宋" w:cs="仿宋"/>
          <w:sz w:val="30"/>
          <w:szCs w:val="30"/>
        </w:rPr>
        <w:t>——行政运行：反映昌江区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的基本支出。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(代码：2</w:t>
      </w:r>
      <w:r>
        <w:rPr>
          <w:rFonts w:hint="eastAsia" w:ascii="仿宋" w:hAnsi="仿宋" w:eastAsia="仿宋" w:cs="仿宋"/>
          <w:sz w:val="30"/>
          <w:szCs w:val="30"/>
          <w:lang w:val="en-US" w:eastAsia="zh-CN"/>
        </w:rPr>
        <w:t>010402</w:t>
      </w:r>
      <w:r>
        <w:rPr>
          <w:rFonts w:hint="eastAsia" w:ascii="仿宋" w:hAnsi="仿宋" w:eastAsia="仿宋" w:cs="仿宋"/>
          <w:sz w:val="30"/>
          <w:szCs w:val="30"/>
        </w:rPr>
        <w:t>)</w:t>
      </w:r>
      <w:r>
        <w:rPr>
          <w:rFonts w:hint="eastAsia" w:ascii="仿宋" w:hAnsi="仿宋" w:eastAsia="仿宋" w:cs="仿宋"/>
          <w:sz w:val="30"/>
          <w:szCs w:val="30"/>
          <w:lang w:eastAsia="zh-CN"/>
        </w:rPr>
        <w:t>一般公共服务支出</w:t>
      </w:r>
      <w:r>
        <w:rPr>
          <w:rFonts w:hint="eastAsia" w:ascii="仿宋" w:hAnsi="仿宋" w:eastAsia="仿宋" w:cs="仿宋"/>
          <w:sz w:val="30"/>
          <w:szCs w:val="30"/>
        </w:rPr>
        <w:t>——</w:t>
      </w:r>
      <w:r>
        <w:rPr>
          <w:rFonts w:hint="eastAsia" w:ascii="仿宋" w:hAnsi="仿宋" w:eastAsia="仿宋" w:cs="仿宋"/>
          <w:sz w:val="30"/>
          <w:szCs w:val="30"/>
          <w:lang w:eastAsia="zh-CN"/>
        </w:rPr>
        <w:t>发展与改革事务</w:t>
      </w:r>
      <w:r>
        <w:rPr>
          <w:rFonts w:hint="eastAsia" w:ascii="仿宋" w:hAnsi="仿宋" w:eastAsia="仿宋" w:cs="仿宋"/>
          <w:sz w:val="30"/>
          <w:szCs w:val="30"/>
        </w:rPr>
        <w:t>——一般行政管理事务：反映昌江区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未单独设置项级科目的其他项目支出（包括公车补贴）</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（三）</w:t>
      </w:r>
      <w:r>
        <w:rPr>
          <w:rFonts w:hint="eastAsia" w:ascii="仿宋" w:hAnsi="仿宋" w:eastAsia="仿宋" w:cs="仿宋"/>
          <w:sz w:val="30"/>
          <w:szCs w:val="30"/>
        </w:rPr>
        <w:t>(代码：</w:t>
      </w:r>
      <w:r>
        <w:rPr>
          <w:rFonts w:hint="eastAsia" w:ascii="仿宋" w:hAnsi="仿宋" w:eastAsia="仿宋" w:cs="仿宋"/>
          <w:sz w:val="30"/>
          <w:szCs w:val="30"/>
          <w:lang w:val="en-US" w:eastAsia="zh-CN"/>
        </w:rPr>
        <w:t>2010408</w:t>
      </w:r>
      <w:r>
        <w:rPr>
          <w:rFonts w:hint="eastAsia" w:ascii="仿宋" w:hAnsi="仿宋" w:eastAsia="仿宋" w:cs="仿宋"/>
          <w:sz w:val="30"/>
          <w:szCs w:val="30"/>
        </w:rPr>
        <w:t>)</w:t>
      </w:r>
      <w:r>
        <w:rPr>
          <w:rFonts w:hint="eastAsia" w:ascii="仿宋" w:hAnsi="仿宋" w:eastAsia="仿宋" w:cs="仿宋"/>
          <w:sz w:val="30"/>
          <w:szCs w:val="30"/>
          <w:lang w:eastAsia="zh-CN"/>
        </w:rPr>
        <w:t>一般公共服务支出</w:t>
      </w:r>
      <w:r>
        <w:rPr>
          <w:rFonts w:hint="eastAsia" w:ascii="仿宋" w:hAnsi="仿宋" w:eastAsia="仿宋" w:cs="仿宋"/>
          <w:sz w:val="30"/>
          <w:szCs w:val="30"/>
        </w:rPr>
        <w:t>——</w:t>
      </w:r>
      <w:r>
        <w:rPr>
          <w:rFonts w:hint="eastAsia" w:ascii="仿宋" w:hAnsi="仿宋" w:eastAsia="仿宋" w:cs="仿宋"/>
          <w:sz w:val="30"/>
          <w:szCs w:val="30"/>
          <w:lang w:eastAsia="zh-CN"/>
        </w:rPr>
        <w:t>发展与改革事务</w:t>
      </w:r>
      <w:r>
        <w:rPr>
          <w:rFonts w:hint="eastAsia" w:ascii="仿宋" w:hAnsi="仿宋" w:eastAsia="仿宋" w:cs="仿宋"/>
          <w:sz w:val="30"/>
          <w:szCs w:val="30"/>
        </w:rPr>
        <w:t>——一</w:t>
      </w:r>
      <w:r>
        <w:rPr>
          <w:rFonts w:hint="eastAsia" w:ascii="仿宋" w:hAnsi="仿宋" w:eastAsia="仿宋" w:cs="仿宋"/>
          <w:sz w:val="30"/>
          <w:szCs w:val="30"/>
          <w:lang w:eastAsia="zh-CN"/>
        </w:rPr>
        <w:t>物价管理</w:t>
      </w:r>
      <w:r>
        <w:rPr>
          <w:rFonts w:hint="eastAsia" w:ascii="仿宋" w:hAnsi="仿宋" w:eastAsia="仿宋" w:cs="仿宋"/>
          <w:sz w:val="30"/>
          <w:szCs w:val="30"/>
        </w:rPr>
        <w:t>：反映昌江区</w:t>
      </w:r>
      <w:r>
        <w:rPr>
          <w:rFonts w:hint="eastAsia" w:ascii="仿宋" w:hAnsi="仿宋" w:eastAsia="仿宋" w:cs="仿宋"/>
          <w:sz w:val="30"/>
          <w:szCs w:val="30"/>
          <w:lang w:eastAsia="zh-CN"/>
        </w:rPr>
        <w:t>发展和改革委员会物价管理方面的支出。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(代码：2082799)社会保障和就业支出——财政对其他社会保险基金的补助——其他财政对社会保险基金的补助：反映昌江区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为职工缴纳的养老保险缴费。</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(代码：2081101)医疗卫生和计划生育支出——行政事业单位医疗——行政单位医疗：反映昌江区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为在职职工以及离退休人员缴纳的基本医疗保险。</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(六)</w:t>
      </w:r>
      <w:r>
        <w:rPr>
          <w:rFonts w:hint="eastAsia" w:ascii="仿宋" w:hAnsi="仿宋" w:eastAsia="仿宋" w:cs="仿宋"/>
          <w:sz w:val="30"/>
          <w:szCs w:val="30"/>
        </w:rPr>
        <w:t>(代码：2210201)住房保障支出——住房改革支出——住房公积金：反映昌江区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为在职职工缴纳住房公积金。</w:t>
      </w:r>
    </w:p>
    <w:p>
      <w:pPr>
        <w:ind w:firstLine="630"/>
        <w:jc w:val="left"/>
        <w:rPr>
          <w:rFonts w:hint="eastAsia" w:ascii="黑体" w:hAnsi="黑体" w:eastAsia="黑体"/>
          <w:sz w:val="30"/>
          <w:szCs w:val="30"/>
        </w:rPr>
      </w:pPr>
      <w:r>
        <w:rPr>
          <w:rFonts w:hint="eastAsia" w:ascii="黑体" w:hAnsi="黑体" w:eastAsia="黑体"/>
          <w:sz w:val="30"/>
          <w:szCs w:val="30"/>
        </w:rPr>
        <w:t>二</w:t>
      </w:r>
      <w:r>
        <w:rPr>
          <w:rFonts w:hint="eastAsia" w:ascii="黑体" w:hAnsi="黑体" w:eastAsia="黑体"/>
          <w:sz w:val="30"/>
          <w:szCs w:val="30"/>
          <w:lang w:eastAsia="zh-CN"/>
        </w:rPr>
        <w:t>、</w:t>
      </w:r>
      <w:r>
        <w:rPr>
          <w:rFonts w:hint="eastAsia" w:ascii="黑体" w:hAnsi="黑体" w:eastAsia="黑体"/>
          <w:sz w:val="30"/>
          <w:szCs w:val="30"/>
        </w:rPr>
        <w:t>经济科目说明</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（代码：301）工资福利支出：反映昌江区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按规定开支的在职职工以及编制外聘用人员的各类劳动报酬，以及为上述人员缴纳的各项社会保险缴费（不包括住房公积金缴费）。</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（代码：302）商品和服务支出：反映昌江区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购买商品和服务的支出，不包括购买固定资产，包括购买办公用品、印刷，差旅、会议、培训等支出。</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（三）</w:t>
      </w:r>
      <w:r>
        <w:rPr>
          <w:rFonts w:hint="eastAsia" w:ascii="仿宋" w:hAnsi="仿宋" w:eastAsia="仿宋" w:cs="仿宋"/>
          <w:sz w:val="30"/>
          <w:szCs w:val="30"/>
        </w:rPr>
        <w:t>（代码：303）对个人和家庭的补助支出：</w:t>
      </w:r>
      <w:r>
        <w:rPr>
          <w:rFonts w:hint="eastAsia" w:ascii="仿宋" w:hAnsi="仿宋" w:eastAsia="仿宋" w:cs="仿宋"/>
          <w:sz w:val="30"/>
          <w:szCs w:val="30"/>
          <w:lang w:eastAsia="zh-CN"/>
        </w:rPr>
        <w:t>反映</w:t>
      </w:r>
      <w:r>
        <w:rPr>
          <w:rFonts w:hint="eastAsia" w:ascii="仿宋" w:hAnsi="仿宋" w:eastAsia="仿宋" w:cs="仿宋"/>
          <w:sz w:val="30"/>
          <w:szCs w:val="30"/>
        </w:rPr>
        <w:t>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用于对个人和家庭的补助支出，包括离退休费（退休费发至5月份），抚恤金、生活补助、住房公积金缴费，奖励金等支出</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（代码：310）其他资本性支出：反映昌江区</w:t>
      </w:r>
      <w:r>
        <w:rPr>
          <w:rFonts w:hint="eastAsia" w:ascii="仿宋" w:hAnsi="仿宋" w:eastAsia="仿宋" w:cs="仿宋"/>
          <w:sz w:val="30"/>
          <w:szCs w:val="30"/>
          <w:lang w:eastAsia="zh-CN"/>
        </w:rPr>
        <w:t>发展和改革委员会</w:t>
      </w:r>
      <w:r>
        <w:rPr>
          <w:rFonts w:hint="eastAsia" w:ascii="仿宋" w:hAnsi="仿宋" w:eastAsia="仿宋" w:cs="仿宋"/>
          <w:sz w:val="30"/>
          <w:szCs w:val="30"/>
        </w:rPr>
        <w:t>购买固定资产以及装修会议室等支出。</w:t>
      </w:r>
    </w:p>
    <w:p>
      <w:pPr>
        <w:spacing w:line="60" w:lineRule="auto"/>
        <w:ind w:firstLine="600" w:firstLineChars="200"/>
        <w:rPr>
          <w:rFonts w:hint="eastAsia" w:ascii="仿宋" w:hAnsi="仿宋" w:eastAsia="仿宋" w:cs="仿宋"/>
          <w:kern w:val="0"/>
          <w:sz w:val="30"/>
          <w:szCs w:val="30"/>
        </w:rPr>
      </w:pPr>
      <w:r>
        <w:rPr>
          <w:rFonts w:hint="eastAsia" w:ascii="黑体" w:hAnsi="黑体" w:eastAsia="黑体"/>
          <w:sz w:val="30"/>
          <w:szCs w:val="30"/>
        </w:rPr>
        <w:t>三</w:t>
      </w:r>
      <w:r>
        <w:rPr>
          <w:rFonts w:hint="eastAsia" w:ascii="黑体" w:hAnsi="黑体" w:eastAsia="黑体"/>
          <w:sz w:val="30"/>
          <w:szCs w:val="30"/>
          <w:lang w:eastAsia="zh-CN"/>
        </w:rPr>
        <w:t>、</w:t>
      </w:r>
      <w:r>
        <w:rPr>
          <w:rFonts w:hint="eastAsia" w:ascii="黑体" w:hAnsi="黑体" w:eastAsia="黑体"/>
          <w:sz w:val="30"/>
          <w:szCs w:val="30"/>
        </w:rPr>
        <w:t>“三公”经费支出：</w:t>
      </w:r>
      <w:r>
        <w:rPr>
          <w:rFonts w:hint="eastAsia" w:ascii="仿宋" w:hAnsi="仿宋" w:eastAsia="仿宋" w:cs="仿宋"/>
          <w:kern w:val="0"/>
          <w:sz w:val="30"/>
          <w:szCs w:val="30"/>
        </w:rPr>
        <w:t>反映昌江区</w:t>
      </w:r>
      <w:r>
        <w:rPr>
          <w:rFonts w:hint="eastAsia" w:ascii="仿宋" w:hAnsi="仿宋" w:eastAsia="仿宋" w:cs="仿宋"/>
          <w:kern w:val="0"/>
          <w:sz w:val="30"/>
          <w:szCs w:val="30"/>
          <w:lang w:eastAsia="zh-CN"/>
        </w:rPr>
        <w:t>发展和改革委员会2018</w:t>
      </w:r>
      <w:r>
        <w:rPr>
          <w:rFonts w:hint="eastAsia" w:ascii="仿宋" w:hAnsi="仿宋" w:eastAsia="仿宋" w:cs="仿宋"/>
          <w:kern w:val="0"/>
          <w:sz w:val="30"/>
          <w:szCs w:val="30"/>
        </w:rPr>
        <w:t>年度“三公”经费开支情况，包括出国出境费、接待费、公务用车运行维护费。</w:t>
      </w:r>
    </w:p>
    <w:p>
      <w:pPr>
        <w:spacing w:line="60" w:lineRule="auto"/>
        <w:ind w:firstLine="600" w:firstLineChars="200"/>
        <w:rPr>
          <w:rFonts w:hint="eastAsia" w:ascii="仿宋" w:hAnsi="仿宋" w:eastAsia="仿宋" w:cs="仿宋"/>
          <w:sz w:val="30"/>
          <w:szCs w:val="30"/>
        </w:rPr>
      </w:pPr>
      <w:r>
        <w:rPr>
          <w:rFonts w:hint="eastAsia" w:ascii="黑体" w:hAnsi="黑体" w:eastAsia="黑体"/>
          <w:sz w:val="30"/>
          <w:szCs w:val="30"/>
        </w:rPr>
        <w:t>四、机关运行经费：</w:t>
      </w:r>
      <w:r>
        <w:rPr>
          <w:rFonts w:hint="eastAsia" w:ascii="仿宋" w:hAnsi="仿宋" w:eastAsia="仿宋" w:cs="仿宋"/>
          <w:kern w:val="0"/>
          <w:sz w:val="30"/>
          <w:szCs w:val="30"/>
        </w:rPr>
        <w:t>反映昌江区</w:t>
      </w:r>
      <w:r>
        <w:rPr>
          <w:rFonts w:hint="eastAsia" w:ascii="仿宋" w:hAnsi="仿宋" w:eastAsia="仿宋" w:cs="仿宋"/>
          <w:kern w:val="0"/>
          <w:sz w:val="30"/>
          <w:szCs w:val="30"/>
          <w:lang w:eastAsia="zh-CN"/>
        </w:rPr>
        <w:t>发展和改革委员会2018</w:t>
      </w:r>
      <w:r>
        <w:rPr>
          <w:rFonts w:hint="eastAsia" w:ascii="仿宋" w:hAnsi="仿宋" w:eastAsia="仿宋" w:cs="仿宋"/>
          <w:kern w:val="0"/>
          <w:sz w:val="30"/>
          <w:szCs w:val="30"/>
        </w:rPr>
        <w:t>年度机关日常运行经费开支，包括办公费、印刷费、差旅费、公车补贴、零星会议费、培训费、办公用品购置等。</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7D11F"/>
    <w:multiLevelType w:val="singleLevel"/>
    <w:tmpl w:val="59F7D11F"/>
    <w:lvl w:ilvl="0" w:tentative="0">
      <w:start w:val="2"/>
      <w:numFmt w:val="chineseCounting"/>
      <w:suff w:val="nothing"/>
      <w:lvlText w:val="%1、"/>
      <w:lvlJc w:val="left"/>
    </w:lvl>
  </w:abstractNum>
  <w:abstractNum w:abstractNumId="1">
    <w:nsid w:val="5E33D981"/>
    <w:multiLevelType w:val="singleLevel"/>
    <w:tmpl w:val="5E33D981"/>
    <w:lvl w:ilvl="0" w:tentative="0">
      <w:start w:val="1"/>
      <w:numFmt w:val="chineseCounting"/>
      <w:suff w:val="nothing"/>
      <w:lvlText w:val="（%1）"/>
      <w:lvlJc w:val="left"/>
      <w:rPr>
        <w:rFonts w:hint="eastAsia"/>
      </w:rPr>
    </w:lvl>
  </w:abstractNum>
  <w:abstractNum w:abstractNumId="2">
    <w:nsid w:val="60BC7D89"/>
    <w:multiLevelType w:val="singleLevel"/>
    <w:tmpl w:val="60BC7D89"/>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zQ1ODdkOTdmZTYzODRmNGUyOTAyYzdhZmQzYTUifQ=="/>
  </w:docVars>
  <w:rsids>
    <w:rsidRoot w:val="00172A27"/>
    <w:rsid w:val="00072123"/>
    <w:rsid w:val="00134E3E"/>
    <w:rsid w:val="001E16E5"/>
    <w:rsid w:val="00226F24"/>
    <w:rsid w:val="002E6EE6"/>
    <w:rsid w:val="0039141B"/>
    <w:rsid w:val="0042258B"/>
    <w:rsid w:val="0044614B"/>
    <w:rsid w:val="00563B63"/>
    <w:rsid w:val="005C1BDA"/>
    <w:rsid w:val="00617696"/>
    <w:rsid w:val="00646930"/>
    <w:rsid w:val="00684524"/>
    <w:rsid w:val="008159E2"/>
    <w:rsid w:val="00830F13"/>
    <w:rsid w:val="00897FBF"/>
    <w:rsid w:val="00924C01"/>
    <w:rsid w:val="009347EC"/>
    <w:rsid w:val="009C73F0"/>
    <w:rsid w:val="00A1023C"/>
    <w:rsid w:val="00B84CF0"/>
    <w:rsid w:val="00CC43AF"/>
    <w:rsid w:val="00CE1B3F"/>
    <w:rsid w:val="00D3481C"/>
    <w:rsid w:val="00DC7317"/>
    <w:rsid w:val="00E900AE"/>
    <w:rsid w:val="00EC4EF7"/>
    <w:rsid w:val="00FD5D60"/>
    <w:rsid w:val="094D790A"/>
    <w:rsid w:val="0FC23EBC"/>
    <w:rsid w:val="171C403D"/>
    <w:rsid w:val="1D4D235E"/>
    <w:rsid w:val="28210B1B"/>
    <w:rsid w:val="2D2F35C1"/>
    <w:rsid w:val="38C734C0"/>
    <w:rsid w:val="5C1D5AE7"/>
    <w:rsid w:val="5FFF33C8"/>
    <w:rsid w:val="6CB20E55"/>
    <w:rsid w:val="73DD29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23</Pages>
  <Words>8068</Words>
  <Characters>8582</Characters>
  <Lines>24</Lines>
  <Paragraphs>6</Paragraphs>
  <TotalTime>1</TotalTime>
  <ScaleCrop>false</ScaleCrop>
  <LinksUpToDate>false</LinksUpToDate>
  <CharactersWithSpaces>8696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2011-09-13T03:13:00Z</dcterms:created>
  <dc:creator>hushuping</dc:creator>
  <cp:lastModifiedBy>你是我唯一的烟火</cp:lastModifiedBy>
  <dcterms:modified xsi:type="dcterms:W3CDTF">2023-05-19T07:37:32Z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DA2CE819140C46E48F65002F2135219B_13</vt:lpwstr>
  </property>
</Properties>
</file>