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景德镇市昌江区发展和改革委员会2023年度部门决算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景德镇市昌江区发展和改革委员会概况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景德镇市昌江区发展和改革委员会概况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pStyle w:val="4"/>
        <w:spacing w:before="300" w:beforeAutospacing="0" w:after="300" w:afterAutospacing="0" w:line="378" w:lineRule="atLeast"/>
        <w:ind w:left="346" w:firstLine="420"/>
        <w:rPr>
          <w:sz w:val="30"/>
          <w:szCs w:val="30"/>
        </w:rPr>
      </w:pPr>
      <w:r>
        <w:rPr>
          <w:rFonts w:hint="eastAsia"/>
          <w:color w:val="000000"/>
          <w:sz w:val="30"/>
          <w:szCs w:val="30"/>
        </w:rPr>
        <w:t>（一）拟订本区国民经济和社会发展战略、中长期规划和年度计划，并组织实施；根据国家和省、市宏观调控要求，统筹协调经济社会发展，研究提出经济社会发展、经济结构调整的目标和政策措施，提出综合运用各种调控手段的建议；受区政府委托向区人大提交本区国民经济和社会发展计划的报告。</w:t>
      </w:r>
    </w:p>
    <w:p>
      <w:pPr>
        <w:pStyle w:val="4"/>
        <w:spacing w:before="300" w:beforeAutospacing="0" w:after="300" w:afterAutospacing="0" w:line="378" w:lineRule="atLeast"/>
        <w:ind w:left="346" w:firstLine="420"/>
        <w:rPr>
          <w:sz w:val="30"/>
          <w:szCs w:val="30"/>
        </w:rPr>
      </w:pPr>
      <w:r>
        <w:rPr>
          <w:rFonts w:hint="eastAsia"/>
          <w:color w:val="000000"/>
          <w:sz w:val="30"/>
          <w:szCs w:val="30"/>
        </w:rPr>
        <w:t>（二）统筹本区经济信息的收集、整理、研究工作，加强对本区国民经济运行监测、预测；综合研究本区国民经济和社会发展方面的重大问题，提出政策措施和建议；负责追踪区政府决策的规划、计划及重大事项的执行落实情况，协调解决执行中存在的问题。</w:t>
      </w:r>
    </w:p>
    <w:p>
      <w:pPr>
        <w:pStyle w:val="4"/>
        <w:spacing w:before="300" w:beforeAutospacing="0" w:after="300" w:afterAutospacing="0" w:line="378" w:lineRule="atLeast"/>
        <w:ind w:left="346" w:firstLine="420"/>
        <w:rPr>
          <w:sz w:val="30"/>
          <w:szCs w:val="30"/>
        </w:rPr>
      </w:pPr>
      <w:r>
        <w:rPr>
          <w:rFonts w:hint="eastAsia"/>
          <w:color w:val="000000"/>
          <w:sz w:val="30"/>
          <w:szCs w:val="30"/>
        </w:rPr>
        <w:t>（三）负责汇总和分析本区财政、金融等方面情况，参与研究街乡财政体制，提出投融资政策建议，拟订投融资体制改革方案并组织实施；研究拟订政府重大项目融资方案。</w:t>
      </w:r>
    </w:p>
    <w:p>
      <w:pPr>
        <w:pStyle w:val="4"/>
        <w:spacing w:before="300" w:beforeAutospacing="0" w:after="300" w:afterAutospacing="0" w:line="378" w:lineRule="atLeast"/>
        <w:ind w:left="346" w:firstLine="420"/>
        <w:rPr>
          <w:sz w:val="30"/>
          <w:szCs w:val="30"/>
        </w:rPr>
      </w:pPr>
      <w:r>
        <w:rPr>
          <w:rFonts w:hint="eastAsia"/>
          <w:color w:val="000000"/>
          <w:sz w:val="30"/>
          <w:szCs w:val="30"/>
        </w:rPr>
        <w:t>（四）承担指导推进和综合协调本区经济体制改革的责任，研究经济体制改革的重大问题，组织拟订综合性经济体制改革方案，协调有关专项经济体制改革；研究各个功能区改革与发展的重大问题，并协调相关政策的落实。</w:t>
      </w:r>
    </w:p>
    <w:p>
      <w:pPr>
        <w:pStyle w:val="4"/>
        <w:spacing w:before="300" w:beforeAutospacing="0" w:after="300" w:afterAutospacing="0" w:line="378" w:lineRule="atLeast"/>
        <w:ind w:left="346" w:firstLine="420"/>
        <w:rPr>
          <w:sz w:val="30"/>
          <w:szCs w:val="30"/>
        </w:rPr>
      </w:pPr>
      <w:r>
        <w:rPr>
          <w:rFonts w:hint="eastAsia"/>
          <w:color w:val="000000"/>
          <w:sz w:val="30"/>
          <w:szCs w:val="30"/>
        </w:rPr>
        <w:t>（五）承担规划本区重大建设项目的责任；提出本区全社会固定资产投资规模、投资结构和资金平衡方案，组织拟订本区全社会固定资产投资和重大项目中长期规划和年度实施计划，统筹安排本区财政性建设资金，组织拟订并实施区政府投资计划；按权限审批、核准、审核和上报投资建设项目；负责组织拟订本区基础设施发展战略、中长期规划并协调实施；引导民间资金用于固定资产投资的方向，按权限审批和上报外商投资项目；组织开展重大建设项目稽查；按规定指导和协调本区招标投标工作。</w:t>
      </w:r>
    </w:p>
    <w:p>
      <w:pPr>
        <w:pStyle w:val="4"/>
        <w:spacing w:before="300" w:beforeAutospacing="0" w:after="300" w:afterAutospacing="0" w:line="378" w:lineRule="atLeast"/>
        <w:ind w:left="346" w:firstLine="420"/>
        <w:rPr>
          <w:sz w:val="30"/>
          <w:szCs w:val="30"/>
        </w:rPr>
      </w:pPr>
      <w:r>
        <w:rPr>
          <w:rFonts w:hint="eastAsia"/>
          <w:color w:val="000000"/>
          <w:sz w:val="30"/>
          <w:szCs w:val="30"/>
        </w:rPr>
        <w:t>（六）统筹规划和综合协调产业发展，组织拟订综合性产业发展战略、规划和政策，推进区域经济结构战略性调整，协调推进各行业的发展。</w:t>
      </w:r>
    </w:p>
    <w:p>
      <w:pPr>
        <w:pStyle w:val="4"/>
        <w:spacing w:before="300" w:beforeAutospacing="0" w:after="300" w:afterAutospacing="0" w:line="378" w:lineRule="atLeast"/>
        <w:ind w:left="346" w:firstLine="420"/>
        <w:rPr>
          <w:sz w:val="30"/>
          <w:szCs w:val="30"/>
        </w:rPr>
      </w:pPr>
      <w:r>
        <w:rPr>
          <w:rFonts w:hint="eastAsia"/>
          <w:color w:val="000000"/>
          <w:sz w:val="30"/>
          <w:szCs w:val="30"/>
        </w:rPr>
        <w:t>（七）统筹推进实体经济发展。负责本区实体经济的中长期发展和布局规划、运行态势监测和分析，研究和拟订政策措施、发展方案并组织实施，统筹重大项目落实和推进，提高实体经济发展质量和效益，推进结构优化和升级，促进本区实体经济和虚拟经济的均衡发展；抓好工业资源的开发利用；加大对重大产业项目的协调推进力度，促进重大产业调整战略的落实和实施。</w:t>
      </w:r>
    </w:p>
    <w:p>
      <w:pPr>
        <w:pStyle w:val="4"/>
        <w:spacing w:before="300" w:beforeAutospacing="0" w:after="300" w:afterAutospacing="0" w:line="378" w:lineRule="atLeast"/>
        <w:ind w:left="346" w:firstLine="420"/>
        <w:rPr>
          <w:sz w:val="30"/>
          <w:szCs w:val="30"/>
        </w:rPr>
      </w:pPr>
      <w:r>
        <w:rPr>
          <w:rFonts w:hint="eastAsia"/>
          <w:color w:val="000000"/>
          <w:sz w:val="30"/>
          <w:szCs w:val="30"/>
        </w:rPr>
        <w:t>（八）负责组织经济运行调度工作，加强企业帮扶工作；做好中央、市在区企业服务和政策落实工作；指导和促进非公企业、中小企业发展；拟订促进中小企业发展和非国有经济发展的政策和措施，协调解决重大问题；建立和完善企业服务体系。</w:t>
      </w:r>
    </w:p>
    <w:p>
      <w:pPr>
        <w:pStyle w:val="4"/>
        <w:spacing w:before="300" w:beforeAutospacing="0" w:after="300" w:afterAutospacing="0" w:line="378" w:lineRule="atLeast"/>
        <w:ind w:left="346" w:firstLine="420"/>
        <w:rPr>
          <w:sz w:val="30"/>
          <w:szCs w:val="30"/>
        </w:rPr>
      </w:pPr>
      <w:r>
        <w:rPr>
          <w:rFonts w:hint="eastAsia"/>
          <w:color w:val="000000"/>
          <w:sz w:val="30"/>
          <w:szCs w:val="30"/>
        </w:rPr>
        <w:t>（九）组织拟订区域统筹发展战略、规划和重大政策，研究推动功能区和城乡一体化的发展战略和措施。</w:t>
      </w:r>
    </w:p>
    <w:p>
      <w:pPr>
        <w:pStyle w:val="4"/>
        <w:spacing w:before="300" w:beforeAutospacing="0" w:after="300" w:afterAutospacing="0" w:line="378" w:lineRule="atLeast"/>
        <w:ind w:left="346" w:firstLine="420"/>
        <w:rPr>
          <w:sz w:val="30"/>
          <w:szCs w:val="30"/>
        </w:rPr>
      </w:pPr>
      <w:r>
        <w:rPr>
          <w:rFonts w:hint="eastAsia"/>
          <w:color w:val="000000"/>
          <w:sz w:val="30"/>
          <w:szCs w:val="30"/>
        </w:rPr>
        <w:t>（十）承担本区价格管理职责；贯彻实施国家和省、市的价格宏观调控政策，组织落实省、市政府下达的定调价方案；负责监测分析价格运行情况；按规定权限作价原则和办法制定、调整商品价格和收费标准，并组织价格听证会；依法查处价格违法行为和价格垄断行为等；依法处理有关商品价格和收费的重大价格违法案件。</w:t>
      </w:r>
    </w:p>
    <w:p>
      <w:pPr>
        <w:pStyle w:val="4"/>
        <w:spacing w:before="300" w:beforeAutospacing="0" w:after="300" w:afterAutospacing="0" w:line="378" w:lineRule="atLeast"/>
        <w:ind w:left="346" w:firstLine="420"/>
        <w:rPr>
          <w:sz w:val="30"/>
          <w:szCs w:val="30"/>
        </w:rPr>
      </w:pPr>
      <w:r>
        <w:rPr>
          <w:rFonts w:hint="eastAsia"/>
          <w:color w:val="000000"/>
          <w:sz w:val="30"/>
          <w:szCs w:val="30"/>
        </w:rPr>
        <w:t>（十一）负责本区社会发展与国民经济发展的政策衔接，组织拟订社会发展战略、总体规划和年度计划；参与拟订各项社会事业发展政策，推进社会事业建设，提出经济与社会协调发展、相互促进的政策措施，完善社会保障与经济协调发展的政策建议，协调社会事业发展与改革的重大问题。</w:t>
      </w:r>
    </w:p>
    <w:p>
      <w:pPr>
        <w:pStyle w:val="4"/>
        <w:spacing w:before="300" w:beforeAutospacing="0" w:after="300" w:afterAutospacing="0" w:line="378" w:lineRule="atLeast"/>
        <w:ind w:left="346" w:firstLine="420"/>
        <w:rPr>
          <w:sz w:val="30"/>
          <w:szCs w:val="30"/>
        </w:rPr>
      </w:pPr>
      <w:r>
        <w:rPr>
          <w:rFonts w:hint="eastAsia"/>
          <w:color w:val="000000"/>
          <w:sz w:val="30"/>
          <w:szCs w:val="30"/>
        </w:rPr>
        <w:t>（十二）推进可持续发展战略，参与编制本区土地利用总体规划和土地供应计划；负责本区节能减排的综合协调工作；组织拟订发展循环经济、全社会能源资源节约和综合利用的规划及政策措施，并协调实施；参与编制生态建设、环境保护规划、能源资源节约和综合利用的重大问题，指导资源节约与综合利用，协调环保产业发展；组织实施节能监察和考核工作。</w:t>
      </w:r>
    </w:p>
    <w:p>
      <w:pPr>
        <w:pStyle w:val="4"/>
        <w:spacing w:before="300" w:beforeAutospacing="0" w:after="300" w:afterAutospacing="0" w:line="378" w:lineRule="atLeast"/>
        <w:ind w:left="346" w:firstLine="420"/>
        <w:rPr>
          <w:sz w:val="30"/>
          <w:szCs w:val="30"/>
        </w:rPr>
      </w:pPr>
      <w:r>
        <w:rPr>
          <w:rFonts w:hint="eastAsia"/>
          <w:color w:val="000000"/>
          <w:sz w:val="30"/>
          <w:szCs w:val="30"/>
        </w:rPr>
        <w:t>（十三）负责研究提出税源建设长效机制和工作方案，并组织落实；负责税源建设工作的监测、预测和分析，做好重点问题的研究与政策措施的制定；组织协调相关职能部门为街乡税源建设提供服务，做好与驻区重点纳税企业之间的联系沟通；负责对重点企业及各部门、街乡的税源建设奖励工作。</w:t>
      </w:r>
    </w:p>
    <w:p>
      <w:pPr>
        <w:widowControl/>
        <w:spacing w:before="300" w:after="300"/>
        <w:ind w:left="346"/>
        <w:jc w:val="left"/>
        <w:rPr>
          <w:sz w:val="30"/>
          <w:szCs w:val="30"/>
        </w:rPr>
      </w:pPr>
      <w:r>
        <w:rPr>
          <w:rFonts w:hint="eastAsia" w:ascii="宋体" w:hAnsi="宋体" w:cs="宋体"/>
          <w:color w:val="000000"/>
          <w:kern w:val="0"/>
          <w:sz w:val="30"/>
          <w:szCs w:val="30"/>
          <w:lang w:bidi="ar"/>
        </w:rPr>
        <w:t xml:space="preserve">（十四）负责组织拟订本区国民经济动员规划、计划；研究国民经济动员与国民经济、国防建设的关系，协调相关重大问题；负责组织实施国民经济动员有关工作。 </w:t>
      </w:r>
    </w:p>
    <w:p>
      <w:pPr>
        <w:pStyle w:val="4"/>
        <w:spacing w:before="300" w:beforeAutospacing="0" w:after="300" w:afterAutospacing="0" w:line="378" w:lineRule="atLeast"/>
        <w:ind w:firstLine="300" w:firstLineChars="100"/>
        <w:rPr>
          <w:sz w:val="30"/>
          <w:szCs w:val="30"/>
        </w:rPr>
      </w:pPr>
      <w:r>
        <w:rPr>
          <w:rFonts w:hint="eastAsia"/>
          <w:color w:val="000000"/>
          <w:sz w:val="30"/>
          <w:szCs w:val="30"/>
        </w:rPr>
        <w:t>（十五）承办区委、区政府交办的其他事项。</w:t>
      </w:r>
    </w:p>
    <w:p>
      <w:pPr>
        <w:ind w:firstLine="630"/>
        <w:jc w:val="left"/>
        <w:rPr>
          <w:rFonts w:hint="eastAsia" w:ascii="仿宋_GB2312" w:hAnsi="仿宋_GB2312" w:eastAsia="仿宋_GB2312"/>
          <w:sz w:val="32"/>
          <w:szCs w:val="32"/>
        </w:rPr>
      </w:pPr>
    </w:p>
    <w:p>
      <w:pPr>
        <w:jc w:val="left"/>
        <w:rPr>
          <w:rFonts w:hint="eastAsia" w:ascii="仿宋_GB2312" w:hAnsi="仿宋_GB2312" w:eastAsia="仿宋_GB2312"/>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9"/>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1</w:t>
            </w:r>
          </w:p>
        </w:tc>
        <w:tc>
          <w:tcPr>
            <w:tcW w:w="4769" w:type="dxa"/>
            <w:shd w:val="clear" w:color="auto" w:fill="auto"/>
            <w:noWrap w:val="0"/>
            <w:vAlign w:val="top"/>
          </w:tcPr>
          <w:p>
            <w:pPr>
              <w:jc w:val="left"/>
              <w:rPr>
                <w:rFonts w:hint="default" w:ascii="仿宋_GB2312" w:hAnsi="仿宋_GB2312" w:eastAsia="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景德镇市昌江区改革和发展委员会</w:t>
            </w:r>
          </w:p>
        </w:tc>
        <w:tc>
          <w:tcPr>
            <w:tcW w:w="2348" w:type="dxa"/>
            <w:shd w:val="clear" w:color="auto" w:fill="auto"/>
            <w:noWrap w:val="0"/>
            <w:vAlign w:val="top"/>
          </w:tcPr>
          <w:p>
            <w:pPr>
              <w:jc w:val="left"/>
              <w:rPr>
                <w:rFonts w:hint="eastAsia" w:ascii="仿宋_GB2312" w:hAnsi="仿宋_GB2312" w:eastAsia="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olor w:val="000000" w:themeColor="text1"/>
                <w:sz w:val="30"/>
                <w:szCs w:val="30"/>
                <w:highlight w:val="none"/>
                <w:lang w:val="en-US" w:eastAsia="zh-CN"/>
                <w14:textFill>
                  <w14:solidFill>
                    <w14:schemeClr w14:val="tx1"/>
                  </w14:solidFill>
                </w14:textFill>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rPr>
      </w:pPr>
      <w:r>
        <w:rPr>
          <w:rFonts w:hint="eastAsia" w:ascii="仿宋_GB2312" w:hAnsi="仿宋_GB2312" w:eastAsia="仿宋_GB2312"/>
          <w:sz w:val="32"/>
          <w:szCs w:val="32"/>
        </w:rPr>
        <w:t>本部门年末在职人员12人，离退休人员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1,124.24</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507.78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pPr>
              <w:jc w:val="right"/>
            </w:pPr>
            <w:r>
              <w:rPr>
                <w:rFonts w:ascii="宋体" w:hAnsi="宋体" w:eastAsia="宋体" w:cs="宋体"/>
                <w:b w:val="0"/>
                <w:i w:val="0"/>
                <w:color w:val="000000"/>
                <w:sz w:val="14"/>
              </w:rPr>
              <w:t>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pPr>
              <w:jc w:val="right"/>
            </w:pPr>
            <w:r>
              <w:rPr>
                <w:rFonts w:ascii="宋体" w:hAnsi="宋体" w:eastAsia="宋体" w:cs="宋体"/>
                <w:b w:val="0"/>
                <w:i w:val="0"/>
                <w:color w:val="000000"/>
                <w:sz w:val="14"/>
              </w:rPr>
              <w:t>150.00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1.21</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192.57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5.78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pPr>
              <w:jc w:val="right"/>
            </w:pPr>
            <w:r>
              <w:rPr>
                <w:rFonts w:ascii="宋体" w:hAnsi="宋体" w:eastAsia="宋体" w:cs="宋体"/>
                <w:b w:val="0"/>
                <w:i w:val="0"/>
                <w:color w:val="000000"/>
                <w:sz w:val="14"/>
              </w:rPr>
              <w:t>258.14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1,125.45</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1,132.15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7.90</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1,133.35</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1,133.35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1,125.45</w:t>
            </w:r>
          </w:p>
        </w:tc>
        <w:tc>
          <w:tcPr>
            <w:tcW w:w="900" w:type="dxa"/>
            <w:vAlign w:val="center"/>
          </w:tcPr>
          <w:p>
            <w:pPr>
              <w:jc w:val="right"/>
            </w:pPr>
            <w:r>
              <w:rPr>
                <w:rFonts w:ascii="宋体" w:hAnsi="宋体" w:eastAsia="宋体" w:cs="宋体"/>
                <w:b w:val="0"/>
                <w:i w:val="0"/>
                <w:color w:val="000000"/>
                <w:sz w:val="9"/>
              </w:rPr>
              <w:t>1,124.24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501.09</w:t>
            </w:r>
          </w:p>
        </w:tc>
        <w:tc>
          <w:tcPr>
            <w:tcW w:w="900" w:type="dxa"/>
            <w:vAlign w:val="center"/>
          </w:tcPr>
          <w:p>
            <w:pPr>
              <w:jc w:val="right"/>
            </w:pPr>
            <w:r>
              <w:rPr>
                <w:rFonts w:ascii="宋体" w:hAnsi="宋体" w:eastAsia="宋体" w:cs="宋体"/>
                <w:b w:val="0"/>
                <w:i w:val="0"/>
                <w:color w:val="000000"/>
                <w:sz w:val="9"/>
              </w:rPr>
              <w:t>499.88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20104</w:t>
            </w:r>
          </w:p>
        </w:tc>
        <w:tc>
          <w:tcPr>
            <w:tcW w:w="1420" w:type="dxa"/>
            <w:vAlign w:val="center"/>
          </w:tcPr>
          <w:p>
            <w:pPr>
              <w:jc w:val="left"/>
            </w:pPr>
            <w:r>
              <w:rPr>
                <w:rFonts w:ascii="宋体" w:hAnsi="宋体" w:eastAsia="宋体" w:cs="宋体"/>
                <w:b w:val="0"/>
                <w:i w:val="0"/>
                <w:color w:val="000000"/>
                <w:sz w:val="9"/>
              </w:rPr>
              <w:t>发展与改革事务</w:t>
            </w:r>
          </w:p>
        </w:tc>
        <w:tc>
          <w:tcPr>
            <w:tcW w:w="860" w:type="dxa"/>
            <w:vAlign w:val="center"/>
          </w:tcPr>
          <w:p>
            <w:pPr>
              <w:jc w:val="right"/>
            </w:pPr>
            <w:r>
              <w:rPr>
                <w:rFonts w:ascii="宋体" w:hAnsi="宋体" w:eastAsia="宋体" w:cs="宋体"/>
                <w:b w:val="0"/>
                <w:i w:val="0"/>
                <w:color w:val="000000"/>
                <w:sz w:val="9"/>
              </w:rPr>
              <w:t>501.09</w:t>
            </w:r>
          </w:p>
        </w:tc>
        <w:tc>
          <w:tcPr>
            <w:tcW w:w="900" w:type="dxa"/>
            <w:vAlign w:val="center"/>
          </w:tcPr>
          <w:p>
            <w:pPr>
              <w:jc w:val="right"/>
            </w:pPr>
            <w:r>
              <w:rPr>
                <w:rFonts w:ascii="宋体" w:hAnsi="宋体" w:eastAsia="宋体" w:cs="宋体"/>
                <w:b w:val="0"/>
                <w:i w:val="0"/>
                <w:color w:val="000000"/>
                <w:sz w:val="9"/>
              </w:rPr>
              <w:t>499.88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2010401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147.69</w:t>
            </w:r>
          </w:p>
        </w:tc>
        <w:tc>
          <w:tcPr>
            <w:tcW w:w="900" w:type="dxa"/>
            <w:vAlign w:val="center"/>
          </w:tcPr>
          <w:p>
            <w:pPr>
              <w:jc w:val="right"/>
            </w:pPr>
            <w:r>
              <w:rPr>
                <w:rFonts w:ascii="宋体" w:hAnsi="宋体" w:eastAsia="宋体" w:cs="宋体"/>
                <w:b w:val="0"/>
                <w:i w:val="0"/>
                <w:color w:val="000000"/>
                <w:sz w:val="9"/>
              </w:rPr>
              <w:t>147.69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2010402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353.40</w:t>
            </w:r>
          </w:p>
        </w:tc>
        <w:tc>
          <w:tcPr>
            <w:tcW w:w="900" w:type="dxa"/>
            <w:vAlign w:val="center"/>
          </w:tcPr>
          <w:p>
            <w:pPr>
              <w:jc w:val="right"/>
            </w:pPr>
            <w:r>
              <w:rPr>
                <w:rFonts w:ascii="宋体" w:hAnsi="宋体" w:eastAsia="宋体" w:cs="宋体"/>
                <w:b w:val="0"/>
                <w:i w:val="0"/>
                <w:color w:val="000000"/>
                <w:sz w:val="9"/>
              </w:rPr>
              <w:t>352.19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w:t>
            </w:r>
          </w:p>
        </w:tc>
        <w:tc>
          <w:tcPr>
            <w:tcW w:w="1420" w:type="dxa"/>
            <w:vAlign w:val="center"/>
          </w:tcPr>
          <w:p>
            <w:pPr>
              <w:jc w:val="left"/>
            </w:pPr>
            <w:r>
              <w:rPr>
                <w:rFonts w:ascii="宋体" w:hAnsi="宋体" w:eastAsia="宋体" w:cs="宋体"/>
                <w:b w:val="0"/>
                <w:i w:val="0"/>
                <w:color w:val="000000"/>
                <w:sz w:val="9"/>
              </w:rPr>
              <w:t>国防支出</w:t>
            </w:r>
          </w:p>
        </w:tc>
        <w:tc>
          <w:tcPr>
            <w:tcW w:w="860" w:type="dxa"/>
            <w:vAlign w:val="center"/>
          </w:tcPr>
          <w:p>
            <w:pPr>
              <w:jc w:val="right"/>
            </w:pPr>
            <w:r>
              <w:rPr>
                <w:rFonts w:ascii="宋体" w:hAnsi="宋体" w:eastAsia="宋体" w:cs="宋体"/>
                <w:b w:val="0"/>
                <w:i w:val="0"/>
                <w:color w:val="000000"/>
                <w:sz w:val="9"/>
              </w:rPr>
              <w:t>4.94</w:t>
            </w:r>
          </w:p>
        </w:tc>
        <w:tc>
          <w:tcPr>
            <w:tcW w:w="900" w:type="dxa"/>
            <w:vAlign w:val="center"/>
          </w:tcPr>
          <w:p>
            <w:pPr>
              <w:jc w:val="right"/>
            </w:pPr>
            <w:r>
              <w:rPr>
                <w:rFonts w:ascii="宋体" w:hAnsi="宋体" w:eastAsia="宋体" w:cs="宋体"/>
                <w:b w:val="0"/>
                <w:i w:val="0"/>
                <w:color w:val="000000"/>
                <w:sz w:val="9"/>
              </w:rPr>
              <w:t>4.94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20306</w:t>
            </w:r>
          </w:p>
        </w:tc>
        <w:tc>
          <w:tcPr>
            <w:tcW w:w="1420" w:type="dxa"/>
            <w:vAlign w:val="center"/>
          </w:tcPr>
          <w:p>
            <w:pPr>
              <w:jc w:val="left"/>
            </w:pPr>
            <w:r>
              <w:rPr>
                <w:rFonts w:ascii="宋体" w:hAnsi="宋体" w:eastAsia="宋体" w:cs="宋体"/>
                <w:b w:val="0"/>
                <w:i w:val="0"/>
                <w:color w:val="000000"/>
                <w:sz w:val="9"/>
              </w:rPr>
              <w:t>国防动员</w:t>
            </w:r>
          </w:p>
        </w:tc>
        <w:tc>
          <w:tcPr>
            <w:tcW w:w="860" w:type="dxa"/>
            <w:vAlign w:val="center"/>
          </w:tcPr>
          <w:p>
            <w:pPr>
              <w:jc w:val="right"/>
            </w:pPr>
            <w:r>
              <w:rPr>
                <w:rFonts w:ascii="宋体" w:hAnsi="宋体" w:eastAsia="宋体" w:cs="宋体"/>
                <w:b w:val="0"/>
                <w:i w:val="0"/>
                <w:color w:val="000000"/>
                <w:sz w:val="9"/>
              </w:rPr>
              <w:t>4.94</w:t>
            </w:r>
          </w:p>
        </w:tc>
        <w:tc>
          <w:tcPr>
            <w:tcW w:w="900" w:type="dxa"/>
            <w:vAlign w:val="center"/>
          </w:tcPr>
          <w:p>
            <w:pPr>
              <w:jc w:val="right"/>
            </w:pPr>
            <w:r>
              <w:rPr>
                <w:rFonts w:ascii="宋体" w:hAnsi="宋体" w:eastAsia="宋体" w:cs="宋体"/>
                <w:b w:val="0"/>
                <w:i w:val="0"/>
                <w:color w:val="000000"/>
                <w:sz w:val="9"/>
              </w:rPr>
              <w:t>4.94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2030699</w:t>
            </w:r>
          </w:p>
        </w:tc>
        <w:tc>
          <w:tcPr>
            <w:tcW w:w="1420" w:type="dxa"/>
            <w:vAlign w:val="center"/>
          </w:tcPr>
          <w:p>
            <w:pPr>
              <w:jc w:val="left"/>
            </w:pPr>
            <w:r>
              <w:rPr>
                <w:rFonts w:ascii="宋体" w:hAnsi="宋体" w:eastAsia="宋体" w:cs="宋体"/>
                <w:b w:val="0"/>
                <w:i w:val="0"/>
                <w:color w:val="000000"/>
                <w:sz w:val="9"/>
              </w:rPr>
              <w:t>其他国防动员支出</w:t>
            </w:r>
          </w:p>
        </w:tc>
        <w:tc>
          <w:tcPr>
            <w:tcW w:w="860" w:type="dxa"/>
            <w:vAlign w:val="center"/>
          </w:tcPr>
          <w:p>
            <w:pPr>
              <w:jc w:val="right"/>
            </w:pPr>
            <w:r>
              <w:rPr>
                <w:rFonts w:ascii="宋体" w:hAnsi="宋体" w:eastAsia="宋体" w:cs="宋体"/>
                <w:b w:val="0"/>
                <w:i w:val="0"/>
                <w:color w:val="000000"/>
                <w:sz w:val="9"/>
              </w:rPr>
              <w:t>4.94</w:t>
            </w:r>
          </w:p>
        </w:tc>
        <w:tc>
          <w:tcPr>
            <w:tcW w:w="900" w:type="dxa"/>
            <w:vAlign w:val="center"/>
          </w:tcPr>
          <w:p>
            <w:pPr>
              <w:jc w:val="right"/>
            </w:pPr>
            <w:r>
              <w:rPr>
                <w:rFonts w:ascii="宋体" w:hAnsi="宋体" w:eastAsia="宋体" w:cs="宋体"/>
                <w:b w:val="0"/>
                <w:i w:val="0"/>
                <w:color w:val="000000"/>
                <w:sz w:val="9"/>
              </w:rPr>
              <w:t>4.94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w:t>
            </w:r>
          </w:p>
        </w:tc>
        <w:tc>
          <w:tcPr>
            <w:tcW w:w="1420" w:type="dxa"/>
            <w:vAlign w:val="center"/>
          </w:tcPr>
          <w:p>
            <w:pPr>
              <w:jc w:val="left"/>
            </w:pPr>
            <w:r>
              <w:rPr>
                <w:rFonts w:ascii="宋体" w:hAnsi="宋体" w:eastAsia="宋体" w:cs="宋体"/>
                <w:b w:val="0"/>
                <w:i w:val="0"/>
                <w:color w:val="000000"/>
                <w:sz w:val="9"/>
              </w:rPr>
              <w:t>文化旅游体育与传媒支出</w:t>
            </w:r>
          </w:p>
        </w:tc>
        <w:tc>
          <w:tcPr>
            <w:tcW w:w="860" w:type="dxa"/>
            <w:vAlign w:val="center"/>
          </w:tcPr>
          <w:p>
            <w:pPr>
              <w:jc w:val="right"/>
            </w:pPr>
            <w:r>
              <w:rPr>
                <w:rFonts w:ascii="宋体" w:hAnsi="宋体" w:eastAsia="宋体" w:cs="宋体"/>
                <w:b w:val="0"/>
                <w:i w:val="0"/>
                <w:color w:val="000000"/>
                <w:sz w:val="9"/>
              </w:rPr>
              <w:t>150.00</w:t>
            </w:r>
          </w:p>
        </w:tc>
        <w:tc>
          <w:tcPr>
            <w:tcW w:w="900" w:type="dxa"/>
            <w:vAlign w:val="center"/>
          </w:tcPr>
          <w:p>
            <w:pPr>
              <w:jc w:val="right"/>
            </w:pPr>
            <w:r>
              <w:rPr>
                <w:rFonts w:ascii="宋体" w:hAnsi="宋体" w:eastAsia="宋体" w:cs="宋体"/>
                <w:b w:val="0"/>
                <w:i w:val="0"/>
                <w:color w:val="000000"/>
                <w:sz w:val="9"/>
              </w:rPr>
              <w:t>150.00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20703</w:t>
            </w:r>
          </w:p>
        </w:tc>
        <w:tc>
          <w:tcPr>
            <w:tcW w:w="1420" w:type="dxa"/>
            <w:vAlign w:val="center"/>
          </w:tcPr>
          <w:p>
            <w:pPr>
              <w:jc w:val="left"/>
            </w:pPr>
            <w:r>
              <w:rPr>
                <w:rFonts w:ascii="宋体" w:hAnsi="宋体" w:eastAsia="宋体" w:cs="宋体"/>
                <w:b w:val="0"/>
                <w:i w:val="0"/>
                <w:color w:val="000000"/>
                <w:sz w:val="9"/>
              </w:rPr>
              <w:t>体育</w:t>
            </w:r>
          </w:p>
        </w:tc>
        <w:tc>
          <w:tcPr>
            <w:tcW w:w="860" w:type="dxa"/>
            <w:vAlign w:val="center"/>
          </w:tcPr>
          <w:p>
            <w:pPr>
              <w:jc w:val="right"/>
            </w:pPr>
            <w:r>
              <w:rPr>
                <w:rFonts w:ascii="宋体" w:hAnsi="宋体" w:eastAsia="宋体" w:cs="宋体"/>
                <w:b w:val="0"/>
                <w:i w:val="0"/>
                <w:color w:val="000000"/>
                <w:sz w:val="9"/>
              </w:rPr>
              <w:t>150.00</w:t>
            </w:r>
          </w:p>
        </w:tc>
        <w:tc>
          <w:tcPr>
            <w:tcW w:w="900" w:type="dxa"/>
            <w:vAlign w:val="center"/>
          </w:tcPr>
          <w:p>
            <w:pPr>
              <w:jc w:val="right"/>
            </w:pPr>
            <w:r>
              <w:rPr>
                <w:rFonts w:ascii="宋体" w:hAnsi="宋体" w:eastAsia="宋体" w:cs="宋体"/>
                <w:b w:val="0"/>
                <w:i w:val="0"/>
                <w:color w:val="000000"/>
                <w:sz w:val="9"/>
              </w:rPr>
              <w:t>150.00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2070307</w:t>
            </w:r>
          </w:p>
        </w:tc>
        <w:tc>
          <w:tcPr>
            <w:tcW w:w="1420" w:type="dxa"/>
            <w:vAlign w:val="center"/>
          </w:tcPr>
          <w:p>
            <w:pPr>
              <w:jc w:val="left"/>
            </w:pPr>
            <w:r>
              <w:rPr>
                <w:rFonts w:ascii="宋体" w:hAnsi="宋体" w:eastAsia="宋体" w:cs="宋体"/>
                <w:b w:val="0"/>
                <w:i w:val="0"/>
                <w:color w:val="000000"/>
                <w:sz w:val="9"/>
              </w:rPr>
              <w:t>体育场馆</w:t>
            </w:r>
          </w:p>
        </w:tc>
        <w:tc>
          <w:tcPr>
            <w:tcW w:w="860" w:type="dxa"/>
            <w:vAlign w:val="center"/>
          </w:tcPr>
          <w:p>
            <w:pPr>
              <w:jc w:val="right"/>
            </w:pPr>
            <w:r>
              <w:rPr>
                <w:rFonts w:ascii="宋体" w:hAnsi="宋体" w:eastAsia="宋体" w:cs="宋体"/>
                <w:b w:val="0"/>
                <w:i w:val="0"/>
                <w:color w:val="000000"/>
                <w:sz w:val="9"/>
              </w:rPr>
              <w:t>150.00</w:t>
            </w:r>
          </w:p>
        </w:tc>
        <w:tc>
          <w:tcPr>
            <w:tcW w:w="900" w:type="dxa"/>
            <w:vAlign w:val="center"/>
          </w:tcPr>
          <w:p>
            <w:pPr>
              <w:jc w:val="right"/>
            </w:pPr>
            <w:r>
              <w:rPr>
                <w:rFonts w:ascii="宋体" w:hAnsi="宋体" w:eastAsia="宋体" w:cs="宋体"/>
                <w:b w:val="0"/>
                <w:i w:val="0"/>
                <w:color w:val="000000"/>
                <w:sz w:val="9"/>
              </w:rPr>
              <w:t>150.00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192.57</w:t>
            </w:r>
          </w:p>
        </w:tc>
        <w:tc>
          <w:tcPr>
            <w:tcW w:w="900" w:type="dxa"/>
            <w:vAlign w:val="center"/>
          </w:tcPr>
          <w:p>
            <w:pPr>
              <w:jc w:val="right"/>
            </w:pPr>
            <w:r>
              <w:rPr>
                <w:rFonts w:ascii="宋体" w:hAnsi="宋体" w:eastAsia="宋体" w:cs="宋体"/>
                <w:b w:val="0"/>
                <w:i w:val="0"/>
                <w:color w:val="000000"/>
                <w:sz w:val="9"/>
              </w:rPr>
              <w:t>192.57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12.57</w:t>
            </w:r>
          </w:p>
        </w:tc>
        <w:tc>
          <w:tcPr>
            <w:tcW w:w="900" w:type="dxa"/>
            <w:vAlign w:val="center"/>
          </w:tcPr>
          <w:p>
            <w:pPr>
              <w:jc w:val="right"/>
            </w:pPr>
            <w:r>
              <w:rPr>
                <w:rFonts w:ascii="宋体" w:hAnsi="宋体" w:eastAsia="宋体" w:cs="宋体"/>
                <w:b w:val="0"/>
                <w:i w:val="0"/>
                <w:color w:val="000000"/>
                <w:sz w:val="9"/>
              </w:rPr>
              <w:t>12.57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12.57</w:t>
            </w:r>
          </w:p>
        </w:tc>
        <w:tc>
          <w:tcPr>
            <w:tcW w:w="900" w:type="dxa"/>
            <w:vAlign w:val="center"/>
          </w:tcPr>
          <w:p>
            <w:pPr>
              <w:jc w:val="right"/>
            </w:pPr>
            <w:r>
              <w:rPr>
                <w:rFonts w:ascii="宋体" w:hAnsi="宋体" w:eastAsia="宋体" w:cs="宋体"/>
                <w:b w:val="0"/>
                <w:i w:val="0"/>
                <w:color w:val="000000"/>
                <w:sz w:val="9"/>
              </w:rPr>
              <w:t>12.57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20810</w:t>
            </w:r>
          </w:p>
        </w:tc>
        <w:tc>
          <w:tcPr>
            <w:tcW w:w="1420" w:type="dxa"/>
            <w:vAlign w:val="center"/>
          </w:tcPr>
          <w:p>
            <w:pPr>
              <w:jc w:val="left"/>
            </w:pPr>
            <w:r>
              <w:rPr>
                <w:rFonts w:ascii="宋体" w:hAnsi="宋体" w:eastAsia="宋体" w:cs="宋体"/>
                <w:b w:val="0"/>
                <w:i w:val="0"/>
                <w:color w:val="000000"/>
                <w:sz w:val="9"/>
              </w:rPr>
              <w:t>社会福利</w:t>
            </w:r>
          </w:p>
        </w:tc>
        <w:tc>
          <w:tcPr>
            <w:tcW w:w="860" w:type="dxa"/>
            <w:vAlign w:val="center"/>
          </w:tcPr>
          <w:p>
            <w:pPr>
              <w:jc w:val="right"/>
            </w:pPr>
            <w:r>
              <w:rPr>
                <w:rFonts w:ascii="宋体" w:hAnsi="宋体" w:eastAsia="宋体" w:cs="宋体"/>
                <w:b w:val="0"/>
                <w:i w:val="0"/>
                <w:color w:val="000000"/>
                <w:sz w:val="9"/>
              </w:rPr>
              <w:t>180.00</w:t>
            </w:r>
          </w:p>
        </w:tc>
        <w:tc>
          <w:tcPr>
            <w:tcW w:w="900" w:type="dxa"/>
            <w:vAlign w:val="center"/>
          </w:tcPr>
          <w:p>
            <w:pPr>
              <w:jc w:val="right"/>
            </w:pPr>
            <w:r>
              <w:rPr>
                <w:rFonts w:ascii="宋体" w:hAnsi="宋体" w:eastAsia="宋体" w:cs="宋体"/>
                <w:b w:val="0"/>
                <w:i w:val="0"/>
                <w:color w:val="000000"/>
                <w:sz w:val="9"/>
              </w:rPr>
              <w:t>180.00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2081099</w:t>
            </w:r>
          </w:p>
        </w:tc>
        <w:tc>
          <w:tcPr>
            <w:tcW w:w="1420" w:type="dxa"/>
            <w:vAlign w:val="center"/>
          </w:tcPr>
          <w:p>
            <w:pPr>
              <w:jc w:val="left"/>
            </w:pPr>
            <w:r>
              <w:rPr>
                <w:rFonts w:ascii="宋体" w:hAnsi="宋体" w:eastAsia="宋体" w:cs="宋体"/>
                <w:b w:val="0"/>
                <w:i w:val="0"/>
                <w:color w:val="000000"/>
                <w:sz w:val="9"/>
              </w:rPr>
              <w:t>其他社会福利支出</w:t>
            </w:r>
          </w:p>
        </w:tc>
        <w:tc>
          <w:tcPr>
            <w:tcW w:w="860" w:type="dxa"/>
            <w:vAlign w:val="center"/>
          </w:tcPr>
          <w:p>
            <w:pPr>
              <w:jc w:val="right"/>
            </w:pPr>
            <w:r>
              <w:rPr>
                <w:rFonts w:ascii="宋体" w:hAnsi="宋体" w:eastAsia="宋体" w:cs="宋体"/>
                <w:b w:val="0"/>
                <w:i w:val="0"/>
                <w:color w:val="000000"/>
                <w:sz w:val="9"/>
              </w:rPr>
              <w:t>180.00</w:t>
            </w:r>
          </w:p>
        </w:tc>
        <w:tc>
          <w:tcPr>
            <w:tcW w:w="900" w:type="dxa"/>
            <w:vAlign w:val="center"/>
          </w:tcPr>
          <w:p>
            <w:pPr>
              <w:jc w:val="right"/>
            </w:pPr>
            <w:r>
              <w:rPr>
                <w:rFonts w:ascii="宋体" w:hAnsi="宋体" w:eastAsia="宋体" w:cs="宋体"/>
                <w:b w:val="0"/>
                <w:i w:val="0"/>
                <w:color w:val="000000"/>
                <w:sz w:val="9"/>
              </w:rPr>
              <w:t>180.00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5.78</w:t>
            </w:r>
          </w:p>
        </w:tc>
        <w:tc>
          <w:tcPr>
            <w:tcW w:w="900" w:type="dxa"/>
            <w:vAlign w:val="center"/>
          </w:tcPr>
          <w:p>
            <w:pPr>
              <w:jc w:val="right"/>
            </w:pPr>
            <w:r>
              <w:rPr>
                <w:rFonts w:ascii="宋体" w:hAnsi="宋体" w:eastAsia="宋体" w:cs="宋体"/>
                <w:b w:val="0"/>
                <w:i w:val="0"/>
                <w:color w:val="000000"/>
                <w:sz w:val="9"/>
              </w:rPr>
              <w:t>5.78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5.78</w:t>
            </w:r>
          </w:p>
        </w:tc>
        <w:tc>
          <w:tcPr>
            <w:tcW w:w="900" w:type="dxa"/>
            <w:vAlign w:val="center"/>
          </w:tcPr>
          <w:p>
            <w:pPr>
              <w:jc w:val="right"/>
            </w:pPr>
            <w:r>
              <w:rPr>
                <w:rFonts w:ascii="宋体" w:hAnsi="宋体" w:eastAsia="宋体" w:cs="宋体"/>
                <w:b w:val="0"/>
                <w:i w:val="0"/>
                <w:color w:val="000000"/>
                <w:sz w:val="9"/>
              </w:rPr>
              <w:t>5.78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5.65</w:t>
            </w:r>
          </w:p>
        </w:tc>
        <w:tc>
          <w:tcPr>
            <w:tcW w:w="900" w:type="dxa"/>
            <w:vAlign w:val="center"/>
          </w:tcPr>
          <w:p>
            <w:pPr>
              <w:jc w:val="right"/>
            </w:pPr>
            <w:r>
              <w:rPr>
                <w:rFonts w:ascii="宋体" w:hAnsi="宋体" w:eastAsia="宋体" w:cs="宋体"/>
                <w:b w:val="0"/>
                <w:i w:val="0"/>
                <w:color w:val="000000"/>
                <w:sz w:val="9"/>
              </w:rPr>
              <w:t>5.65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0.13</w:t>
            </w:r>
          </w:p>
        </w:tc>
        <w:tc>
          <w:tcPr>
            <w:tcW w:w="900" w:type="dxa"/>
            <w:vAlign w:val="center"/>
          </w:tcPr>
          <w:p>
            <w:pPr>
              <w:jc w:val="right"/>
            </w:pPr>
            <w:r>
              <w:rPr>
                <w:rFonts w:ascii="宋体" w:hAnsi="宋体" w:eastAsia="宋体" w:cs="宋体"/>
                <w:b w:val="0"/>
                <w:i w:val="0"/>
                <w:color w:val="000000"/>
                <w:sz w:val="9"/>
              </w:rPr>
              <w:t>0.13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w:t>
            </w:r>
          </w:p>
        </w:tc>
        <w:tc>
          <w:tcPr>
            <w:tcW w:w="1420" w:type="dxa"/>
            <w:vAlign w:val="center"/>
          </w:tcPr>
          <w:p>
            <w:pPr>
              <w:jc w:val="left"/>
            </w:pPr>
            <w:r>
              <w:rPr>
                <w:rFonts w:ascii="宋体" w:hAnsi="宋体" w:eastAsia="宋体" w:cs="宋体"/>
                <w:b w:val="0"/>
                <w:i w:val="0"/>
                <w:color w:val="000000"/>
                <w:sz w:val="9"/>
              </w:rPr>
              <w:t>节能环保支出</w:t>
            </w:r>
          </w:p>
        </w:tc>
        <w:tc>
          <w:tcPr>
            <w:tcW w:w="860" w:type="dxa"/>
            <w:vAlign w:val="center"/>
          </w:tcPr>
          <w:p>
            <w:pPr>
              <w:jc w:val="right"/>
            </w:pPr>
            <w:r>
              <w:rPr>
                <w:rFonts w:ascii="宋体" w:hAnsi="宋体" w:eastAsia="宋体" w:cs="宋体"/>
                <w:b w:val="0"/>
                <w:i w:val="0"/>
                <w:color w:val="000000"/>
                <w:sz w:val="9"/>
              </w:rPr>
              <w:t>258.14</w:t>
            </w:r>
          </w:p>
        </w:tc>
        <w:tc>
          <w:tcPr>
            <w:tcW w:w="900" w:type="dxa"/>
            <w:vAlign w:val="center"/>
          </w:tcPr>
          <w:p>
            <w:pPr>
              <w:jc w:val="right"/>
            </w:pPr>
            <w:r>
              <w:rPr>
                <w:rFonts w:ascii="宋体" w:hAnsi="宋体" w:eastAsia="宋体" w:cs="宋体"/>
                <w:b w:val="0"/>
                <w:i w:val="0"/>
                <w:color w:val="000000"/>
                <w:sz w:val="9"/>
              </w:rPr>
              <w:t>258.14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21110</w:t>
            </w:r>
          </w:p>
        </w:tc>
        <w:tc>
          <w:tcPr>
            <w:tcW w:w="1420" w:type="dxa"/>
            <w:vAlign w:val="center"/>
          </w:tcPr>
          <w:p>
            <w:pPr>
              <w:jc w:val="left"/>
            </w:pPr>
            <w:r>
              <w:rPr>
                <w:rFonts w:ascii="宋体" w:hAnsi="宋体" w:eastAsia="宋体" w:cs="宋体"/>
                <w:b w:val="0"/>
                <w:i w:val="0"/>
                <w:color w:val="000000"/>
                <w:sz w:val="9"/>
              </w:rPr>
              <w:t>能源节约利用</w:t>
            </w:r>
          </w:p>
        </w:tc>
        <w:tc>
          <w:tcPr>
            <w:tcW w:w="860" w:type="dxa"/>
            <w:vAlign w:val="center"/>
          </w:tcPr>
          <w:p>
            <w:pPr>
              <w:jc w:val="right"/>
            </w:pPr>
            <w:r>
              <w:rPr>
                <w:rFonts w:ascii="宋体" w:hAnsi="宋体" w:eastAsia="宋体" w:cs="宋体"/>
                <w:b w:val="0"/>
                <w:i w:val="0"/>
                <w:color w:val="000000"/>
                <w:sz w:val="9"/>
              </w:rPr>
              <w:t>258.14</w:t>
            </w:r>
          </w:p>
        </w:tc>
        <w:tc>
          <w:tcPr>
            <w:tcW w:w="900" w:type="dxa"/>
            <w:vAlign w:val="center"/>
          </w:tcPr>
          <w:p>
            <w:pPr>
              <w:jc w:val="right"/>
            </w:pPr>
            <w:r>
              <w:rPr>
                <w:rFonts w:ascii="宋体" w:hAnsi="宋体" w:eastAsia="宋体" w:cs="宋体"/>
                <w:b w:val="0"/>
                <w:i w:val="0"/>
                <w:color w:val="000000"/>
                <w:sz w:val="9"/>
              </w:rPr>
              <w:t>258.14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2111001</w:t>
            </w:r>
          </w:p>
        </w:tc>
        <w:tc>
          <w:tcPr>
            <w:tcW w:w="1420" w:type="dxa"/>
            <w:vAlign w:val="center"/>
          </w:tcPr>
          <w:p>
            <w:pPr>
              <w:jc w:val="left"/>
            </w:pPr>
            <w:r>
              <w:rPr>
                <w:rFonts w:ascii="宋体" w:hAnsi="宋体" w:eastAsia="宋体" w:cs="宋体"/>
                <w:b w:val="0"/>
                <w:i w:val="0"/>
                <w:color w:val="000000"/>
                <w:sz w:val="9"/>
              </w:rPr>
              <w:t>能源节约利用</w:t>
            </w:r>
          </w:p>
        </w:tc>
        <w:tc>
          <w:tcPr>
            <w:tcW w:w="860" w:type="dxa"/>
            <w:vAlign w:val="center"/>
          </w:tcPr>
          <w:p>
            <w:pPr>
              <w:jc w:val="right"/>
            </w:pPr>
            <w:r>
              <w:rPr>
                <w:rFonts w:ascii="宋体" w:hAnsi="宋体" w:eastAsia="宋体" w:cs="宋体"/>
                <w:b w:val="0"/>
                <w:i w:val="0"/>
                <w:color w:val="000000"/>
                <w:sz w:val="9"/>
              </w:rPr>
              <w:t>258.14</w:t>
            </w:r>
          </w:p>
        </w:tc>
        <w:tc>
          <w:tcPr>
            <w:tcW w:w="900" w:type="dxa"/>
            <w:vAlign w:val="center"/>
          </w:tcPr>
          <w:p>
            <w:pPr>
              <w:jc w:val="right"/>
            </w:pPr>
            <w:r>
              <w:rPr>
                <w:rFonts w:ascii="宋体" w:hAnsi="宋体" w:eastAsia="宋体" w:cs="宋体"/>
                <w:b w:val="0"/>
                <w:i w:val="0"/>
                <w:color w:val="000000"/>
                <w:sz w:val="9"/>
              </w:rPr>
              <w:t>258.14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12.94</w:t>
            </w:r>
          </w:p>
        </w:tc>
        <w:tc>
          <w:tcPr>
            <w:tcW w:w="900" w:type="dxa"/>
            <w:vAlign w:val="center"/>
          </w:tcPr>
          <w:p>
            <w:pPr>
              <w:jc w:val="right"/>
            </w:pPr>
            <w:r>
              <w:rPr>
                <w:rFonts w:ascii="宋体" w:hAnsi="宋体" w:eastAsia="宋体" w:cs="宋体"/>
                <w:b w:val="0"/>
                <w:i w:val="0"/>
                <w:color w:val="000000"/>
                <w:sz w:val="9"/>
              </w:rPr>
              <w:t>12.94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12.94</w:t>
            </w:r>
          </w:p>
        </w:tc>
        <w:tc>
          <w:tcPr>
            <w:tcW w:w="900" w:type="dxa"/>
            <w:vAlign w:val="center"/>
          </w:tcPr>
          <w:p>
            <w:pPr>
              <w:jc w:val="right"/>
            </w:pPr>
            <w:r>
              <w:rPr>
                <w:rFonts w:ascii="宋体" w:hAnsi="宋体" w:eastAsia="宋体" w:cs="宋体"/>
                <w:b w:val="0"/>
                <w:i w:val="0"/>
                <w:color w:val="000000"/>
                <w:sz w:val="9"/>
              </w:rPr>
              <w:t>12.94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12.94</w:t>
            </w:r>
          </w:p>
        </w:tc>
        <w:tc>
          <w:tcPr>
            <w:tcW w:w="900" w:type="dxa"/>
            <w:vAlign w:val="center"/>
          </w:tcPr>
          <w:p>
            <w:pPr>
              <w:jc w:val="right"/>
            </w:pPr>
            <w:r>
              <w:rPr>
                <w:rFonts w:ascii="宋体" w:hAnsi="宋体" w:eastAsia="宋体" w:cs="宋体"/>
                <w:b w:val="0"/>
                <w:i w:val="0"/>
                <w:color w:val="000000"/>
                <w:sz w:val="9"/>
              </w:rPr>
              <w:t>12.94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1,132.15</w:t>
            </w:r>
          </w:p>
        </w:tc>
        <w:tc>
          <w:tcPr>
            <w:tcW w:w="1000" w:type="dxa"/>
            <w:vAlign w:val="center"/>
          </w:tcPr>
          <w:p>
            <w:pPr>
              <w:jc w:val="right"/>
            </w:pPr>
            <w:r>
              <w:rPr>
                <w:rFonts w:ascii="宋体" w:hAnsi="宋体" w:eastAsia="宋体" w:cs="宋体"/>
                <w:b w:val="0"/>
                <w:i w:val="0"/>
                <w:color w:val="000000"/>
                <w:sz w:val="11"/>
              </w:rPr>
              <w:t>230.34</w:t>
            </w:r>
          </w:p>
        </w:tc>
        <w:tc>
          <w:tcPr>
            <w:tcW w:w="980" w:type="dxa"/>
            <w:vAlign w:val="center"/>
          </w:tcPr>
          <w:p>
            <w:pPr>
              <w:jc w:val="right"/>
            </w:pPr>
            <w:r>
              <w:rPr>
                <w:rFonts w:ascii="宋体" w:hAnsi="宋体" w:eastAsia="宋体" w:cs="宋体"/>
                <w:b w:val="0"/>
                <w:i w:val="0"/>
                <w:color w:val="000000"/>
                <w:sz w:val="11"/>
              </w:rPr>
              <w:t>901.80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507.78</w:t>
            </w:r>
          </w:p>
        </w:tc>
        <w:tc>
          <w:tcPr>
            <w:tcW w:w="1000" w:type="dxa"/>
            <w:vAlign w:val="center"/>
          </w:tcPr>
          <w:p>
            <w:pPr>
              <w:jc w:val="right"/>
            </w:pPr>
            <w:r>
              <w:rPr>
                <w:rFonts w:ascii="宋体" w:hAnsi="宋体" w:eastAsia="宋体" w:cs="宋体"/>
                <w:b w:val="0"/>
                <w:i w:val="0"/>
                <w:color w:val="000000"/>
                <w:sz w:val="11"/>
              </w:rPr>
              <w:t>199.05</w:t>
            </w:r>
          </w:p>
        </w:tc>
        <w:tc>
          <w:tcPr>
            <w:tcW w:w="980" w:type="dxa"/>
            <w:vAlign w:val="center"/>
          </w:tcPr>
          <w:p>
            <w:pPr>
              <w:jc w:val="right"/>
            </w:pPr>
            <w:r>
              <w:rPr>
                <w:rFonts w:ascii="宋体" w:hAnsi="宋体" w:eastAsia="宋体" w:cs="宋体"/>
                <w:b w:val="0"/>
                <w:i w:val="0"/>
                <w:color w:val="000000"/>
                <w:sz w:val="11"/>
              </w:rPr>
              <w:t>308.73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20104</w:t>
            </w:r>
          </w:p>
        </w:tc>
        <w:tc>
          <w:tcPr>
            <w:tcW w:w="1760" w:type="dxa"/>
            <w:vAlign w:val="center"/>
          </w:tcPr>
          <w:p>
            <w:pPr>
              <w:jc w:val="left"/>
            </w:pPr>
            <w:r>
              <w:rPr>
                <w:rFonts w:ascii="宋体" w:hAnsi="宋体" w:eastAsia="宋体" w:cs="宋体"/>
                <w:b w:val="0"/>
                <w:i w:val="0"/>
                <w:color w:val="000000"/>
                <w:sz w:val="11"/>
              </w:rPr>
              <w:t>发展与改革事务</w:t>
            </w:r>
          </w:p>
        </w:tc>
        <w:tc>
          <w:tcPr>
            <w:tcW w:w="940" w:type="dxa"/>
            <w:vAlign w:val="center"/>
          </w:tcPr>
          <w:p>
            <w:pPr>
              <w:jc w:val="right"/>
            </w:pPr>
            <w:r>
              <w:rPr>
                <w:rFonts w:ascii="宋体" w:hAnsi="宋体" w:eastAsia="宋体" w:cs="宋体"/>
                <w:b w:val="0"/>
                <w:i w:val="0"/>
                <w:color w:val="000000"/>
                <w:sz w:val="11"/>
              </w:rPr>
              <w:t>507.78</w:t>
            </w:r>
          </w:p>
        </w:tc>
        <w:tc>
          <w:tcPr>
            <w:tcW w:w="1000" w:type="dxa"/>
            <w:vAlign w:val="center"/>
          </w:tcPr>
          <w:p>
            <w:pPr>
              <w:jc w:val="right"/>
            </w:pPr>
            <w:r>
              <w:rPr>
                <w:rFonts w:ascii="宋体" w:hAnsi="宋体" w:eastAsia="宋体" w:cs="宋体"/>
                <w:b w:val="0"/>
                <w:i w:val="0"/>
                <w:color w:val="000000"/>
                <w:sz w:val="11"/>
              </w:rPr>
              <w:t>199.05</w:t>
            </w:r>
          </w:p>
        </w:tc>
        <w:tc>
          <w:tcPr>
            <w:tcW w:w="980" w:type="dxa"/>
            <w:vAlign w:val="center"/>
          </w:tcPr>
          <w:p>
            <w:pPr>
              <w:jc w:val="right"/>
            </w:pPr>
            <w:r>
              <w:rPr>
                <w:rFonts w:ascii="宋体" w:hAnsi="宋体" w:eastAsia="宋体" w:cs="宋体"/>
                <w:b w:val="0"/>
                <w:i w:val="0"/>
                <w:color w:val="000000"/>
                <w:sz w:val="11"/>
              </w:rPr>
              <w:t>308.73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2010401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147.69</w:t>
            </w:r>
          </w:p>
        </w:tc>
        <w:tc>
          <w:tcPr>
            <w:tcW w:w="1000" w:type="dxa"/>
            <w:vAlign w:val="center"/>
          </w:tcPr>
          <w:p>
            <w:pPr>
              <w:jc w:val="right"/>
            </w:pPr>
            <w:r>
              <w:rPr>
                <w:rFonts w:ascii="宋体" w:hAnsi="宋体" w:eastAsia="宋体" w:cs="宋体"/>
                <w:b w:val="0"/>
                <w:i w:val="0"/>
                <w:color w:val="000000"/>
                <w:sz w:val="11"/>
              </w:rPr>
              <w:t>147.69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2010402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360.09</w:t>
            </w:r>
          </w:p>
        </w:tc>
        <w:tc>
          <w:tcPr>
            <w:tcW w:w="1000" w:type="dxa"/>
            <w:vAlign w:val="center"/>
          </w:tcPr>
          <w:p>
            <w:pPr>
              <w:jc w:val="right"/>
            </w:pPr>
            <w:r>
              <w:rPr>
                <w:rFonts w:ascii="宋体" w:hAnsi="宋体" w:eastAsia="宋体" w:cs="宋体"/>
                <w:b w:val="0"/>
                <w:i w:val="0"/>
                <w:color w:val="000000"/>
                <w:sz w:val="11"/>
              </w:rPr>
              <w:t>51.36</w:t>
            </w:r>
          </w:p>
        </w:tc>
        <w:tc>
          <w:tcPr>
            <w:tcW w:w="980" w:type="dxa"/>
            <w:vAlign w:val="center"/>
          </w:tcPr>
          <w:p>
            <w:pPr>
              <w:jc w:val="right"/>
            </w:pPr>
            <w:r>
              <w:rPr>
                <w:rFonts w:ascii="宋体" w:hAnsi="宋体" w:eastAsia="宋体" w:cs="宋体"/>
                <w:b w:val="0"/>
                <w:i w:val="0"/>
                <w:color w:val="000000"/>
                <w:sz w:val="11"/>
              </w:rPr>
              <w:t>308.73</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w:t>
            </w:r>
          </w:p>
        </w:tc>
        <w:tc>
          <w:tcPr>
            <w:tcW w:w="1760" w:type="dxa"/>
            <w:vAlign w:val="center"/>
          </w:tcPr>
          <w:p>
            <w:pPr>
              <w:jc w:val="left"/>
            </w:pPr>
            <w:r>
              <w:rPr>
                <w:rFonts w:ascii="宋体" w:hAnsi="宋体" w:eastAsia="宋体" w:cs="宋体"/>
                <w:b w:val="0"/>
                <w:i w:val="0"/>
                <w:color w:val="000000"/>
                <w:sz w:val="11"/>
              </w:rPr>
              <w:t>国防支出</w:t>
            </w:r>
          </w:p>
        </w:tc>
        <w:tc>
          <w:tcPr>
            <w:tcW w:w="940" w:type="dxa"/>
            <w:vAlign w:val="center"/>
          </w:tcPr>
          <w:p>
            <w:pPr>
              <w:jc w:val="right"/>
            </w:pPr>
            <w:r>
              <w:rPr>
                <w:rFonts w:ascii="宋体" w:hAnsi="宋体" w:eastAsia="宋体" w:cs="宋体"/>
                <w:b w:val="0"/>
                <w:i w:val="0"/>
                <w:color w:val="000000"/>
                <w:sz w:val="11"/>
              </w:rPr>
              <w:t>4.94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20306</w:t>
            </w:r>
          </w:p>
        </w:tc>
        <w:tc>
          <w:tcPr>
            <w:tcW w:w="1760" w:type="dxa"/>
            <w:vAlign w:val="center"/>
          </w:tcPr>
          <w:p>
            <w:pPr>
              <w:jc w:val="left"/>
            </w:pPr>
            <w:r>
              <w:rPr>
                <w:rFonts w:ascii="宋体" w:hAnsi="宋体" w:eastAsia="宋体" w:cs="宋体"/>
                <w:b w:val="0"/>
                <w:i w:val="0"/>
                <w:color w:val="000000"/>
                <w:sz w:val="11"/>
              </w:rPr>
              <w:t>国防动员</w:t>
            </w:r>
          </w:p>
        </w:tc>
        <w:tc>
          <w:tcPr>
            <w:tcW w:w="940" w:type="dxa"/>
            <w:vAlign w:val="center"/>
          </w:tcPr>
          <w:p>
            <w:pPr>
              <w:jc w:val="right"/>
            </w:pPr>
            <w:r>
              <w:rPr>
                <w:rFonts w:ascii="宋体" w:hAnsi="宋体" w:eastAsia="宋体" w:cs="宋体"/>
                <w:b w:val="0"/>
                <w:i w:val="0"/>
                <w:color w:val="000000"/>
                <w:sz w:val="11"/>
              </w:rPr>
              <w:t>4.94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2030699</w:t>
            </w:r>
          </w:p>
        </w:tc>
        <w:tc>
          <w:tcPr>
            <w:tcW w:w="1760" w:type="dxa"/>
            <w:vAlign w:val="center"/>
          </w:tcPr>
          <w:p>
            <w:pPr>
              <w:jc w:val="left"/>
            </w:pPr>
            <w:r>
              <w:rPr>
                <w:rFonts w:ascii="宋体" w:hAnsi="宋体" w:eastAsia="宋体" w:cs="宋体"/>
                <w:b w:val="0"/>
                <w:i w:val="0"/>
                <w:color w:val="000000"/>
                <w:sz w:val="11"/>
              </w:rPr>
              <w:t>其他国防动员支出</w:t>
            </w:r>
          </w:p>
        </w:tc>
        <w:tc>
          <w:tcPr>
            <w:tcW w:w="940" w:type="dxa"/>
            <w:vAlign w:val="center"/>
          </w:tcPr>
          <w:p>
            <w:pPr>
              <w:jc w:val="right"/>
            </w:pPr>
            <w:r>
              <w:rPr>
                <w:rFonts w:ascii="宋体" w:hAnsi="宋体" w:eastAsia="宋体" w:cs="宋体"/>
                <w:b w:val="0"/>
                <w:i w:val="0"/>
                <w:color w:val="000000"/>
                <w:sz w:val="11"/>
              </w:rPr>
              <w:t>4.94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4.94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w:t>
            </w:r>
          </w:p>
        </w:tc>
        <w:tc>
          <w:tcPr>
            <w:tcW w:w="1760" w:type="dxa"/>
            <w:vAlign w:val="center"/>
          </w:tcPr>
          <w:p>
            <w:pPr>
              <w:jc w:val="left"/>
            </w:pPr>
            <w:r>
              <w:rPr>
                <w:rFonts w:ascii="宋体" w:hAnsi="宋体" w:eastAsia="宋体" w:cs="宋体"/>
                <w:b w:val="0"/>
                <w:i w:val="0"/>
                <w:color w:val="000000"/>
                <w:sz w:val="11"/>
              </w:rPr>
              <w:t>文化旅游体育与传媒支出</w:t>
            </w:r>
          </w:p>
        </w:tc>
        <w:tc>
          <w:tcPr>
            <w:tcW w:w="940" w:type="dxa"/>
            <w:vAlign w:val="center"/>
          </w:tcPr>
          <w:p>
            <w:pPr>
              <w:jc w:val="right"/>
            </w:pPr>
            <w:r>
              <w:rPr>
                <w:rFonts w:ascii="宋体" w:hAnsi="宋体" w:eastAsia="宋体" w:cs="宋体"/>
                <w:b w:val="0"/>
                <w:i w:val="0"/>
                <w:color w:val="000000"/>
                <w:sz w:val="11"/>
              </w:rPr>
              <w:t>150.00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20703</w:t>
            </w:r>
          </w:p>
        </w:tc>
        <w:tc>
          <w:tcPr>
            <w:tcW w:w="1760" w:type="dxa"/>
            <w:vAlign w:val="center"/>
          </w:tcPr>
          <w:p>
            <w:pPr>
              <w:jc w:val="left"/>
            </w:pPr>
            <w:r>
              <w:rPr>
                <w:rFonts w:ascii="宋体" w:hAnsi="宋体" w:eastAsia="宋体" w:cs="宋体"/>
                <w:b w:val="0"/>
                <w:i w:val="0"/>
                <w:color w:val="000000"/>
                <w:sz w:val="11"/>
              </w:rPr>
              <w:t>体育</w:t>
            </w:r>
          </w:p>
        </w:tc>
        <w:tc>
          <w:tcPr>
            <w:tcW w:w="940" w:type="dxa"/>
            <w:vAlign w:val="center"/>
          </w:tcPr>
          <w:p>
            <w:pPr>
              <w:jc w:val="right"/>
            </w:pPr>
            <w:r>
              <w:rPr>
                <w:rFonts w:ascii="宋体" w:hAnsi="宋体" w:eastAsia="宋体" w:cs="宋体"/>
                <w:b w:val="0"/>
                <w:i w:val="0"/>
                <w:color w:val="000000"/>
                <w:sz w:val="11"/>
              </w:rPr>
              <w:t>150.00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2070307</w:t>
            </w:r>
          </w:p>
        </w:tc>
        <w:tc>
          <w:tcPr>
            <w:tcW w:w="1760" w:type="dxa"/>
            <w:vAlign w:val="center"/>
          </w:tcPr>
          <w:p>
            <w:pPr>
              <w:jc w:val="left"/>
            </w:pPr>
            <w:r>
              <w:rPr>
                <w:rFonts w:ascii="宋体" w:hAnsi="宋体" w:eastAsia="宋体" w:cs="宋体"/>
                <w:b w:val="0"/>
                <w:i w:val="0"/>
                <w:color w:val="000000"/>
                <w:sz w:val="11"/>
              </w:rPr>
              <w:t>体育场馆</w:t>
            </w:r>
          </w:p>
        </w:tc>
        <w:tc>
          <w:tcPr>
            <w:tcW w:w="940" w:type="dxa"/>
            <w:vAlign w:val="center"/>
          </w:tcPr>
          <w:p>
            <w:pPr>
              <w:jc w:val="right"/>
            </w:pPr>
            <w:r>
              <w:rPr>
                <w:rFonts w:ascii="宋体" w:hAnsi="宋体" w:eastAsia="宋体" w:cs="宋体"/>
                <w:b w:val="0"/>
                <w:i w:val="0"/>
                <w:color w:val="000000"/>
                <w:sz w:val="11"/>
              </w:rPr>
              <w:t>150.00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150.00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192.57</w:t>
            </w:r>
          </w:p>
        </w:tc>
        <w:tc>
          <w:tcPr>
            <w:tcW w:w="1000" w:type="dxa"/>
            <w:vAlign w:val="center"/>
          </w:tcPr>
          <w:p>
            <w:pPr>
              <w:jc w:val="right"/>
            </w:pPr>
            <w:r>
              <w:rPr>
                <w:rFonts w:ascii="宋体" w:hAnsi="宋体" w:eastAsia="宋体" w:cs="宋体"/>
                <w:b w:val="0"/>
                <w:i w:val="0"/>
                <w:color w:val="000000"/>
                <w:sz w:val="11"/>
              </w:rPr>
              <w:t>12.57</w:t>
            </w:r>
          </w:p>
        </w:tc>
        <w:tc>
          <w:tcPr>
            <w:tcW w:w="980" w:type="dxa"/>
            <w:vAlign w:val="center"/>
          </w:tcPr>
          <w:p>
            <w:pPr>
              <w:jc w:val="right"/>
            </w:pPr>
            <w:r>
              <w:rPr>
                <w:rFonts w:ascii="宋体" w:hAnsi="宋体" w:eastAsia="宋体" w:cs="宋体"/>
                <w:b w:val="0"/>
                <w:i w:val="0"/>
                <w:color w:val="000000"/>
                <w:sz w:val="11"/>
              </w:rPr>
              <w:t>180.00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12.57</w:t>
            </w:r>
          </w:p>
        </w:tc>
        <w:tc>
          <w:tcPr>
            <w:tcW w:w="1000" w:type="dxa"/>
            <w:vAlign w:val="center"/>
          </w:tcPr>
          <w:p>
            <w:pPr>
              <w:jc w:val="right"/>
            </w:pPr>
            <w:r>
              <w:rPr>
                <w:rFonts w:ascii="宋体" w:hAnsi="宋体" w:eastAsia="宋体" w:cs="宋体"/>
                <w:b w:val="0"/>
                <w:i w:val="0"/>
                <w:color w:val="000000"/>
                <w:sz w:val="11"/>
              </w:rPr>
              <w:t>12.57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12.57</w:t>
            </w:r>
          </w:p>
        </w:tc>
        <w:tc>
          <w:tcPr>
            <w:tcW w:w="1000" w:type="dxa"/>
            <w:vAlign w:val="center"/>
          </w:tcPr>
          <w:p>
            <w:pPr>
              <w:jc w:val="right"/>
            </w:pPr>
            <w:r>
              <w:rPr>
                <w:rFonts w:ascii="宋体" w:hAnsi="宋体" w:eastAsia="宋体" w:cs="宋体"/>
                <w:b w:val="0"/>
                <w:i w:val="0"/>
                <w:color w:val="000000"/>
                <w:sz w:val="11"/>
              </w:rPr>
              <w:t>12.57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20810</w:t>
            </w:r>
          </w:p>
        </w:tc>
        <w:tc>
          <w:tcPr>
            <w:tcW w:w="1760" w:type="dxa"/>
            <w:vAlign w:val="center"/>
          </w:tcPr>
          <w:p>
            <w:pPr>
              <w:jc w:val="left"/>
            </w:pPr>
            <w:r>
              <w:rPr>
                <w:rFonts w:ascii="宋体" w:hAnsi="宋体" w:eastAsia="宋体" w:cs="宋体"/>
                <w:b w:val="0"/>
                <w:i w:val="0"/>
                <w:color w:val="000000"/>
                <w:sz w:val="11"/>
              </w:rPr>
              <w:t>社会福利</w:t>
            </w:r>
          </w:p>
        </w:tc>
        <w:tc>
          <w:tcPr>
            <w:tcW w:w="940" w:type="dxa"/>
            <w:vAlign w:val="center"/>
          </w:tcPr>
          <w:p>
            <w:pPr>
              <w:jc w:val="right"/>
            </w:pPr>
            <w:r>
              <w:rPr>
                <w:rFonts w:ascii="宋体" w:hAnsi="宋体" w:eastAsia="宋体" w:cs="宋体"/>
                <w:b w:val="0"/>
                <w:i w:val="0"/>
                <w:color w:val="000000"/>
                <w:sz w:val="11"/>
              </w:rPr>
              <w:t>180.00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180.00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2081099</w:t>
            </w:r>
          </w:p>
        </w:tc>
        <w:tc>
          <w:tcPr>
            <w:tcW w:w="1760" w:type="dxa"/>
            <w:vAlign w:val="center"/>
          </w:tcPr>
          <w:p>
            <w:pPr>
              <w:jc w:val="left"/>
            </w:pPr>
            <w:r>
              <w:rPr>
                <w:rFonts w:ascii="宋体" w:hAnsi="宋体" w:eastAsia="宋体" w:cs="宋体"/>
                <w:b w:val="0"/>
                <w:i w:val="0"/>
                <w:color w:val="000000"/>
                <w:sz w:val="11"/>
              </w:rPr>
              <w:t>其他社会福利支出</w:t>
            </w:r>
          </w:p>
        </w:tc>
        <w:tc>
          <w:tcPr>
            <w:tcW w:w="940" w:type="dxa"/>
            <w:vAlign w:val="center"/>
          </w:tcPr>
          <w:p>
            <w:pPr>
              <w:jc w:val="right"/>
            </w:pPr>
            <w:r>
              <w:rPr>
                <w:rFonts w:ascii="宋体" w:hAnsi="宋体" w:eastAsia="宋体" w:cs="宋体"/>
                <w:b w:val="0"/>
                <w:i w:val="0"/>
                <w:color w:val="000000"/>
                <w:sz w:val="11"/>
              </w:rPr>
              <w:t>180.00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180.00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5.78</w:t>
            </w:r>
          </w:p>
        </w:tc>
        <w:tc>
          <w:tcPr>
            <w:tcW w:w="1000" w:type="dxa"/>
            <w:vAlign w:val="center"/>
          </w:tcPr>
          <w:p>
            <w:pPr>
              <w:jc w:val="right"/>
            </w:pPr>
            <w:r>
              <w:rPr>
                <w:rFonts w:ascii="宋体" w:hAnsi="宋体" w:eastAsia="宋体" w:cs="宋体"/>
                <w:b w:val="0"/>
                <w:i w:val="0"/>
                <w:color w:val="000000"/>
                <w:sz w:val="11"/>
              </w:rPr>
              <w:t>5.78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5.78</w:t>
            </w:r>
          </w:p>
        </w:tc>
        <w:tc>
          <w:tcPr>
            <w:tcW w:w="1000" w:type="dxa"/>
            <w:vAlign w:val="center"/>
          </w:tcPr>
          <w:p>
            <w:pPr>
              <w:jc w:val="right"/>
            </w:pPr>
            <w:r>
              <w:rPr>
                <w:rFonts w:ascii="宋体" w:hAnsi="宋体" w:eastAsia="宋体" w:cs="宋体"/>
                <w:b w:val="0"/>
                <w:i w:val="0"/>
                <w:color w:val="000000"/>
                <w:sz w:val="11"/>
              </w:rPr>
              <w:t>5.78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5.65</w:t>
            </w:r>
          </w:p>
        </w:tc>
        <w:tc>
          <w:tcPr>
            <w:tcW w:w="1000" w:type="dxa"/>
            <w:vAlign w:val="center"/>
          </w:tcPr>
          <w:p>
            <w:pPr>
              <w:jc w:val="right"/>
            </w:pPr>
            <w:r>
              <w:rPr>
                <w:rFonts w:ascii="宋体" w:hAnsi="宋体" w:eastAsia="宋体" w:cs="宋体"/>
                <w:b w:val="0"/>
                <w:i w:val="0"/>
                <w:color w:val="000000"/>
                <w:sz w:val="11"/>
              </w:rPr>
              <w:t>5.65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0.13</w:t>
            </w:r>
          </w:p>
        </w:tc>
        <w:tc>
          <w:tcPr>
            <w:tcW w:w="1000" w:type="dxa"/>
            <w:vAlign w:val="center"/>
          </w:tcPr>
          <w:p>
            <w:pPr>
              <w:jc w:val="right"/>
            </w:pPr>
            <w:r>
              <w:rPr>
                <w:rFonts w:ascii="宋体" w:hAnsi="宋体" w:eastAsia="宋体" w:cs="宋体"/>
                <w:b w:val="0"/>
                <w:i w:val="0"/>
                <w:color w:val="000000"/>
                <w:sz w:val="11"/>
              </w:rPr>
              <w:t>0.13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w:t>
            </w:r>
          </w:p>
        </w:tc>
        <w:tc>
          <w:tcPr>
            <w:tcW w:w="1760" w:type="dxa"/>
            <w:vAlign w:val="center"/>
          </w:tcPr>
          <w:p>
            <w:pPr>
              <w:jc w:val="left"/>
            </w:pPr>
            <w:r>
              <w:rPr>
                <w:rFonts w:ascii="宋体" w:hAnsi="宋体" w:eastAsia="宋体" w:cs="宋体"/>
                <w:b w:val="0"/>
                <w:i w:val="0"/>
                <w:color w:val="000000"/>
                <w:sz w:val="11"/>
              </w:rPr>
              <w:t>节能环保支出</w:t>
            </w:r>
          </w:p>
        </w:tc>
        <w:tc>
          <w:tcPr>
            <w:tcW w:w="940" w:type="dxa"/>
            <w:vAlign w:val="center"/>
          </w:tcPr>
          <w:p>
            <w:pPr>
              <w:jc w:val="right"/>
            </w:pPr>
            <w:r>
              <w:rPr>
                <w:rFonts w:ascii="宋体" w:hAnsi="宋体" w:eastAsia="宋体" w:cs="宋体"/>
                <w:b w:val="0"/>
                <w:i w:val="0"/>
                <w:color w:val="000000"/>
                <w:sz w:val="11"/>
              </w:rPr>
              <w:t>258.14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258.14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21110</w:t>
            </w:r>
          </w:p>
        </w:tc>
        <w:tc>
          <w:tcPr>
            <w:tcW w:w="1760" w:type="dxa"/>
            <w:vAlign w:val="center"/>
          </w:tcPr>
          <w:p>
            <w:pPr>
              <w:jc w:val="left"/>
            </w:pPr>
            <w:r>
              <w:rPr>
                <w:rFonts w:ascii="宋体" w:hAnsi="宋体" w:eastAsia="宋体" w:cs="宋体"/>
                <w:b w:val="0"/>
                <w:i w:val="0"/>
                <w:color w:val="000000"/>
                <w:sz w:val="11"/>
              </w:rPr>
              <w:t>能源节约利用</w:t>
            </w:r>
          </w:p>
        </w:tc>
        <w:tc>
          <w:tcPr>
            <w:tcW w:w="940" w:type="dxa"/>
            <w:vAlign w:val="center"/>
          </w:tcPr>
          <w:p>
            <w:pPr>
              <w:jc w:val="right"/>
            </w:pPr>
            <w:r>
              <w:rPr>
                <w:rFonts w:ascii="宋体" w:hAnsi="宋体" w:eastAsia="宋体" w:cs="宋体"/>
                <w:b w:val="0"/>
                <w:i w:val="0"/>
                <w:color w:val="000000"/>
                <w:sz w:val="11"/>
              </w:rPr>
              <w:t>258.14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258.14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2111001</w:t>
            </w:r>
          </w:p>
        </w:tc>
        <w:tc>
          <w:tcPr>
            <w:tcW w:w="1760" w:type="dxa"/>
            <w:vAlign w:val="center"/>
          </w:tcPr>
          <w:p>
            <w:pPr>
              <w:jc w:val="left"/>
            </w:pPr>
            <w:r>
              <w:rPr>
                <w:rFonts w:ascii="宋体" w:hAnsi="宋体" w:eastAsia="宋体" w:cs="宋体"/>
                <w:b w:val="0"/>
                <w:i w:val="0"/>
                <w:color w:val="000000"/>
                <w:sz w:val="11"/>
              </w:rPr>
              <w:t>能源节约利用</w:t>
            </w:r>
          </w:p>
        </w:tc>
        <w:tc>
          <w:tcPr>
            <w:tcW w:w="940" w:type="dxa"/>
            <w:vAlign w:val="center"/>
          </w:tcPr>
          <w:p>
            <w:pPr>
              <w:jc w:val="right"/>
            </w:pPr>
            <w:r>
              <w:rPr>
                <w:rFonts w:ascii="宋体" w:hAnsi="宋体" w:eastAsia="宋体" w:cs="宋体"/>
                <w:b w:val="0"/>
                <w:i w:val="0"/>
                <w:color w:val="000000"/>
                <w:sz w:val="11"/>
              </w:rPr>
              <w:t>258.14</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258.14</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12.94</w:t>
            </w:r>
          </w:p>
        </w:tc>
        <w:tc>
          <w:tcPr>
            <w:tcW w:w="1000" w:type="dxa"/>
            <w:vAlign w:val="center"/>
          </w:tcPr>
          <w:p>
            <w:pPr>
              <w:jc w:val="right"/>
            </w:pPr>
            <w:r>
              <w:rPr>
                <w:rFonts w:ascii="宋体" w:hAnsi="宋体" w:eastAsia="宋体" w:cs="宋体"/>
                <w:b w:val="0"/>
                <w:i w:val="0"/>
                <w:color w:val="000000"/>
                <w:sz w:val="11"/>
              </w:rPr>
              <w:t>12.94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12.94</w:t>
            </w:r>
          </w:p>
        </w:tc>
        <w:tc>
          <w:tcPr>
            <w:tcW w:w="1000" w:type="dxa"/>
            <w:vAlign w:val="center"/>
          </w:tcPr>
          <w:p>
            <w:pPr>
              <w:jc w:val="right"/>
            </w:pPr>
            <w:r>
              <w:rPr>
                <w:rFonts w:ascii="宋体" w:hAnsi="宋体" w:eastAsia="宋体" w:cs="宋体"/>
                <w:b w:val="0"/>
                <w:i w:val="0"/>
                <w:color w:val="000000"/>
                <w:sz w:val="11"/>
              </w:rPr>
              <w:t>12.94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12.94</w:t>
            </w:r>
          </w:p>
        </w:tc>
        <w:tc>
          <w:tcPr>
            <w:tcW w:w="1000" w:type="dxa"/>
            <w:vAlign w:val="center"/>
          </w:tcPr>
          <w:p>
            <w:pPr>
              <w:jc w:val="right"/>
            </w:pPr>
            <w:r>
              <w:rPr>
                <w:rFonts w:ascii="宋体" w:hAnsi="宋体" w:eastAsia="宋体" w:cs="宋体"/>
                <w:b w:val="0"/>
                <w:i w:val="0"/>
                <w:color w:val="000000"/>
                <w:sz w:val="11"/>
              </w:rPr>
              <w:t>12.94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1,124.24</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499.88</w:t>
            </w:r>
          </w:p>
        </w:tc>
        <w:tc>
          <w:tcPr>
            <w:tcW w:w="1460" w:type="dxa"/>
            <w:vAlign w:val="center"/>
          </w:tcPr>
          <w:p>
            <w:pPr>
              <w:jc w:val="right"/>
            </w:pPr>
            <w:r>
              <w:rPr>
                <w:rFonts w:ascii="宋体" w:hAnsi="宋体" w:eastAsia="宋体" w:cs="宋体"/>
                <w:b w:val="0"/>
                <w:i w:val="0"/>
                <w:color w:val="000000"/>
                <w:sz w:val="17"/>
              </w:rPr>
              <w:t>499.88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pPr>
              <w:jc w:val="right"/>
            </w:pPr>
            <w:r>
              <w:rPr>
                <w:rFonts w:ascii="宋体" w:hAnsi="宋体" w:eastAsia="宋体" w:cs="宋体"/>
                <w:b w:val="0"/>
                <w:i w:val="0"/>
                <w:color w:val="000000"/>
                <w:sz w:val="17"/>
              </w:rPr>
              <w:t>4.94</w:t>
            </w:r>
          </w:p>
        </w:tc>
        <w:tc>
          <w:tcPr>
            <w:tcW w:w="1460" w:type="dxa"/>
            <w:vAlign w:val="center"/>
          </w:tcPr>
          <w:p>
            <w:pPr>
              <w:jc w:val="right"/>
            </w:pPr>
            <w:r>
              <w:rPr>
                <w:rFonts w:ascii="宋体" w:hAnsi="宋体" w:eastAsia="宋体" w:cs="宋体"/>
                <w:b w:val="0"/>
                <w:i w:val="0"/>
                <w:color w:val="000000"/>
                <w:sz w:val="17"/>
              </w:rPr>
              <w:t>4.94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pPr>
              <w:jc w:val="right"/>
            </w:pPr>
            <w:r>
              <w:rPr>
                <w:rFonts w:ascii="宋体" w:hAnsi="宋体" w:eastAsia="宋体" w:cs="宋体"/>
                <w:b w:val="0"/>
                <w:i w:val="0"/>
                <w:color w:val="000000"/>
                <w:sz w:val="17"/>
              </w:rPr>
              <w:t>150.00</w:t>
            </w:r>
          </w:p>
        </w:tc>
        <w:tc>
          <w:tcPr>
            <w:tcW w:w="1460" w:type="dxa"/>
            <w:vAlign w:val="center"/>
          </w:tcPr>
          <w:p>
            <w:pPr>
              <w:jc w:val="right"/>
            </w:pPr>
            <w:r>
              <w:rPr>
                <w:rFonts w:ascii="宋体" w:hAnsi="宋体" w:eastAsia="宋体" w:cs="宋体"/>
                <w:b w:val="0"/>
                <w:i w:val="0"/>
                <w:color w:val="000000"/>
                <w:sz w:val="17"/>
              </w:rPr>
              <w:t>150.00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192.57</w:t>
            </w:r>
          </w:p>
        </w:tc>
        <w:tc>
          <w:tcPr>
            <w:tcW w:w="1460" w:type="dxa"/>
            <w:vAlign w:val="center"/>
          </w:tcPr>
          <w:p>
            <w:pPr>
              <w:jc w:val="right"/>
            </w:pPr>
            <w:r>
              <w:rPr>
                <w:rFonts w:ascii="宋体" w:hAnsi="宋体" w:eastAsia="宋体" w:cs="宋体"/>
                <w:b w:val="0"/>
                <w:i w:val="0"/>
                <w:color w:val="000000"/>
                <w:sz w:val="17"/>
              </w:rPr>
              <w:t>192.57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5.78</w:t>
            </w:r>
          </w:p>
        </w:tc>
        <w:tc>
          <w:tcPr>
            <w:tcW w:w="1460" w:type="dxa"/>
            <w:vAlign w:val="center"/>
          </w:tcPr>
          <w:p>
            <w:pPr>
              <w:jc w:val="right"/>
            </w:pPr>
            <w:r>
              <w:rPr>
                <w:rFonts w:ascii="宋体" w:hAnsi="宋体" w:eastAsia="宋体" w:cs="宋体"/>
                <w:b w:val="0"/>
                <w:i w:val="0"/>
                <w:color w:val="000000"/>
                <w:sz w:val="17"/>
              </w:rPr>
              <w:t>5.78</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pPr>
              <w:jc w:val="right"/>
            </w:pPr>
            <w:r>
              <w:rPr>
                <w:rFonts w:ascii="宋体" w:hAnsi="宋体" w:eastAsia="宋体" w:cs="宋体"/>
                <w:b w:val="0"/>
                <w:i w:val="0"/>
                <w:color w:val="000000"/>
                <w:sz w:val="17"/>
              </w:rPr>
              <w:t>258.14</w:t>
            </w:r>
          </w:p>
        </w:tc>
        <w:tc>
          <w:tcPr>
            <w:tcW w:w="1460" w:type="dxa"/>
            <w:vAlign w:val="center"/>
          </w:tcPr>
          <w:p>
            <w:pPr>
              <w:jc w:val="right"/>
            </w:pPr>
            <w:r>
              <w:rPr>
                <w:rFonts w:ascii="宋体" w:hAnsi="宋体" w:eastAsia="宋体" w:cs="宋体"/>
                <w:b w:val="0"/>
                <w:i w:val="0"/>
                <w:color w:val="000000"/>
                <w:sz w:val="17"/>
              </w:rPr>
              <w:t>258.14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12.94</w:t>
            </w:r>
          </w:p>
        </w:tc>
        <w:tc>
          <w:tcPr>
            <w:tcW w:w="1460" w:type="dxa"/>
            <w:vAlign w:val="center"/>
          </w:tcPr>
          <w:p>
            <w:pPr>
              <w:jc w:val="right"/>
            </w:pPr>
            <w:r>
              <w:rPr>
                <w:rFonts w:ascii="宋体" w:hAnsi="宋体" w:eastAsia="宋体" w:cs="宋体"/>
                <w:b w:val="0"/>
                <w:i w:val="0"/>
                <w:color w:val="000000"/>
                <w:sz w:val="17"/>
              </w:rPr>
              <w:t>12.94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1,124.24</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1,124.24</w:t>
            </w:r>
          </w:p>
        </w:tc>
        <w:tc>
          <w:tcPr>
            <w:tcW w:w="1460" w:type="dxa"/>
            <w:vAlign w:val="center"/>
          </w:tcPr>
          <w:p>
            <w:pPr>
              <w:jc w:val="right"/>
            </w:pPr>
            <w:r>
              <w:rPr>
                <w:rFonts w:ascii="宋体" w:hAnsi="宋体" w:eastAsia="宋体" w:cs="宋体"/>
                <w:b w:val="0"/>
                <w:i w:val="0"/>
                <w:color w:val="000000"/>
                <w:sz w:val="17"/>
              </w:rPr>
              <w:t>1,124.24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1,124.24</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1,124.24</w:t>
            </w:r>
          </w:p>
        </w:tc>
        <w:tc>
          <w:tcPr>
            <w:tcW w:w="1460" w:type="dxa"/>
            <w:vAlign w:val="center"/>
          </w:tcPr>
          <w:p>
            <w:pPr>
              <w:jc w:val="right"/>
            </w:pPr>
            <w:r>
              <w:rPr>
                <w:rFonts w:ascii="宋体" w:hAnsi="宋体" w:eastAsia="宋体" w:cs="宋体"/>
                <w:b w:val="0"/>
                <w:i w:val="0"/>
                <w:color w:val="000000"/>
                <w:sz w:val="17"/>
              </w:rPr>
              <w:t>1,124.24</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1,124.24</w:t>
            </w:r>
          </w:p>
        </w:tc>
        <w:tc>
          <w:tcPr>
            <w:tcW w:w="1520" w:type="dxa"/>
            <w:vAlign w:val="center"/>
          </w:tcPr>
          <w:p>
            <w:pPr>
              <w:jc w:val="right"/>
            </w:pPr>
            <w:r>
              <w:rPr>
                <w:rFonts w:ascii="宋体" w:hAnsi="宋体" w:eastAsia="宋体" w:cs="宋体"/>
                <w:b w:val="0"/>
                <w:i w:val="0"/>
                <w:color w:val="000000"/>
                <w:sz w:val="16"/>
              </w:rPr>
              <w:t>222.44</w:t>
            </w:r>
          </w:p>
        </w:tc>
        <w:tc>
          <w:tcPr>
            <w:tcW w:w="1526" w:type="dxa"/>
            <w:vAlign w:val="center"/>
          </w:tcPr>
          <w:p>
            <w:pPr>
              <w:jc w:val="right"/>
            </w:pPr>
            <w:r>
              <w:rPr>
                <w:rFonts w:ascii="宋体" w:hAnsi="宋体" w:eastAsia="宋体" w:cs="宋体"/>
                <w:b w:val="0"/>
                <w:i w:val="0"/>
                <w:color w:val="000000"/>
                <w:sz w:val="16"/>
              </w:rPr>
              <w:t>901.80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499.88</w:t>
            </w:r>
          </w:p>
        </w:tc>
        <w:tc>
          <w:tcPr>
            <w:tcW w:w="1520" w:type="dxa"/>
            <w:vAlign w:val="center"/>
          </w:tcPr>
          <w:p>
            <w:pPr>
              <w:jc w:val="right"/>
            </w:pPr>
            <w:r>
              <w:rPr>
                <w:rFonts w:ascii="宋体" w:hAnsi="宋体" w:eastAsia="宋体" w:cs="宋体"/>
                <w:b w:val="0"/>
                <w:i w:val="0"/>
                <w:color w:val="000000"/>
                <w:sz w:val="16"/>
              </w:rPr>
              <w:t>191.15</w:t>
            </w:r>
          </w:p>
        </w:tc>
        <w:tc>
          <w:tcPr>
            <w:tcW w:w="1526" w:type="dxa"/>
            <w:vAlign w:val="center"/>
          </w:tcPr>
          <w:p>
            <w:pPr>
              <w:jc w:val="right"/>
            </w:pPr>
            <w:r>
              <w:rPr>
                <w:rFonts w:ascii="宋体" w:hAnsi="宋体" w:eastAsia="宋体" w:cs="宋体"/>
                <w:b w:val="0"/>
                <w:i w:val="0"/>
                <w:color w:val="000000"/>
                <w:sz w:val="16"/>
              </w:rPr>
              <w:t>308.73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20104</w:t>
            </w:r>
          </w:p>
        </w:tc>
        <w:tc>
          <w:tcPr>
            <w:tcW w:w="2700" w:type="dxa"/>
            <w:vAlign w:val="center"/>
          </w:tcPr>
          <w:p>
            <w:pPr>
              <w:jc w:val="left"/>
            </w:pPr>
            <w:r>
              <w:rPr>
                <w:rFonts w:ascii="宋体" w:hAnsi="宋体" w:eastAsia="宋体" w:cs="宋体"/>
                <w:b w:val="0"/>
                <w:i w:val="0"/>
                <w:color w:val="000000"/>
                <w:sz w:val="16"/>
              </w:rPr>
              <w:t>发展与改革事务</w:t>
            </w:r>
          </w:p>
        </w:tc>
        <w:tc>
          <w:tcPr>
            <w:tcW w:w="1420" w:type="dxa"/>
            <w:vAlign w:val="center"/>
          </w:tcPr>
          <w:p>
            <w:pPr>
              <w:jc w:val="right"/>
            </w:pPr>
            <w:r>
              <w:rPr>
                <w:rFonts w:ascii="宋体" w:hAnsi="宋体" w:eastAsia="宋体" w:cs="宋体"/>
                <w:b w:val="0"/>
                <w:i w:val="0"/>
                <w:color w:val="000000"/>
                <w:sz w:val="16"/>
              </w:rPr>
              <w:t>499.88</w:t>
            </w:r>
          </w:p>
        </w:tc>
        <w:tc>
          <w:tcPr>
            <w:tcW w:w="1520" w:type="dxa"/>
            <w:vAlign w:val="center"/>
          </w:tcPr>
          <w:p>
            <w:pPr>
              <w:jc w:val="right"/>
            </w:pPr>
            <w:r>
              <w:rPr>
                <w:rFonts w:ascii="宋体" w:hAnsi="宋体" w:eastAsia="宋体" w:cs="宋体"/>
                <w:b w:val="0"/>
                <w:i w:val="0"/>
                <w:color w:val="000000"/>
                <w:sz w:val="16"/>
              </w:rPr>
              <w:t>191.15</w:t>
            </w:r>
          </w:p>
        </w:tc>
        <w:tc>
          <w:tcPr>
            <w:tcW w:w="1526" w:type="dxa"/>
            <w:vAlign w:val="center"/>
          </w:tcPr>
          <w:p>
            <w:pPr>
              <w:jc w:val="right"/>
            </w:pPr>
            <w:r>
              <w:rPr>
                <w:rFonts w:ascii="宋体" w:hAnsi="宋体" w:eastAsia="宋体" w:cs="宋体"/>
                <w:b w:val="0"/>
                <w:i w:val="0"/>
                <w:color w:val="000000"/>
                <w:sz w:val="16"/>
              </w:rPr>
              <w:t>308.73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2010401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147.69</w:t>
            </w:r>
          </w:p>
        </w:tc>
        <w:tc>
          <w:tcPr>
            <w:tcW w:w="1520" w:type="dxa"/>
            <w:vAlign w:val="center"/>
          </w:tcPr>
          <w:p>
            <w:pPr>
              <w:jc w:val="right"/>
            </w:pPr>
            <w:r>
              <w:rPr>
                <w:rFonts w:ascii="宋体" w:hAnsi="宋体" w:eastAsia="宋体" w:cs="宋体"/>
                <w:b w:val="0"/>
                <w:i w:val="0"/>
                <w:color w:val="000000"/>
                <w:sz w:val="16"/>
              </w:rPr>
              <w:t>147.69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2010402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352.19</w:t>
            </w:r>
          </w:p>
        </w:tc>
        <w:tc>
          <w:tcPr>
            <w:tcW w:w="1520" w:type="dxa"/>
            <w:vAlign w:val="center"/>
          </w:tcPr>
          <w:p>
            <w:pPr>
              <w:jc w:val="right"/>
            </w:pPr>
            <w:r>
              <w:rPr>
                <w:rFonts w:ascii="宋体" w:hAnsi="宋体" w:eastAsia="宋体" w:cs="宋体"/>
                <w:b w:val="0"/>
                <w:i w:val="0"/>
                <w:color w:val="000000"/>
                <w:sz w:val="16"/>
              </w:rPr>
              <w:t>43.46</w:t>
            </w:r>
          </w:p>
        </w:tc>
        <w:tc>
          <w:tcPr>
            <w:tcW w:w="1526" w:type="dxa"/>
            <w:vAlign w:val="center"/>
          </w:tcPr>
          <w:p>
            <w:pPr>
              <w:jc w:val="right"/>
            </w:pPr>
            <w:r>
              <w:rPr>
                <w:rFonts w:ascii="宋体" w:hAnsi="宋体" w:eastAsia="宋体" w:cs="宋体"/>
                <w:b w:val="0"/>
                <w:i w:val="0"/>
                <w:color w:val="000000"/>
                <w:sz w:val="16"/>
              </w:rPr>
              <w:t>308.73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w:t>
            </w:r>
          </w:p>
        </w:tc>
        <w:tc>
          <w:tcPr>
            <w:tcW w:w="2700" w:type="dxa"/>
            <w:vAlign w:val="center"/>
          </w:tcPr>
          <w:p>
            <w:pPr>
              <w:jc w:val="left"/>
            </w:pPr>
            <w:r>
              <w:rPr>
                <w:rFonts w:ascii="宋体" w:hAnsi="宋体" w:eastAsia="宋体" w:cs="宋体"/>
                <w:b w:val="0"/>
                <w:i w:val="0"/>
                <w:color w:val="000000"/>
                <w:sz w:val="16"/>
              </w:rPr>
              <w:t>国防支出</w:t>
            </w:r>
          </w:p>
        </w:tc>
        <w:tc>
          <w:tcPr>
            <w:tcW w:w="1420" w:type="dxa"/>
            <w:vAlign w:val="center"/>
          </w:tcPr>
          <w:p>
            <w:pPr>
              <w:jc w:val="right"/>
            </w:pPr>
            <w:r>
              <w:rPr>
                <w:rFonts w:ascii="宋体" w:hAnsi="宋体" w:eastAsia="宋体" w:cs="宋体"/>
                <w:b w:val="0"/>
                <w:i w:val="0"/>
                <w:color w:val="000000"/>
                <w:sz w:val="16"/>
              </w:rPr>
              <w:t>4.94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20306</w:t>
            </w:r>
          </w:p>
        </w:tc>
        <w:tc>
          <w:tcPr>
            <w:tcW w:w="2700" w:type="dxa"/>
            <w:vAlign w:val="center"/>
          </w:tcPr>
          <w:p>
            <w:pPr>
              <w:jc w:val="left"/>
            </w:pPr>
            <w:r>
              <w:rPr>
                <w:rFonts w:ascii="宋体" w:hAnsi="宋体" w:eastAsia="宋体" w:cs="宋体"/>
                <w:b w:val="0"/>
                <w:i w:val="0"/>
                <w:color w:val="000000"/>
                <w:sz w:val="16"/>
              </w:rPr>
              <w:t>国防动员</w:t>
            </w:r>
          </w:p>
        </w:tc>
        <w:tc>
          <w:tcPr>
            <w:tcW w:w="1420" w:type="dxa"/>
            <w:vAlign w:val="center"/>
          </w:tcPr>
          <w:p>
            <w:pPr>
              <w:jc w:val="right"/>
            </w:pPr>
            <w:r>
              <w:rPr>
                <w:rFonts w:ascii="宋体" w:hAnsi="宋体" w:eastAsia="宋体" w:cs="宋体"/>
                <w:b w:val="0"/>
                <w:i w:val="0"/>
                <w:color w:val="000000"/>
                <w:sz w:val="16"/>
              </w:rPr>
              <w:t>4.94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2030699</w:t>
            </w:r>
          </w:p>
        </w:tc>
        <w:tc>
          <w:tcPr>
            <w:tcW w:w="2700" w:type="dxa"/>
            <w:vAlign w:val="center"/>
          </w:tcPr>
          <w:p>
            <w:pPr>
              <w:jc w:val="left"/>
            </w:pPr>
            <w:r>
              <w:rPr>
                <w:rFonts w:ascii="宋体" w:hAnsi="宋体" w:eastAsia="宋体" w:cs="宋体"/>
                <w:b w:val="0"/>
                <w:i w:val="0"/>
                <w:color w:val="000000"/>
                <w:sz w:val="16"/>
              </w:rPr>
              <w:t>其他国防动员支出</w:t>
            </w:r>
          </w:p>
        </w:tc>
        <w:tc>
          <w:tcPr>
            <w:tcW w:w="1420" w:type="dxa"/>
            <w:vAlign w:val="center"/>
          </w:tcPr>
          <w:p>
            <w:pPr>
              <w:jc w:val="right"/>
            </w:pPr>
            <w:r>
              <w:rPr>
                <w:rFonts w:ascii="宋体" w:hAnsi="宋体" w:eastAsia="宋体" w:cs="宋体"/>
                <w:b w:val="0"/>
                <w:i w:val="0"/>
                <w:color w:val="000000"/>
                <w:sz w:val="16"/>
              </w:rPr>
              <w:t>4.94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4.94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w:t>
            </w:r>
          </w:p>
        </w:tc>
        <w:tc>
          <w:tcPr>
            <w:tcW w:w="2700" w:type="dxa"/>
            <w:vAlign w:val="center"/>
          </w:tcPr>
          <w:p>
            <w:pPr>
              <w:jc w:val="left"/>
            </w:pPr>
            <w:r>
              <w:rPr>
                <w:rFonts w:ascii="宋体" w:hAnsi="宋体" w:eastAsia="宋体" w:cs="宋体"/>
                <w:b w:val="0"/>
                <w:i w:val="0"/>
                <w:color w:val="000000"/>
                <w:sz w:val="16"/>
              </w:rPr>
              <w:t>文化旅游体育与传媒支出</w:t>
            </w:r>
          </w:p>
        </w:tc>
        <w:tc>
          <w:tcPr>
            <w:tcW w:w="1420" w:type="dxa"/>
            <w:vAlign w:val="center"/>
          </w:tcPr>
          <w:p>
            <w:pPr>
              <w:jc w:val="right"/>
            </w:pPr>
            <w:r>
              <w:rPr>
                <w:rFonts w:ascii="宋体" w:hAnsi="宋体" w:eastAsia="宋体" w:cs="宋体"/>
                <w:b w:val="0"/>
                <w:i w:val="0"/>
                <w:color w:val="000000"/>
                <w:sz w:val="16"/>
              </w:rPr>
              <w:t>150.00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20703</w:t>
            </w:r>
          </w:p>
        </w:tc>
        <w:tc>
          <w:tcPr>
            <w:tcW w:w="2700" w:type="dxa"/>
            <w:vAlign w:val="center"/>
          </w:tcPr>
          <w:p>
            <w:pPr>
              <w:jc w:val="left"/>
            </w:pPr>
            <w:r>
              <w:rPr>
                <w:rFonts w:ascii="宋体" w:hAnsi="宋体" w:eastAsia="宋体" w:cs="宋体"/>
                <w:b w:val="0"/>
                <w:i w:val="0"/>
                <w:color w:val="000000"/>
                <w:sz w:val="16"/>
              </w:rPr>
              <w:t>体育</w:t>
            </w:r>
          </w:p>
        </w:tc>
        <w:tc>
          <w:tcPr>
            <w:tcW w:w="1420" w:type="dxa"/>
            <w:vAlign w:val="center"/>
          </w:tcPr>
          <w:p>
            <w:pPr>
              <w:jc w:val="right"/>
            </w:pPr>
            <w:r>
              <w:rPr>
                <w:rFonts w:ascii="宋体" w:hAnsi="宋体" w:eastAsia="宋体" w:cs="宋体"/>
                <w:b w:val="0"/>
                <w:i w:val="0"/>
                <w:color w:val="000000"/>
                <w:sz w:val="16"/>
              </w:rPr>
              <w:t>150.00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2070307</w:t>
            </w:r>
          </w:p>
        </w:tc>
        <w:tc>
          <w:tcPr>
            <w:tcW w:w="2700" w:type="dxa"/>
            <w:vAlign w:val="center"/>
          </w:tcPr>
          <w:p>
            <w:pPr>
              <w:jc w:val="left"/>
            </w:pPr>
            <w:r>
              <w:rPr>
                <w:rFonts w:ascii="宋体" w:hAnsi="宋体" w:eastAsia="宋体" w:cs="宋体"/>
                <w:b w:val="0"/>
                <w:i w:val="0"/>
                <w:color w:val="000000"/>
                <w:sz w:val="16"/>
              </w:rPr>
              <w:t>体育场馆</w:t>
            </w:r>
          </w:p>
        </w:tc>
        <w:tc>
          <w:tcPr>
            <w:tcW w:w="1420" w:type="dxa"/>
            <w:vAlign w:val="center"/>
          </w:tcPr>
          <w:p>
            <w:pPr>
              <w:jc w:val="right"/>
            </w:pPr>
            <w:r>
              <w:rPr>
                <w:rFonts w:ascii="宋体" w:hAnsi="宋体" w:eastAsia="宋体" w:cs="宋体"/>
                <w:b w:val="0"/>
                <w:i w:val="0"/>
                <w:color w:val="000000"/>
                <w:sz w:val="16"/>
              </w:rPr>
              <w:t>150.00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192.57</w:t>
            </w:r>
          </w:p>
        </w:tc>
        <w:tc>
          <w:tcPr>
            <w:tcW w:w="1520" w:type="dxa"/>
            <w:vAlign w:val="center"/>
          </w:tcPr>
          <w:p>
            <w:pPr>
              <w:jc w:val="right"/>
            </w:pPr>
            <w:r>
              <w:rPr>
                <w:rFonts w:ascii="宋体" w:hAnsi="宋体" w:eastAsia="宋体" w:cs="宋体"/>
                <w:b w:val="0"/>
                <w:i w:val="0"/>
                <w:color w:val="000000"/>
                <w:sz w:val="16"/>
              </w:rPr>
              <w:t>12.57</w:t>
            </w:r>
          </w:p>
        </w:tc>
        <w:tc>
          <w:tcPr>
            <w:tcW w:w="1526" w:type="dxa"/>
            <w:vAlign w:val="center"/>
          </w:tcPr>
          <w:p>
            <w:pPr>
              <w:jc w:val="right"/>
            </w:pPr>
            <w:r>
              <w:rPr>
                <w:rFonts w:ascii="宋体" w:hAnsi="宋体" w:eastAsia="宋体" w:cs="宋体"/>
                <w:b w:val="0"/>
                <w:i w:val="0"/>
                <w:color w:val="000000"/>
                <w:sz w:val="16"/>
              </w:rPr>
              <w:t>180.00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12.57</w:t>
            </w:r>
          </w:p>
        </w:tc>
        <w:tc>
          <w:tcPr>
            <w:tcW w:w="1520" w:type="dxa"/>
            <w:vAlign w:val="center"/>
          </w:tcPr>
          <w:p>
            <w:pPr>
              <w:jc w:val="right"/>
            </w:pPr>
            <w:r>
              <w:rPr>
                <w:rFonts w:ascii="宋体" w:hAnsi="宋体" w:eastAsia="宋体" w:cs="宋体"/>
                <w:b w:val="0"/>
                <w:i w:val="0"/>
                <w:color w:val="000000"/>
                <w:sz w:val="16"/>
              </w:rPr>
              <w:t>12.57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12.57</w:t>
            </w:r>
          </w:p>
        </w:tc>
        <w:tc>
          <w:tcPr>
            <w:tcW w:w="1520" w:type="dxa"/>
            <w:vAlign w:val="center"/>
          </w:tcPr>
          <w:p>
            <w:pPr>
              <w:jc w:val="right"/>
            </w:pPr>
            <w:r>
              <w:rPr>
                <w:rFonts w:ascii="宋体" w:hAnsi="宋体" w:eastAsia="宋体" w:cs="宋体"/>
                <w:b w:val="0"/>
                <w:i w:val="0"/>
                <w:color w:val="000000"/>
                <w:sz w:val="16"/>
              </w:rPr>
              <w:t>12.57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20810</w:t>
            </w:r>
          </w:p>
        </w:tc>
        <w:tc>
          <w:tcPr>
            <w:tcW w:w="2700" w:type="dxa"/>
            <w:vAlign w:val="center"/>
          </w:tcPr>
          <w:p>
            <w:pPr>
              <w:jc w:val="left"/>
            </w:pPr>
            <w:r>
              <w:rPr>
                <w:rFonts w:ascii="宋体" w:hAnsi="宋体" w:eastAsia="宋体" w:cs="宋体"/>
                <w:b w:val="0"/>
                <w:i w:val="0"/>
                <w:color w:val="000000"/>
                <w:sz w:val="16"/>
              </w:rPr>
              <w:t>社会福利</w:t>
            </w:r>
          </w:p>
        </w:tc>
        <w:tc>
          <w:tcPr>
            <w:tcW w:w="1420" w:type="dxa"/>
            <w:vAlign w:val="center"/>
          </w:tcPr>
          <w:p>
            <w:pPr>
              <w:jc w:val="right"/>
            </w:pPr>
            <w:r>
              <w:rPr>
                <w:rFonts w:ascii="宋体" w:hAnsi="宋体" w:eastAsia="宋体" w:cs="宋体"/>
                <w:b w:val="0"/>
                <w:i w:val="0"/>
                <w:color w:val="000000"/>
                <w:sz w:val="16"/>
              </w:rPr>
              <w:t>180.00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2081099</w:t>
            </w:r>
          </w:p>
        </w:tc>
        <w:tc>
          <w:tcPr>
            <w:tcW w:w="2700" w:type="dxa"/>
            <w:vAlign w:val="center"/>
          </w:tcPr>
          <w:p>
            <w:pPr>
              <w:jc w:val="left"/>
            </w:pPr>
            <w:r>
              <w:rPr>
                <w:rFonts w:ascii="宋体" w:hAnsi="宋体" w:eastAsia="宋体" w:cs="宋体"/>
                <w:b w:val="0"/>
                <w:i w:val="0"/>
                <w:color w:val="000000"/>
                <w:sz w:val="16"/>
              </w:rPr>
              <w:t>其他社会福利支出</w:t>
            </w:r>
          </w:p>
        </w:tc>
        <w:tc>
          <w:tcPr>
            <w:tcW w:w="1420" w:type="dxa"/>
            <w:vAlign w:val="center"/>
          </w:tcPr>
          <w:p>
            <w:pPr>
              <w:jc w:val="right"/>
            </w:pPr>
            <w:r>
              <w:rPr>
                <w:rFonts w:ascii="宋体" w:hAnsi="宋体" w:eastAsia="宋体" w:cs="宋体"/>
                <w:b w:val="0"/>
                <w:i w:val="0"/>
                <w:color w:val="000000"/>
                <w:sz w:val="16"/>
              </w:rPr>
              <w:t>180.00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180.00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5.78</w:t>
            </w:r>
          </w:p>
        </w:tc>
        <w:tc>
          <w:tcPr>
            <w:tcW w:w="1520" w:type="dxa"/>
            <w:vAlign w:val="center"/>
          </w:tcPr>
          <w:p>
            <w:pPr>
              <w:jc w:val="right"/>
            </w:pPr>
            <w:r>
              <w:rPr>
                <w:rFonts w:ascii="宋体" w:hAnsi="宋体" w:eastAsia="宋体" w:cs="宋体"/>
                <w:b w:val="0"/>
                <w:i w:val="0"/>
                <w:color w:val="000000"/>
                <w:sz w:val="16"/>
              </w:rPr>
              <w:t>5.78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5.78</w:t>
            </w:r>
          </w:p>
        </w:tc>
        <w:tc>
          <w:tcPr>
            <w:tcW w:w="1520" w:type="dxa"/>
            <w:vAlign w:val="center"/>
          </w:tcPr>
          <w:p>
            <w:pPr>
              <w:jc w:val="right"/>
            </w:pPr>
            <w:r>
              <w:rPr>
                <w:rFonts w:ascii="宋体" w:hAnsi="宋体" w:eastAsia="宋体" w:cs="宋体"/>
                <w:b w:val="0"/>
                <w:i w:val="0"/>
                <w:color w:val="000000"/>
                <w:sz w:val="16"/>
              </w:rPr>
              <w:t>5.78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5.65</w:t>
            </w:r>
          </w:p>
        </w:tc>
        <w:tc>
          <w:tcPr>
            <w:tcW w:w="1520" w:type="dxa"/>
            <w:vAlign w:val="center"/>
          </w:tcPr>
          <w:p>
            <w:pPr>
              <w:jc w:val="right"/>
            </w:pPr>
            <w:r>
              <w:rPr>
                <w:rFonts w:ascii="宋体" w:hAnsi="宋体" w:eastAsia="宋体" w:cs="宋体"/>
                <w:b w:val="0"/>
                <w:i w:val="0"/>
                <w:color w:val="000000"/>
                <w:sz w:val="16"/>
              </w:rPr>
              <w:t>5.65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0.13</w:t>
            </w:r>
          </w:p>
        </w:tc>
        <w:tc>
          <w:tcPr>
            <w:tcW w:w="1520" w:type="dxa"/>
            <w:vAlign w:val="center"/>
          </w:tcPr>
          <w:p>
            <w:pPr>
              <w:jc w:val="right"/>
            </w:pPr>
            <w:r>
              <w:rPr>
                <w:rFonts w:ascii="宋体" w:hAnsi="宋体" w:eastAsia="宋体" w:cs="宋体"/>
                <w:b w:val="0"/>
                <w:i w:val="0"/>
                <w:color w:val="000000"/>
                <w:sz w:val="16"/>
              </w:rPr>
              <w:t>0.13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w:t>
            </w:r>
          </w:p>
        </w:tc>
        <w:tc>
          <w:tcPr>
            <w:tcW w:w="2700" w:type="dxa"/>
            <w:vAlign w:val="center"/>
          </w:tcPr>
          <w:p>
            <w:pPr>
              <w:jc w:val="left"/>
            </w:pPr>
            <w:r>
              <w:rPr>
                <w:rFonts w:ascii="宋体" w:hAnsi="宋体" w:eastAsia="宋体" w:cs="宋体"/>
                <w:b w:val="0"/>
                <w:i w:val="0"/>
                <w:color w:val="000000"/>
                <w:sz w:val="16"/>
              </w:rPr>
              <w:t>节能环保支出</w:t>
            </w:r>
          </w:p>
        </w:tc>
        <w:tc>
          <w:tcPr>
            <w:tcW w:w="1420" w:type="dxa"/>
            <w:vAlign w:val="center"/>
          </w:tcPr>
          <w:p>
            <w:pPr>
              <w:jc w:val="right"/>
            </w:pPr>
            <w:r>
              <w:rPr>
                <w:rFonts w:ascii="宋体" w:hAnsi="宋体" w:eastAsia="宋体" w:cs="宋体"/>
                <w:b w:val="0"/>
                <w:i w:val="0"/>
                <w:color w:val="000000"/>
                <w:sz w:val="16"/>
              </w:rPr>
              <w:t>258.14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258.14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21110</w:t>
            </w:r>
          </w:p>
        </w:tc>
        <w:tc>
          <w:tcPr>
            <w:tcW w:w="2700" w:type="dxa"/>
            <w:vAlign w:val="center"/>
          </w:tcPr>
          <w:p>
            <w:pPr>
              <w:jc w:val="left"/>
            </w:pPr>
            <w:r>
              <w:rPr>
                <w:rFonts w:ascii="宋体" w:hAnsi="宋体" w:eastAsia="宋体" w:cs="宋体"/>
                <w:b w:val="0"/>
                <w:i w:val="0"/>
                <w:color w:val="000000"/>
                <w:sz w:val="16"/>
              </w:rPr>
              <w:t>能源节约利用</w:t>
            </w:r>
          </w:p>
        </w:tc>
        <w:tc>
          <w:tcPr>
            <w:tcW w:w="1420" w:type="dxa"/>
            <w:vAlign w:val="center"/>
          </w:tcPr>
          <w:p>
            <w:pPr>
              <w:jc w:val="right"/>
            </w:pPr>
            <w:r>
              <w:rPr>
                <w:rFonts w:ascii="宋体" w:hAnsi="宋体" w:eastAsia="宋体" w:cs="宋体"/>
                <w:b w:val="0"/>
                <w:i w:val="0"/>
                <w:color w:val="000000"/>
                <w:sz w:val="16"/>
              </w:rPr>
              <w:t>258.14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258.14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2111001</w:t>
            </w:r>
          </w:p>
        </w:tc>
        <w:tc>
          <w:tcPr>
            <w:tcW w:w="2700" w:type="dxa"/>
            <w:vAlign w:val="center"/>
          </w:tcPr>
          <w:p>
            <w:pPr>
              <w:jc w:val="left"/>
            </w:pPr>
            <w:r>
              <w:rPr>
                <w:rFonts w:ascii="宋体" w:hAnsi="宋体" w:eastAsia="宋体" w:cs="宋体"/>
                <w:b w:val="0"/>
                <w:i w:val="0"/>
                <w:color w:val="000000"/>
                <w:sz w:val="16"/>
              </w:rPr>
              <w:t>能源节约利用</w:t>
            </w:r>
          </w:p>
        </w:tc>
        <w:tc>
          <w:tcPr>
            <w:tcW w:w="1420" w:type="dxa"/>
            <w:vAlign w:val="center"/>
          </w:tcPr>
          <w:p>
            <w:pPr>
              <w:jc w:val="right"/>
            </w:pPr>
            <w:r>
              <w:rPr>
                <w:rFonts w:ascii="宋体" w:hAnsi="宋体" w:eastAsia="宋体" w:cs="宋体"/>
                <w:b w:val="0"/>
                <w:i w:val="0"/>
                <w:color w:val="000000"/>
                <w:sz w:val="16"/>
              </w:rPr>
              <w:t>258.14</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258.14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12.94</w:t>
            </w:r>
          </w:p>
        </w:tc>
        <w:tc>
          <w:tcPr>
            <w:tcW w:w="1520" w:type="dxa"/>
            <w:vAlign w:val="center"/>
          </w:tcPr>
          <w:p>
            <w:pPr>
              <w:jc w:val="right"/>
            </w:pPr>
            <w:r>
              <w:rPr>
                <w:rFonts w:ascii="宋体" w:hAnsi="宋体" w:eastAsia="宋体" w:cs="宋体"/>
                <w:b w:val="0"/>
                <w:i w:val="0"/>
                <w:color w:val="000000"/>
                <w:sz w:val="16"/>
              </w:rPr>
              <w:t>12.94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12.94</w:t>
            </w:r>
          </w:p>
        </w:tc>
        <w:tc>
          <w:tcPr>
            <w:tcW w:w="1520" w:type="dxa"/>
            <w:vAlign w:val="center"/>
          </w:tcPr>
          <w:p>
            <w:pPr>
              <w:jc w:val="right"/>
            </w:pPr>
            <w:r>
              <w:rPr>
                <w:rFonts w:ascii="宋体" w:hAnsi="宋体" w:eastAsia="宋体" w:cs="宋体"/>
                <w:b w:val="0"/>
                <w:i w:val="0"/>
                <w:color w:val="000000"/>
                <w:sz w:val="16"/>
              </w:rPr>
              <w:t>12.94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12.94</w:t>
            </w:r>
          </w:p>
        </w:tc>
        <w:tc>
          <w:tcPr>
            <w:tcW w:w="1520" w:type="dxa"/>
            <w:vAlign w:val="center"/>
          </w:tcPr>
          <w:p>
            <w:pPr>
              <w:jc w:val="right"/>
            </w:pPr>
            <w:r>
              <w:rPr>
                <w:rFonts w:ascii="宋体" w:hAnsi="宋体" w:eastAsia="宋体" w:cs="宋体"/>
                <w:b w:val="0"/>
                <w:i w:val="0"/>
                <w:color w:val="000000"/>
                <w:sz w:val="16"/>
              </w:rPr>
              <w:t>12.94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178.98</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9.00</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59.41</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2.52</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34.39</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3.46</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8.87</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0.02</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7.35</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pPr>
              <w:jc w:val="right"/>
            </w:pPr>
            <w:r>
              <w:rPr>
                <w:rFonts w:ascii="宋体" w:hAnsi="宋体" w:eastAsia="宋体" w:cs="宋体"/>
                <w:b w:val="0"/>
                <w:i w:val="0"/>
                <w:color w:val="000000"/>
                <w:sz w:val="9"/>
              </w:rPr>
              <w:t>0.00</w:t>
            </w: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13.47</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12.57</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0.03</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5.65</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0.13</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0.81</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12.94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0.35</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24.19</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33.08</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0.15</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0.16</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0.47</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33.08</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0.56</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0.13</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0.33</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212.06</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部门：景德镇市昌江区发展和改革委员会</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1.50</w:t>
            </w:r>
          </w:p>
        </w:tc>
        <w:tc>
          <w:tcPr>
            <w:tcW w:w="1460" w:type="dxa"/>
            <w:vAlign w:val="center"/>
          </w:tcPr>
          <w:p>
            <w:pPr>
              <w:jc w:val="right"/>
            </w:pPr>
            <w:r>
              <w:rPr>
                <w:rFonts w:ascii="宋体" w:hAnsi="宋体" w:eastAsia="宋体" w:cs="宋体"/>
                <w:b w:val="0"/>
                <w:i w:val="0"/>
                <w:color w:val="000000"/>
                <w:sz w:val="16"/>
              </w:rPr>
              <w:t>0.16</w:t>
            </w:r>
          </w:p>
        </w:tc>
        <w:tc>
          <w:tcPr>
            <w:tcW w:w="1586" w:type="dxa"/>
            <w:vAlign w:val="center"/>
          </w:tcPr>
          <w:p>
            <w:pPr>
              <w:jc w:val="right"/>
            </w:pPr>
            <w:r>
              <w:rPr>
                <w:rFonts w:ascii="宋体" w:hAnsi="宋体" w:eastAsia="宋体" w:cs="宋体"/>
                <w:b w:val="0"/>
                <w:i w:val="0"/>
                <w:color w:val="000000"/>
                <w:sz w:val="17"/>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1.50</w:t>
            </w:r>
          </w:p>
        </w:tc>
        <w:tc>
          <w:tcPr>
            <w:tcW w:w="1460" w:type="dxa"/>
            <w:vAlign w:val="center"/>
          </w:tcPr>
          <w:p>
            <w:pPr>
              <w:jc w:val="right"/>
            </w:pPr>
            <w:r>
              <w:rPr>
                <w:rFonts w:ascii="宋体" w:hAnsi="宋体" w:eastAsia="宋体" w:cs="宋体"/>
                <w:b w:val="0"/>
                <w:i w:val="0"/>
                <w:color w:val="000000"/>
                <w:sz w:val="16"/>
              </w:rPr>
              <w:t>0.16</w:t>
            </w:r>
          </w:p>
        </w:tc>
        <w:tc>
          <w:tcPr>
            <w:tcW w:w="1586" w:type="dxa"/>
            <w:vAlign w:val="center"/>
          </w:tcPr>
          <w:p>
            <w:pPr>
              <w:jc w:val="right"/>
            </w:pPr>
            <w:r>
              <w:rPr>
                <w:rFonts w:ascii="宋体" w:hAnsi="宋体" w:eastAsia="宋体" w:cs="宋体"/>
                <w:b w:val="0"/>
                <w:i w:val="0"/>
                <w:color w:val="000000"/>
                <w:sz w:val="17"/>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9"/>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景德镇市昌江区发展和改革委员会</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本部门2023年度收入总计1133.35万元，其中年初结转和结余7.90万元，比上年增加4.76万元</w:t>
      </w:r>
      <w:r>
        <w:rPr>
          <w:rFonts w:hint="eastAsia" w:ascii="仿宋_GB2312" w:hAnsi="仿宋_GB2312" w:eastAsia="仿宋_GB2312" w:cs="Times New Roman"/>
          <w:sz w:val="32"/>
          <w:szCs w:val="32"/>
        </w:rPr>
        <w:t>，增长151.32%</w:t>
      </w:r>
      <w:r>
        <w:rPr>
          <w:rFonts w:hint="eastAsia" w:ascii="仿宋_GB2312" w:hAnsi="仿宋_GB2312" w:eastAsia="仿宋_GB2312"/>
          <w:sz w:val="32"/>
          <w:szCs w:val="32"/>
        </w:rPr>
        <w:t>；使用非财政拨款结余和专用结余0.00万元，与上年持平；本年收入合计1125.45万元，比上年减少974.35万元，下降46.40%，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厉行节俭，节约开支</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本年收入的具体构成：财政拨款收入1124.24万元，占99.89%；事业收入0.00万元，占0.00%；经营收入0.00万元，占0.00%；上级补助收入0.00万元，占0.00%；附属单位上缴收入0.00万元，占0.00%；其他收入1.21万元，占0.11%。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本部门2023年度支出总计1133.35万元，其中本年支出合计1132.15万元，比上年减少962.90万元，下降45.96%，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厉行节俭，节约开支</w:t>
      </w:r>
      <w:r>
        <w:rPr>
          <w:rFonts w:hint="eastAsia" w:ascii="仿宋_GB2312" w:hAnsi="仿宋_GB2312" w:eastAsia="仿宋_GB2312"/>
          <w:sz w:val="32"/>
          <w:szCs w:val="32"/>
        </w:rPr>
        <w:t>；</w:t>
      </w:r>
    </w:p>
    <w:p>
      <w:pPr>
        <w:ind w:firstLine="640" w:firstLineChars="200"/>
        <w:jc w:val="left"/>
        <w:rPr>
          <w:rFonts w:hint="default" w:ascii="仿宋_GB2312" w:hAnsi="仿宋_GB2312" w:eastAsia="仿宋_GB2312"/>
          <w:sz w:val="32"/>
          <w:szCs w:val="32"/>
          <w:lang w:val="en-US"/>
        </w:rPr>
      </w:pPr>
      <w:r>
        <w:rPr>
          <w:rFonts w:hint="eastAsia" w:ascii="仿宋_GB2312" w:hAnsi="仿宋_GB2312" w:eastAsia="仿宋_GB2312"/>
          <w:sz w:val="32"/>
          <w:szCs w:val="32"/>
        </w:rPr>
        <w:t>结余分配0.00万元，与上年持平；年末结转和结余1.20万元，比上年减少6.70万元，下降84.77%，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上年资金未收回，本年资金收回。</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本年支出的具体构成：基本支出230.34万元，占20.35%；项目支出901.80万元，占79.65%；经营支出0.00万元，占0.00%；上缴上级支出0.00万元，占0.00%；对附属单位补助支出0.00万元，占0.00%。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40" w:firstLineChars="200"/>
        <w:jc w:val="left"/>
        <w:rPr>
          <w:rFonts w:hint="eastAsia" w:ascii="仿宋_GB2312" w:hAnsi="仿宋_GB2312" w:eastAsia="仿宋_GB2312"/>
          <w:color w:val="FF0000"/>
          <w:sz w:val="32"/>
          <w:szCs w:val="32"/>
        </w:rPr>
      </w:pPr>
      <w:r>
        <w:rPr>
          <w:rFonts w:hint="eastAsia" w:ascii="仿宋_GB2312" w:hAnsi="仿宋_GB2312" w:eastAsia="仿宋_GB2312"/>
          <w:sz w:val="32"/>
          <w:szCs w:val="32"/>
        </w:rPr>
        <w:t>本部门2023年度财政拨款本年支出年初预算数723.90万元，决算数1124.24万元，完成年初预算的155.30%。其中：</w:t>
      </w:r>
    </w:p>
    <w:p>
      <w:pPr>
        <w:spacing w:line="360" w:lineRule="auto"/>
        <w:ind w:firstLine="640" w:firstLineChars="200"/>
        <w:jc w:val="left"/>
        <w:rPr>
          <w:rFonts w:hint="eastAsia" w:ascii="仿宋_GB2312" w:hAnsi="仿宋_GB2312" w:eastAsia="仿宋_GB2312"/>
          <w:sz w:val="32"/>
          <w:szCs w:val="32"/>
          <w:lang w:val="en-US" w:eastAsia="zh-CN"/>
        </w:rPr>
      </w:pPr>
      <w:r>
        <w:rPr>
          <w:rFonts w:hint="eastAsia" w:ascii="仿宋_GB2312" w:hAnsi="仿宋_GB2312" w:eastAsia="仿宋_GB2312" w:cs="Times New Roman"/>
          <w:sz w:val="32"/>
          <w:szCs w:val="32"/>
        </w:rPr>
        <w:t>（一）一般公共服务支出（类）年初预算数248.85万元，决算数499.88万元，完成年初预算的200.88%。预决算差异主要原因：区疫情防控指挥部视频会议系统建设资金</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春节期间重点项目不停工项目奖励资金</w:t>
      </w:r>
      <w:r>
        <w:rPr>
          <w:rFonts w:hint="eastAsia" w:ascii="仿宋_GB2312" w:hAnsi="仿宋_GB2312" w:eastAsia="仿宋_GB2312" w:cs="Times New Roman"/>
          <w:sz w:val="32"/>
          <w:szCs w:val="32"/>
          <w:lang w:val="en-US" w:eastAsia="zh-CN"/>
        </w:rPr>
        <w:t>增加。</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）国防支出（类）年初预算数0.00万元，决算数4.94万元，预决算差异主要原因：</w:t>
      </w:r>
      <w:r>
        <w:rPr>
          <w:rFonts w:hint="eastAsia" w:ascii="仿宋_GB2312" w:hAnsi="仿宋_GB2312" w:eastAsia="仿宋_GB2312"/>
          <w:sz w:val="32"/>
          <w:szCs w:val="32"/>
          <w:lang w:val="en-US" w:eastAsia="zh-CN"/>
        </w:rPr>
        <w:t>增加人民防空建设水平提升工作费用。</w:t>
      </w:r>
    </w:p>
    <w:p>
      <w:pPr>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）文化旅游体育与传媒支出（类）年初预算数0.00万元，决算数150.00万元，预决算差异主要原因：</w:t>
      </w:r>
      <w:r>
        <w:rPr>
          <w:rFonts w:hint="eastAsia" w:ascii="仿宋_GB2312" w:hAnsi="仿宋_GB2312" w:eastAsia="仿宋_GB2312" w:cs="Times New Roman"/>
          <w:sz w:val="32"/>
          <w:szCs w:val="32"/>
          <w:lang w:val="en-US" w:eastAsia="zh-CN"/>
        </w:rPr>
        <w:t xml:space="preserve">增加体育场馆项目。 </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）社会保障和就业支出（类）年初预算数195.21万元，决算数192.57万元，完成年初预算的98.65%。预决算差异主要原因：</w:t>
      </w:r>
      <w:r>
        <w:rPr>
          <w:rFonts w:hint="eastAsia" w:ascii="仿宋_GB2312" w:hAnsi="仿宋_GB2312" w:eastAsia="仿宋_GB2312"/>
          <w:sz w:val="32"/>
          <w:szCs w:val="32"/>
          <w:lang w:val="en-US" w:eastAsia="zh-CN"/>
        </w:rPr>
        <w:t>中途人员减少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）卫生健康支出（类）年初预算数6.44万元，决算数5.78万元，完成年初预算的89.81%。预决算差异主要原因：</w:t>
      </w:r>
      <w:r>
        <w:rPr>
          <w:rFonts w:hint="eastAsia" w:ascii="仿宋_GB2312" w:hAnsi="仿宋_GB2312" w:eastAsia="仿宋_GB2312"/>
          <w:sz w:val="32"/>
          <w:szCs w:val="32"/>
          <w:lang w:val="en-US" w:eastAsia="zh-CN"/>
        </w:rPr>
        <w:t>中途人员减少</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）节能环保支出（类）年初预算数258.14万元，决算数258.14万元，完成年初预算的100.00%。</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）住房保障支出（类）年初预算数15.27万元，决算数12.94万元，完成年初预算的84.74%。预决算差异主要原因：</w:t>
      </w:r>
      <w:r>
        <w:rPr>
          <w:rFonts w:hint="eastAsia" w:ascii="仿宋_GB2312" w:hAnsi="仿宋_GB2312" w:eastAsia="仿宋_GB2312"/>
          <w:sz w:val="32"/>
          <w:szCs w:val="32"/>
          <w:lang w:val="en-US" w:eastAsia="zh-CN"/>
        </w:rPr>
        <w:t>中途人员减少</w:t>
      </w:r>
      <w:r>
        <w:rPr>
          <w:rFonts w:hint="eastAsia" w:ascii="仿宋_GB2312" w:hAnsi="仿宋_GB2312" w:eastAsia="仿宋_GB2312"/>
          <w:sz w:val="32"/>
          <w:szCs w:val="32"/>
        </w:rPr>
        <w:t>。</w:t>
      </w:r>
    </w:p>
    <w:p>
      <w:pPr>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本部门2023年度一般公共预算财政拨款基本支出222.44万元，其中：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（一）工资福利支出178.98万元，比上年减少2.67万元，下降1.47%，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厉行节俭，减少临聘人员开支</w:t>
      </w:r>
      <w:r>
        <w:rPr>
          <w:rFonts w:hint="eastAsia" w:ascii="仿宋_GB2312" w:hAnsi="仿宋_GB2312" w:eastAsia="仿宋_GB2312"/>
          <w:sz w:val="32"/>
          <w:szCs w:val="32"/>
        </w:rPr>
        <w:t>。</w:t>
      </w:r>
    </w:p>
    <w:p>
      <w:pPr>
        <w:ind w:firstLine="585"/>
        <w:jc w:val="left"/>
        <w:rPr>
          <w:rFonts w:hint="default" w:ascii="仿宋_GB2312" w:hAnsi="仿宋_GB2312" w:eastAsia="仿宋_GB2312"/>
          <w:sz w:val="32"/>
          <w:szCs w:val="32"/>
          <w:lang w:val="en-US"/>
        </w:rPr>
      </w:pPr>
      <w:r>
        <w:rPr>
          <w:rFonts w:hint="eastAsia" w:ascii="仿宋_GB2312" w:hAnsi="仿宋_GB2312" w:eastAsia="仿宋_GB2312"/>
          <w:sz w:val="32"/>
          <w:szCs w:val="32"/>
        </w:rPr>
        <w:t>（二）商品和服务支出9.00万元，比上年减少23.11万元，下降71.97%，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厉行节俭，缩减成本。</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（三）对个人和家庭补助支出33.08万元，比上年增加33.03万元</w:t>
      </w:r>
      <w:r>
        <w:rPr>
          <w:rFonts w:hint="eastAsia" w:ascii="仿宋_GB2312" w:hAnsi="仿宋_GB2312" w:eastAsia="仿宋_GB2312" w:cs="Times New Roman"/>
          <w:sz w:val="32"/>
          <w:szCs w:val="32"/>
        </w:rPr>
        <w:t>，增长66320.37%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退休人员抚恤金</w:t>
      </w:r>
      <w:r>
        <w:rPr>
          <w:rFonts w:hint="eastAsia" w:ascii="仿宋_GB2312" w:hAnsi="仿宋_GB2312" w:eastAsia="仿宋_GB2312"/>
          <w:sz w:val="32"/>
          <w:szCs w:val="32"/>
        </w:rPr>
        <w:t>。</w:t>
      </w:r>
    </w:p>
    <w:p>
      <w:pPr>
        <w:ind w:firstLine="585"/>
        <w:jc w:val="left"/>
        <w:rPr>
          <w:rFonts w:hint="default" w:ascii="仿宋_GB2312" w:hAnsi="仿宋_GB2312" w:eastAsia="仿宋_GB2312"/>
          <w:sz w:val="32"/>
          <w:szCs w:val="32"/>
          <w:lang w:val="en-US"/>
        </w:rPr>
      </w:pPr>
      <w:r>
        <w:rPr>
          <w:rFonts w:hint="eastAsia" w:ascii="仿宋_GB2312" w:hAnsi="仿宋_GB2312" w:eastAsia="仿宋_GB2312"/>
          <w:sz w:val="32"/>
          <w:szCs w:val="32"/>
        </w:rPr>
        <w:t>（四）资本性支出1.38万元，比上年减少0.66万元，下降32.28%，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厉行节俭，缩减成本。</w:t>
      </w:r>
    </w:p>
    <w:p>
      <w:pPr>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本部门2023年度财政拨款“三公”经费支出全年预算数0.16万元，决算数0.16万元，完成全年预算的100.00%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决算数比上年减少0.08万元，下降34.40%，其中：</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w:t>
      </w:r>
      <w:r>
        <w:rPr>
          <w:rFonts w:hint="eastAsia" w:ascii="仿宋_GB2312" w:hAnsi="仿宋_GB2312" w:eastAsia="仿宋_GB2312" w:cs="Times New Roman"/>
          <w:color w:val="auto"/>
          <w:sz w:val="32"/>
          <w:szCs w:val="32"/>
          <w:lang w:val="en-US" w:eastAsia="zh-CN"/>
        </w:rPr>
        <w:t>没有安排因公出国（境）支</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。全年使用财政拨款购置公务用车0辆。</w:t>
      </w:r>
    </w:p>
    <w:p>
      <w:pPr>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。年末使用财政拨款负担费用的公务用车保有量0辆。</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。全年使用财政拨款购置公务用车0辆。决算数与上年持平,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。年末使用财政拨款负担费用的公务用车保有量0辆。全年使用财政拨款购置公务用车0辆。</w:t>
      </w:r>
    </w:p>
    <w:p>
      <w:pPr>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。年末使用财政拨款负担费用的公务用车保有量0辆。</w:t>
      </w:r>
    </w:p>
    <w:p>
      <w:pPr>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（三）公务接待费全年预算数0.16万元，决算数0.16万元，完成全年预算的100.00%，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本年有公务接待支出</w:t>
      </w:r>
      <w:r>
        <w:rPr>
          <w:rFonts w:hint="eastAsia" w:ascii="仿宋_GB2312" w:hAnsi="仿宋_GB2312" w:eastAsia="仿宋_GB2312"/>
          <w:sz w:val="32"/>
          <w:szCs w:val="32"/>
        </w:rPr>
        <w:t>。决算数比上年减少0.08万元，下降34.40%,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000000" w:themeColor="text1"/>
          <w:sz w:val="32"/>
          <w:szCs w:val="32"/>
          <w:lang w:val="en-US" w:eastAsia="zh-CN"/>
          <w14:textFill>
            <w14:solidFill>
              <w14:schemeClr w14:val="tx1"/>
            </w14:solidFill>
          </w14:textFill>
        </w:rPr>
        <w:t>缩减公务接待开支</w:t>
      </w:r>
      <w:r>
        <w:rPr>
          <w:rFonts w:hint="eastAsia" w:ascii="仿宋_GB2312" w:hAnsi="仿宋_GB2312" w:eastAsia="仿宋_GB2312"/>
          <w:sz w:val="32"/>
          <w:szCs w:val="32"/>
        </w:rPr>
        <w:t>。全年国内公务接待2批，累计接待5人次，主要是：</w:t>
      </w:r>
      <w:r>
        <w:rPr>
          <w:rFonts w:hint="eastAsia" w:ascii="仿宋_GB2312" w:hAnsi="仿宋_GB2312" w:eastAsia="仿宋_GB2312"/>
          <w:color w:val="000000" w:themeColor="text1"/>
          <w:sz w:val="32"/>
          <w:szCs w:val="32"/>
          <w:lang w:val="en-US" w:eastAsia="zh-CN"/>
          <w14:textFill>
            <w14:solidFill>
              <w14:schemeClr w14:val="tx1"/>
            </w14:solidFill>
          </w14:textFill>
        </w:rPr>
        <w:t>本年有公务接待开支</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本部门2023年度机关运行经费支出10.38万元，决算数比上年减少23.77万元，下降69.61%，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厉行节俭，缩减成本。</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8"/>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151.91万元，其中：政府采购货物支出151.91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sz w:val="32"/>
          <w:szCs w:val="32"/>
        </w:rPr>
        <w:t>%。</w:t>
      </w:r>
    </w:p>
    <w:p>
      <w:pPr>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 xml:space="preserve">万元，占项目支出总额的  </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 xml:space="preserve"> %。其中，</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 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个项目评价结果为“良”， 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 xml:space="preserve"> 3 </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分别为：物价专项涉案、政务网电信专线使用费及机房维护费、昌江区碳达峰碳中和实施方案编制经费</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万元，国有资本预算支出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p>
    <w:p>
      <w:pPr>
        <w:widowControl/>
        <w:shd w:val="clear" w:color="auto" w:fill="FFFFFF"/>
        <w:spacing w:before="150" w:after="150" w:line="360" w:lineRule="auto"/>
        <w:ind w:firstLine="600"/>
        <w:rPr>
          <w:rFonts w:hint="eastAsia" w:ascii="仿宋" w:hAnsi="仿宋" w:eastAsia="仿宋" w:cs="仿宋"/>
          <w:color w:val="000000"/>
          <w:sz w:val="30"/>
          <w:szCs w:val="30"/>
        </w:rPr>
      </w:pPr>
      <w:r>
        <w:rPr>
          <w:rFonts w:hint="eastAsia" w:ascii="仿宋" w:hAnsi="仿宋" w:eastAsia="仿宋" w:cs="仿宋"/>
          <w:color w:val="000000"/>
          <w:kern w:val="0"/>
          <w:sz w:val="30"/>
          <w:szCs w:val="30"/>
          <w:shd w:val="clear" w:color="auto" w:fill="FFFFFF"/>
          <w:lang w:bidi="ar"/>
        </w:rPr>
        <w:t>（1）制定项目绩效评价工作方案，工作方案包括项目绩效评价实施方案、评价指标体系及评价标准、基础数据表、绩效评价资料清单。项目小组对项目绩效评价相关事项进行讨论与研究，确定评价证据、数据来源及证据收集方法。</w:t>
      </w:r>
    </w:p>
    <w:p>
      <w:pPr>
        <w:widowControl/>
        <w:shd w:val="clear" w:color="auto" w:fill="FFFFFF"/>
        <w:spacing w:before="150" w:after="150" w:line="360" w:lineRule="auto"/>
        <w:ind w:firstLine="600"/>
        <w:rPr>
          <w:rFonts w:hint="eastAsia" w:ascii="仿宋" w:hAnsi="仿宋" w:eastAsia="仿宋" w:cs="仿宋"/>
          <w:color w:val="000000"/>
          <w:sz w:val="30"/>
          <w:szCs w:val="30"/>
        </w:rPr>
      </w:pPr>
      <w:r>
        <w:rPr>
          <w:rFonts w:hint="eastAsia" w:ascii="仿宋" w:hAnsi="仿宋" w:eastAsia="仿宋" w:cs="仿宋"/>
          <w:color w:val="000000"/>
          <w:kern w:val="0"/>
          <w:sz w:val="30"/>
          <w:szCs w:val="30"/>
          <w:shd w:val="clear" w:color="auto" w:fill="FFFFFF"/>
          <w:lang w:bidi="ar"/>
        </w:rPr>
        <w:t>（2）根据制定的项目绩效评价工作方案，收集项目情况实施材料，通过现场评价方法进行绩效评价，包括收集、审核基础资料；开展现场核查，核实各项目是否实施以及项目实施情况是否良好，并进行拍照留痕；对收集的证据运用科学的方法进行综合分析。</w:t>
      </w:r>
    </w:p>
    <w:p>
      <w:pPr>
        <w:widowControl/>
        <w:shd w:val="clear" w:color="auto" w:fill="FFFFFF"/>
        <w:spacing w:before="150" w:after="150" w:line="360" w:lineRule="auto"/>
        <w:ind w:firstLine="600"/>
        <w:rPr>
          <w:rFonts w:hint="eastAsia" w:ascii="仿宋" w:hAnsi="仿宋" w:eastAsia="仿宋" w:cs="仿宋"/>
          <w:color w:val="000000"/>
          <w:sz w:val="30"/>
          <w:szCs w:val="30"/>
        </w:rPr>
      </w:pPr>
      <w:r>
        <w:rPr>
          <w:rFonts w:hint="eastAsia" w:ascii="仿宋" w:hAnsi="仿宋" w:eastAsia="仿宋" w:cs="仿宋"/>
          <w:color w:val="000000"/>
          <w:kern w:val="0"/>
          <w:sz w:val="30"/>
          <w:szCs w:val="30"/>
          <w:shd w:val="clear" w:color="auto" w:fill="FFFFFF"/>
          <w:lang w:bidi="ar"/>
        </w:rPr>
        <w:t>（3）根据分析后的情况评分，形成综合评价结果，将评价结果纳入已确定的各项指标临界区间进行比较，确定绩效评价等级（优、良、中、差）</w:t>
      </w:r>
    </w:p>
    <w:p>
      <w:pPr>
        <w:autoSpaceDE w:val="0"/>
        <w:autoSpaceDN w:val="0"/>
        <w:adjustRightInd w:val="0"/>
        <w:spacing w:line="360" w:lineRule="auto"/>
        <w:ind w:firstLine="600"/>
        <w:jc w:val="left"/>
        <w:rPr>
          <w:rFonts w:hint="eastAsia" w:ascii="仿宋_GB2312" w:hAnsi="仿宋_GB2312" w:eastAsia="仿宋_GB2312" w:cs="仿宋_GB2312"/>
          <w:kern w:val="0"/>
          <w:sz w:val="32"/>
          <w:szCs w:val="32"/>
        </w:rPr>
      </w:pPr>
      <w:r>
        <w:rPr>
          <w:rFonts w:hint="eastAsia" w:ascii="仿宋" w:hAnsi="仿宋" w:eastAsia="仿宋" w:cs="仿宋"/>
          <w:color w:val="000000"/>
          <w:kern w:val="0"/>
          <w:sz w:val="30"/>
          <w:szCs w:val="30"/>
          <w:shd w:val="clear" w:color="auto" w:fill="FFFFFF"/>
          <w:lang w:bidi="ar"/>
        </w:rPr>
        <w:t>（4）对项目评价工作进行总结，将项目的基本情况、绩效评价工作情况、评价分析及评价结果、评价等级、经验及做法、问题及建议等形成书面报告，向主管部门汇报。</w:t>
      </w:r>
    </w:p>
    <w:p>
      <w:pPr>
        <w:numPr>
          <w:ilvl w:val="0"/>
          <w:numId w:val="0"/>
        </w:numPr>
        <w:autoSpaceDE w:val="0"/>
        <w:autoSpaceDN w:val="0"/>
        <w:adjustRightInd w:val="0"/>
        <w:spacing w:line="360" w:lineRule="auto"/>
        <w:ind w:firstLine="640" w:firstLineChars="200"/>
        <w:jc w:val="left"/>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499.88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 优 </w:t>
      </w:r>
      <w:r>
        <w:rPr>
          <w:rFonts w:hint="eastAsia" w:ascii="仿宋_GB2312" w:hAnsi="仿宋_GB2312" w:eastAsia="仿宋_GB2312" w:cs="仿宋_GB2312"/>
          <w:kern w:val="0"/>
          <w:sz w:val="32"/>
          <w:szCs w:val="32"/>
        </w:rPr>
        <w:t>”。从评价情况看</w:t>
      </w:r>
      <w:r>
        <w:rPr>
          <w:rFonts w:hint="eastAsia" w:ascii="仿宋_GB2312" w:hAnsi="仿宋_GB2312" w:eastAsia="仿宋_GB2312"/>
          <w:kern w:val="0"/>
          <w:sz w:val="32"/>
          <w:szCs w:val="32"/>
          <w:lang w:val="en-US" w:eastAsia="zh-CN"/>
        </w:rPr>
        <w:t xml:space="preserve"> 通过对本部门的评价，发现本单位</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color w:val="000000"/>
          <w:sz w:val="32"/>
          <w:szCs w:val="32"/>
          <w:lang w:val="en-US" w:eastAsia="zh-CN"/>
        </w:rPr>
        <w:t>财政部门的精神要求，及时成立绩效管理领导小组，每个小组成员各负其责，对绩效管理工作落实到每个工作环节中，做好内部管理控制，及时发现问题，解决问题，监督资金使用的合理性，配合完善资金配置，以确保绩效目标的全部基本完成，部门绩效目标完成取得良好的成效。</w:t>
      </w:r>
    </w:p>
    <w:p>
      <w:pPr>
        <w:autoSpaceDE w:val="0"/>
        <w:autoSpaceDN w:val="0"/>
        <w:adjustRightInd w:val="0"/>
        <w:spacing w:line="360" w:lineRule="auto"/>
        <w:ind w:firstLine="321" w:firstLineChars="1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pStyle w:val="4"/>
        <w:keepNext w:val="0"/>
        <w:keepLines w:val="0"/>
        <w:pageBreakBefore w:val="0"/>
        <w:widowControl/>
        <w:numPr>
          <w:ilvl w:val="0"/>
          <w:numId w:val="1"/>
        </w:numPr>
        <w:suppressLineNumbers w:val="0"/>
        <w:kinsoku/>
        <w:wordWrap/>
        <w:overflowPunct/>
        <w:topLinePunct w:val="0"/>
        <w:autoSpaceDE w:val="0"/>
        <w:autoSpaceDN w:val="0"/>
        <w:bidi w:val="0"/>
        <w:adjustRightInd/>
        <w:snapToGrid/>
        <w:spacing w:before="0" w:beforeAutospacing="0" w:after="120" w:afterAutospacing="0" w:line="360" w:lineRule="auto"/>
        <w:ind w:left="0" w:right="0" w:firstLine="573"/>
        <w:jc w:val="left"/>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工作开展情况</w:t>
      </w:r>
    </w:p>
    <w:p>
      <w:pPr>
        <w:pStyle w:val="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120" w:afterAutospacing="0" w:line="360" w:lineRule="auto"/>
        <w:ind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sz w:val="32"/>
          <w:szCs w:val="32"/>
          <w:lang w:val="en-US" w:eastAsia="zh-CN"/>
        </w:rPr>
        <w:t>根据财政部门的精神要求，我单位及时成立绩效管理工作领导小组，每个小组成员各负其责，对绩效管理工作落实到每个工作环节中，做好内部管理控制，及时发现问题，解决问题，监督资金使用的合理性，配合完善资金配置，以保证绩效目标的全部实现。</w:t>
      </w:r>
    </w:p>
    <w:p>
      <w:pPr>
        <w:pStyle w:val="4"/>
        <w:keepNext w:val="0"/>
        <w:keepLines w:val="0"/>
        <w:pageBreakBefore w:val="0"/>
        <w:widowControl/>
        <w:numPr>
          <w:ilvl w:val="0"/>
          <w:numId w:val="1"/>
        </w:numPr>
        <w:suppressLineNumbers w:val="0"/>
        <w:kinsoku/>
        <w:wordWrap/>
        <w:overflowPunct/>
        <w:topLinePunct w:val="0"/>
        <w:autoSpaceDE w:val="0"/>
        <w:autoSpaceDN w:val="0"/>
        <w:bidi w:val="0"/>
        <w:adjustRightInd/>
        <w:snapToGrid/>
        <w:spacing w:before="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综合评价结论</w:t>
      </w:r>
    </w:p>
    <w:p>
      <w:pPr>
        <w:pStyle w:val="4"/>
        <w:keepNext w:val="0"/>
        <w:keepLines w:val="0"/>
        <w:widowControl/>
        <w:suppressLineNumbers w:val="0"/>
        <w:spacing w:before="300" w:beforeAutospacing="0" w:after="0" w:afterAutospacing="0" w:line="360" w:lineRule="auto"/>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单位严格根据昌江区财政局关于印发《 昌江区区级项目支出和部门整体支出绩效评价暂行管理办法》通知（昌财绩函〔2023〕1号）相关文件精神，根据细化的各项指标，针对完成情况进行了评估，确保绩效评价能充分反映成效，为来年的项目实施提供第一手的参考信息，为实施过程中的一些存在问题提供有效的解决方案。</w:t>
      </w:r>
    </w:p>
    <w:p>
      <w:pPr>
        <w:keepNext w:val="0"/>
        <w:keepLines w:val="0"/>
        <w:widowControl/>
        <w:numPr>
          <w:ilvl w:val="0"/>
          <w:numId w:val="0"/>
        </w:numPr>
        <w:suppressLineNumbers w:val="0"/>
        <w:spacing w:line="360" w:lineRule="auto"/>
        <w:ind w:firstLine="640" w:firstLineChars="200"/>
        <w:jc w:val="left"/>
        <w:rPr>
          <w:rFonts w:hint="default" w:ascii="仿宋" w:hAnsi="仿宋" w:eastAsia="仿宋" w:cs="仿宋"/>
          <w:color w:val="auto"/>
          <w:kern w:val="0"/>
          <w:sz w:val="32"/>
          <w:szCs w:val="32"/>
          <w:lang w:val="en-US" w:eastAsia="zh-CN"/>
        </w:rPr>
      </w:pPr>
      <w:r>
        <w:rPr>
          <w:rFonts w:hint="eastAsia" w:ascii="仿宋" w:hAnsi="仿宋" w:eastAsia="仿宋" w:cs="仿宋"/>
          <w:kern w:val="2"/>
          <w:sz w:val="32"/>
          <w:szCs w:val="32"/>
          <w:lang w:val="en-US" w:eastAsia="zh-CN" w:bidi="ar-SA"/>
        </w:rPr>
        <w:t>在绩效评价工作中，我单位各部门科室能分工协作，通过组织调研、数据测算，准确地计算出各项指标的实际得分，并对测算结果进行了细致的复核，形成最终的评价结果。评价得96分</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573" w:firstLineChars="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绩效目标完成情况总体分析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财政使用资金精神要求，本单位在执行资金使用过程中严格合理使用资金，单位日常工作中发生的支出已及时拨付款到位，在支出的过程中严格把关，审核资料的完整性，真实性，有效性等，特别是项目资金，做到了专款专用，不存在挪用及替换使用资金；保证项目顺利有质有量的全部完成；取得了良好的成绩。</w:t>
      </w:r>
    </w:p>
    <w:p>
      <w:pPr>
        <w:pStyle w:val="4"/>
        <w:keepNext w:val="0"/>
        <w:keepLines w:val="0"/>
        <w:pageBreakBefore w:val="0"/>
        <w:widowControl/>
        <w:numPr>
          <w:ilvl w:val="0"/>
          <w:numId w:val="1"/>
        </w:numPr>
        <w:suppressLineNumbers w:val="0"/>
        <w:kinsoku/>
        <w:wordWrap/>
        <w:overflowPunct/>
        <w:topLinePunct w:val="0"/>
        <w:autoSpaceDE w:val="0"/>
        <w:autoSpaceDN w:val="0"/>
        <w:bidi w:val="0"/>
        <w:spacing w:before="30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偏离绩效目标的原因</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1、预算执行水平有待提高。预算完成率较低，执行进度不及时。</w:t>
      </w:r>
    </w:p>
    <w:p>
      <w:pPr>
        <w:pStyle w:val="4"/>
        <w:keepNext w:val="0"/>
        <w:keepLines w:val="0"/>
        <w:widowControl/>
        <w:suppressLineNumbers w:val="0"/>
        <w:spacing w:line="360"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2、预算管理水平有待提高。基础信息完善性不足，资金使用合规性不足。</w:t>
      </w:r>
    </w:p>
    <w:p>
      <w:pPr>
        <w:pStyle w:val="4"/>
        <w:keepNext w:val="0"/>
        <w:keepLines w:val="0"/>
        <w:widowControl/>
        <w:suppressLineNumbers w:val="0"/>
        <w:spacing w:line="360" w:lineRule="auto"/>
        <w:rPr>
          <w:rFonts w:hint="eastAsia" w:ascii="仿宋" w:hAnsi="仿宋" w:eastAsia="仿宋" w:cs="仿宋"/>
          <w:color w:val="auto"/>
          <w:kern w:val="0"/>
          <w:sz w:val="32"/>
          <w:szCs w:val="32"/>
          <w:lang w:val="en-US" w:eastAsia="zh-CN"/>
        </w:rPr>
      </w:pPr>
      <w:r>
        <w:rPr>
          <w:rFonts w:hint="eastAsia" w:ascii="仿宋" w:hAnsi="仿宋" w:eastAsia="仿宋" w:cs="仿宋"/>
          <w:kern w:val="2"/>
          <w:sz w:val="32"/>
          <w:szCs w:val="32"/>
          <w:lang w:val="en-US" w:eastAsia="zh-CN" w:bidi="ar-SA"/>
        </w:rPr>
        <w:t>　  3、绩效管理不到位，绩效自评质量不高。</w:t>
      </w:r>
    </w:p>
    <w:p>
      <w:pPr>
        <w:pStyle w:val="4"/>
        <w:keepNext w:val="0"/>
        <w:keepLines w:val="0"/>
        <w:pageBreakBefore w:val="0"/>
        <w:widowControl/>
        <w:numPr>
          <w:ilvl w:val="0"/>
          <w:numId w:val="1"/>
        </w:numPr>
        <w:suppressLineNumbers w:val="0"/>
        <w:kinsoku/>
        <w:wordWrap/>
        <w:overflowPunct/>
        <w:topLinePunct w:val="0"/>
        <w:autoSpaceDE w:val="0"/>
        <w:autoSpaceDN w:val="0"/>
        <w:bidi w:val="0"/>
        <w:spacing w:before="30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改进措施</w:t>
      </w:r>
    </w:p>
    <w:p>
      <w:pPr>
        <w:pStyle w:val="4"/>
        <w:keepNext w:val="0"/>
        <w:keepLines w:val="0"/>
        <w:widowControl/>
        <w:suppressLineNumbers w:val="0"/>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1、全面提升预算管理水平，规范预算执行。</w:t>
      </w:r>
    </w:p>
    <w:p>
      <w:pPr>
        <w:pStyle w:val="4"/>
        <w:keepNext w:val="0"/>
        <w:keepLines w:val="0"/>
        <w:widowControl/>
        <w:suppressLineNumbers w:val="0"/>
        <w:spacing w:line="360" w:lineRule="auto"/>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2、完善年初资金预算编制，压实责任。</w:t>
      </w:r>
    </w:p>
    <w:p>
      <w:pPr>
        <w:pStyle w:val="4"/>
        <w:keepNext w:val="0"/>
        <w:keepLines w:val="0"/>
        <w:widowControl/>
        <w:suppressLineNumbers w:val="0"/>
        <w:spacing w:line="360" w:lineRule="auto"/>
        <w:ind w:firstLine="640"/>
        <w:rPr>
          <w:rFonts w:hint="eastAsia" w:ascii="仿宋" w:hAnsi="仿宋" w:eastAsia="仿宋" w:cs="仿宋"/>
          <w:color w:val="auto"/>
          <w:kern w:val="0"/>
          <w:sz w:val="32"/>
          <w:szCs w:val="32"/>
        </w:rPr>
      </w:pPr>
      <w:r>
        <w:rPr>
          <w:rFonts w:hint="eastAsia" w:ascii="仿宋" w:hAnsi="仿宋" w:eastAsia="仿宋" w:cs="仿宋"/>
          <w:kern w:val="2"/>
          <w:sz w:val="32"/>
          <w:szCs w:val="32"/>
          <w:lang w:val="en-US" w:eastAsia="zh-CN" w:bidi="ar-SA"/>
        </w:rPr>
        <w:t>3、加强项目支出绩效目标设置，项目绩效目标量化细化，落实绩效全流程管理。在今后的工作一方面要严格预算编制，做到细化精确，争取一些费用纳入财政预算中；另一方面要严格落实项目经费使用管理规定，做到专款专用;三是要严格按照《公务员法》的规定，确保财政供养人员及时到位，保障各项工作的顺利实行；四是在经费开支上严格按照八项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5"/>
        <w:jc w:val="left"/>
        <w:rPr>
          <w:rFonts w:hint="eastAsia" w:ascii="仿宋" w:hAnsi="仿宋" w:eastAsia="仿宋" w:cs="仿宋"/>
          <w:color w:val="auto"/>
          <w:sz w:val="31"/>
          <w:szCs w:val="31"/>
          <w:shd w:val="clear" w:color="auto" w:fill="FFFFFF"/>
          <w:lang w:val="en-US" w:eastAsia="zh-CN"/>
        </w:rPr>
      </w:pPr>
      <w:r>
        <w:rPr>
          <w:rFonts w:hint="eastAsia" w:ascii="仿宋" w:hAnsi="仿宋" w:eastAsia="仿宋" w:cs="仿宋"/>
          <w:color w:val="auto"/>
          <w:kern w:val="0"/>
          <w:sz w:val="32"/>
          <w:szCs w:val="32"/>
          <w:lang w:val="en-US" w:eastAsia="zh-CN"/>
        </w:rPr>
        <w:t>六、</w:t>
      </w:r>
      <w:r>
        <w:rPr>
          <w:rFonts w:hint="eastAsia" w:ascii="仿宋" w:hAnsi="仿宋" w:eastAsia="仿宋" w:cs="仿宋"/>
          <w:color w:val="auto"/>
          <w:kern w:val="0"/>
          <w:sz w:val="32"/>
          <w:szCs w:val="32"/>
        </w:rPr>
        <w:t>绩效自评结果应用</w:t>
      </w:r>
      <w:r>
        <w:rPr>
          <w:rFonts w:hint="eastAsia" w:ascii="仿宋" w:hAnsi="仿宋" w:eastAsia="仿宋" w:cs="仿宋"/>
          <w:color w:val="auto"/>
          <w:kern w:val="0"/>
          <w:sz w:val="32"/>
          <w:szCs w:val="32"/>
          <w:lang w:val="en-US" w:eastAsia="zh-CN"/>
        </w:rPr>
        <w:t>及公开情况</w:t>
      </w:r>
    </w:p>
    <w:p>
      <w:pPr>
        <w:pStyle w:val="2"/>
        <w:spacing w:line="360" w:lineRule="auto"/>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从绩效自评中找到不足，从中领悟投入资金使用效益，绩效自评结果为单位来年预算提供可靠、真实数据依据，为下年度工作开展指引方向。</w:t>
      </w:r>
    </w:p>
    <w:p>
      <w:pPr>
        <w:autoSpaceDE w:val="0"/>
        <w:autoSpaceDN w:val="0"/>
        <w:adjustRightInd w:val="0"/>
        <w:spacing w:line="360" w:lineRule="auto"/>
        <w:ind w:firstLine="640" w:firstLineChars="200"/>
        <w:jc w:val="left"/>
        <w:rPr>
          <w:rFonts w:hint="eastAsia" w:ascii="仿宋" w:hAnsi="仿宋" w:eastAsia="仿宋" w:cs="仿宋"/>
          <w:color w:val="FF0000"/>
          <w:kern w:val="0"/>
          <w:sz w:val="32"/>
          <w:szCs w:val="32"/>
        </w:rPr>
      </w:pPr>
      <w:r>
        <w:rPr>
          <w:rFonts w:hint="eastAsia" w:ascii="仿宋" w:hAnsi="仿宋" w:eastAsia="仿宋" w:cs="仿宋"/>
          <w:b w:val="0"/>
          <w:bCs w:val="0"/>
          <w:sz w:val="32"/>
          <w:szCs w:val="32"/>
          <w:lang w:val="en-US" w:eastAsia="zh-CN"/>
        </w:rPr>
        <w:t>我单位会及时将绩效自评结果在政府公开网站公开</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本部门“物价专项涉案   ”、“政务网电信专线使用费及机房维护费   ”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昌江区碳达峰碳中和实施方案编制经费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项目支出绩效自评结果如下：</w:t>
      </w:r>
    </w:p>
    <w:tbl>
      <w:tblPr>
        <w:tblStyle w:val="5"/>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8"/>
        <w:gridCol w:w="529"/>
        <w:gridCol w:w="18"/>
        <w:gridCol w:w="549"/>
        <w:gridCol w:w="28"/>
        <w:gridCol w:w="1486"/>
        <w:gridCol w:w="53"/>
        <w:gridCol w:w="1238"/>
        <w:gridCol w:w="76"/>
        <w:gridCol w:w="499"/>
        <w:gridCol w:w="87"/>
        <w:gridCol w:w="812"/>
        <w:gridCol w:w="75"/>
        <w:gridCol w:w="1006"/>
        <w:gridCol w:w="90"/>
        <w:gridCol w:w="456"/>
        <w:gridCol w:w="97"/>
        <w:gridCol w:w="491"/>
        <w:gridCol w:w="104"/>
        <w:gridCol w:w="483"/>
        <w:gridCol w:w="112"/>
        <w:gridCol w:w="475"/>
        <w:gridCol w:w="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954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4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2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物价专项涉案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8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景德镇市昌江区发展和改革委员会</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21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4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按照职能职责和上级安排部署，开展价格管理成本监审和市场价格监测，配合司法部门打击犯罪进行涉案物品价格认定。</w:t>
            </w:r>
          </w:p>
        </w:tc>
        <w:tc>
          <w:tcPr>
            <w:tcW w:w="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配合司法部门打击犯罪进行涉案物品价格认定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城镇污水处理收费定价</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培训成本</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＝4250元</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涉案物品价格认定及专家费</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＝15750元</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涉案物品价格认定</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＝50次</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培训、学习次数</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培训材料份数</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＝50份</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培训参与人数</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＝50人</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定价成本监审次数</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物价考核责任书落实率</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项目完成及时性</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做好价格管理检查工作</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维护良好秩序</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2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54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40" w:type="dxa"/>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22"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政务网电信专线使用费及机房维护费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8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景德镇市昌江区发展和改革委员会</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21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4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5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提供带宽为300M的互联网专线，提供4个固定公网ip使用</w:t>
            </w:r>
          </w:p>
        </w:tc>
        <w:tc>
          <w:tcPr>
            <w:tcW w:w="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提供带宽为300M的互联网专线，提供4个固定公网ip使用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机房维护费</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＝20000元</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电信网络专线成本</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电信网络专线数量</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机房维护次数</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＝12次</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机房系统网络运行系数提升程度</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工作完成及时率</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全区网络运行效率提升率</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工作人员满意度</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1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596" w:hRule="atLeast"/>
        </w:trPr>
        <w:tc>
          <w:tcPr>
            <w:tcW w:w="9420"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315" w:hRule="atLeast"/>
        </w:trPr>
        <w:tc>
          <w:tcPr>
            <w:tcW w:w="9420"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308" w:hRule="atLeast"/>
        </w:trPr>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22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昌江区碳达峰碳中和实施方案编制经费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903" w:hRule="atLeast"/>
        </w:trPr>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8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景德镇市昌江区发展和改革委员会</w:t>
            </w:r>
          </w:p>
        </w:tc>
        <w:tc>
          <w:tcPr>
            <w:tcW w:w="1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606" w:hRule="atLeast"/>
        </w:trPr>
        <w:tc>
          <w:tcPr>
            <w:tcW w:w="1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308" w:hRule="atLeast"/>
        </w:trPr>
        <w:tc>
          <w:tcPr>
            <w:tcW w:w="1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308" w:hRule="atLeast"/>
        </w:trPr>
        <w:tc>
          <w:tcPr>
            <w:tcW w:w="1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308"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3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3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1728"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市碳达峰碳中和工作领导小组办公室印发的《关于做好各县（市、区）碳达峰实施方案编制上报工作的通知》（景双碳办【2022】18号）文件要求，扎实稳妥推进区碳达峰碳中和工作，从实际出发推动本地区绿色低碳发展。</w:t>
            </w:r>
          </w:p>
        </w:tc>
        <w:tc>
          <w:tcPr>
            <w:tcW w:w="33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扎实稳妥推进区碳达峰碳中和工作，从实际出发推动本地区绿色低碳发展。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903"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90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聘请碳达峰碳中和第三方评审机构</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411"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606"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606"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编制全区碳达峰碳中和实施方案</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606"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实施方案内容</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实施方案内容测算的数值及内容要具有可行性</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903"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编制完成时限</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按照市要求按时完成</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2095"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能耗强度和碳排放强度指标</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确保完成市里下达能耗强度和碳排放强度指标</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411"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411"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411"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9" w:type="dxa"/>
          <w:trHeight w:val="571" w:hRule="atLeast"/>
        </w:trPr>
        <w:tc>
          <w:tcPr>
            <w:tcW w:w="712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numPr>
          <w:ilvl w:val="0"/>
          <w:numId w:val="0"/>
        </w:numPr>
        <w:autoSpaceDE w:val="0"/>
        <w:autoSpaceDN w:val="0"/>
        <w:adjustRightInd w:val="0"/>
        <w:spacing w:line="360" w:lineRule="auto"/>
        <w:jc w:val="left"/>
        <w:outlineLvl w:val="2"/>
        <w:rPr>
          <w:rFonts w:hint="eastAsia" w:ascii="仿宋_GB2312" w:hAnsi="仿宋_GB2312" w:eastAsia="仿宋_GB2312" w:cs="仿宋_GB2312"/>
          <w:b/>
          <w:bCs/>
          <w:kern w:val="0"/>
          <w:sz w:val="32"/>
          <w:szCs w:val="32"/>
        </w:rPr>
      </w:pPr>
    </w:p>
    <w:p>
      <w:pPr>
        <w:numPr>
          <w:ilvl w:val="0"/>
          <w:numId w:val="2"/>
        </w:num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部门评价项目绩效评价情况。</w:t>
      </w:r>
    </w:p>
    <w:p>
      <w:pPr>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项目部门评价报告见第五部分附件。</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8"/>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360" w:lineRule="auto"/>
        <w:ind w:firstLine="630"/>
        <w:jc w:val="left"/>
        <w:outlineLvl w:val="1"/>
        <w:rPr>
          <w:rFonts w:hint="eastAsia" w:ascii="仿宋_GB2312" w:hAnsi="仿宋_GB2312" w:eastAsia="仿宋_GB2312"/>
          <w:color w:val="FF0000"/>
          <w:kern w:val="0"/>
          <w:sz w:val="32"/>
          <w:szCs w:val="32"/>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行政运行：反映</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的基本支出。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2、一般行政管理事务：反映</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未单独设置项级科目的其他项目支出。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、行政单位医疗：财政部门安排的</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职工基本医疗保险缴费缴费。</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、住房公积金：反映</w:t>
      </w:r>
      <w:r>
        <w:rPr>
          <w:rFonts w:hint="eastAsia" w:ascii="仿宋_GB2312" w:hAnsi="仿宋_GB2312" w:eastAsia="仿宋_GB2312" w:cs="仿宋_GB2312"/>
          <w:sz w:val="32"/>
          <w:szCs w:val="32"/>
          <w:lang w:eastAsia="zh-CN"/>
        </w:rPr>
        <w:t>昌江区科技局办公室</w:t>
      </w:r>
      <w:r>
        <w:rPr>
          <w:rFonts w:hint="eastAsia" w:ascii="仿宋_GB2312" w:hAnsi="仿宋_GB2312" w:eastAsia="仿宋_GB2312" w:cs="仿宋_GB2312"/>
          <w:sz w:val="32"/>
          <w:szCs w:val="32"/>
        </w:rPr>
        <w:t>按人力资源和社会保障部、财政部规定的基本工资和津贴补贴以及规定比例为职工缴纳的住房公积金。</w:t>
      </w:r>
    </w:p>
    <w:p>
      <w:pPr>
        <w:widowControl/>
        <w:shd w:val="clear" w:color="auto" w:fill="FCFCFC"/>
        <w:spacing w:line="60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“三公经费”：反映财政拨款安排的因公出国（境）费、公务用车购置及运行费和公务接待费。其中，因公出国（境）费反映</w:t>
      </w:r>
      <w:r>
        <w:rPr>
          <w:rFonts w:hint="eastAsia" w:ascii="仿宋_GB2312" w:hAnsi="仿宋_GB2312" w:eastAsia="仿宋_GB2312" w:cs="仿宋_GB2312"/>
          <w:color w:val="000000"/>
          <w:kern w:val="0"/>
          <w:sz w:val="32"/>
          <w:szCs w:val="32"/>
          <w:lang w:eastAsia="zh-CN"/>
        </w:rPr>
        <w:t>昌江区科技局办公室</w:t>
      </w:r>
      <w:r>
        <w:rPr>
          <w:rFonts w:hint="eastAsia" w:ascii="仿宋_GB2312" w:hAnsi="仿宋_GB2312" w:eastAsia="仿宋_GB2312" w:cs="仿宋_GB2312"/>
          <w:color w:val="000000"/>
          <w:kern w:val="0"/>
          <w:sz w:val="32"/>
          <w:szCs w:val="32"/>
        </w:rPr>
        <w:t>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w:t>
      </w:r>
      <w:r>
        <w:rPr>
          <w:rFonts w:hint="eastAsia" w:ascii="仿宋_GB2312" w:hAnsi="仿宋_GB2312" w:eastAsia="仿宋_GB2312" w:cs="仿宋_GB2312"/>
          <w:color w:val="000000"/>
          <w:kern w:val="0"/>
          <w:sz w:val="32"/>
          <w:szCs w:val="32"/>
          <w:lang w:eastAsia="zh-CN"/>
        </w:rPr>
        <w:t>昌江区科技局办公室</w:t>
      </w:r>
      <w:r>
        <w:rPr>
          <w:rFonts w:hint="eastAsia" w:ascii="仿宋_GB2312" w:hAnsi="仿宋_GB2312" w:eastAsia="仿宋_GB2312" w:cs="仿宋_GB2312"/>
          <w:color w:val="000000"/>
          <w:kern w:val="0"/>
          <w:sz w:val="32"/>
          <w:szCs w:val="32"/>
        </w:rPr>
        <w:t>按规定开支的各类公务接待（含外宾接待）支出。</w:t>
      </w:r>
    </w:p>
    <w:p>
      <w:pPr>
        <w:ind w:firstLine="630"/>
        <w:jc w:val="left"/>
        <w:outlineLvl w:val="1"/>
        <w:rPr>
          <w:rFonts w:hint="eastAsia" w:ascii="黑体" w:hAnsi="黑体" w:eastAsia="黑体" w:cs="Times New Roman"/>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机关运行经费：为保障</w:t>
      </w:r>
      <w:r>
        <w:rPr>
          <w:rFonts w:hint="eastAsia" w:ascii="仿宋_GB2312" w:hAnsi="仿宋_GB2312" w:eastAsia="仿宋_GB2312" w:cs="仿宋_GB2312"/>
          <w:color w:val="000000"/>
          <w:kern w:val="0"/>
          <w:sz w:val="32"/>
          <w:szCs w:val="32"/>
          <w:lang w:eastAsia="zh-CN"/>
        </w:rPr>
        <w:t>昌江区</w:t>
      </w:r>
      <w:r>
        <w:rPr>
          <w:rFonts w:hint="eastAsia" w:ascii="仿宋_GB2312" w:hAnsi="仿宋_GB2312" w:eastAsia="仿宋_GB2312" w:cs="仿宋_GB2312"/>
          <w:color w:val="000000"/>
          <w:kern w:val="0"/>
          <w:sz w:val="32"/>
          <w:szCs w:val="32"/>
          <w:lang w:val="en-US" w:eastAsia="zh-CN"/>
        </w:rPr>
        <w:t>发展和改革委员会</w:t>
      </w:r>
      <w:r>
        <w:rPr>
          <w:rFonts w:hint="eastAsia" w:ascii="仿宋_GB2312" w:hAnsi="仿宋_GB2312" w:eastAsia="仿宋_GB2312" w:cs="仿宋_GB2312"/>
          <w:color w:val="000000"/>
          <w:kern w:val="0"/>
          <w:sz w:val="32"/>
          <w:szCs w:val="32"/>
          <w:lang w:eastAsia="zh-CN"/>
        </w:rPr>
        <w:t>办公室</w:t>
      </w:r>
      <w:r>
        <w:rPr>
          <w:rFonts w:hint="eastAsia" w:ascii="仿宋_GB2312" w:hAnsi="仿宋_GB2312" w:eastAsia="仿宋_GB2312" w:cs="仿宋_GB2312"/>
          <w:color w:val="000000"/>
          <w:kern w:val="0"/>
          <w:sz w:val="32"/>
          <w:szCs w:val="32"/>
        </w:rPr>
        <w:t>运行用于购买货物和服务的各项资金，包括办公及印刷费、邮电费、差旅费、会议费、福利费、日常维修费、专用材料及一般购置费、办公用房水电费、办公用房取暖费、办公用房物业管理费及其他费用</w:t>
      </w: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2023年发改委整体支出绩效自评报告</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部门概况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1.部门主要职责</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一）拟订本区国民经济和社会发展战略、中长期规划和年度计划，并组织实施；根据国家和省、市宏观调控要求，统筹协调经济社会发展，研究提出经济社会发展、经济结构调整的目标和政策措施，提出综合运用各种调控手段的建议；受区政府委托向区人大提交本区国民经济和社会发展计划的报告。</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二）统筹本区经济信息的收集、整理、研究工作，加强对本区国民经济运行监测、预测；综合研究本区国民经济和社会发展方面的重大问题，提出政策措施和建议；负责追踪区政府决策的规划、计划及重大事项的执行落实情况，协调解决执行中存在的问题。</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（三）负责汇总和分析本区财政、金融等方面情况，参与研究街乡财政体制，提出投融资政策建议，拟订投融资体制改革方案并组织实施；研究拟订政府重大项目融资方案。</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四）承担指导推进和综合协调本区经济体制改革的责任，研究经济体制改革的重大问题，组织拟订综合性经济体制改革方案，协调有关专项经济体制改革；研究各个功能区改革与发展的重大问题，并协调相关政策的落实。</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五）承担规划本区重大建设项目的责任；提出本区全社会固定资产投资规模、投资结构和资金平衡方案，组织拟订本区全社会固定资产投资和重大项目中长期规划和年度实施计划，统筹安排本区财政性建设资金，组织拟订并实施区政府投资计划；按权限审批、核准、审核和上报投资建设项目；负责组织拟订本区基础设施发展战略、中长期规划并协调实施；引导民间资金用于固定资产投资的方向，按权限审批和上报外商投资项目；组织开展重大建设项目稽查；按规定指导和协调本区招标投标工作。</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（六）统筹规划和综合协调产业发展，组织拟订综合性产业发展战略、规划和政策，推进区域经济结构战略性调整，协调推进各行业的发展。</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七）统筹推进实体经济发展。负责本区实体经济的中长期发展和布局规划、运行态势监测和分析，研究和拟订政策措施、发展方案并组织实施，统筹重大项目落实和推进，提高实体经济发展质量和效益，推进结构优化和升级，促进本区实体经济和虚拟经济的均衡发展；抓好工业资源的开发利用；加大对重大产业项目的协调推进力度，促进重大产业调整战略的落实和实施。</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八）负责组织经济运行调度工作，加强企业帮扶工作；做好中央、市在区企业服务和政策落实工作；指导和促进非公企业、中小企业发展；拟订促进中小企业发展和非国有经济发展的政策和措施，协调解决重大问题；建立和完善企业服务体系。</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（九）组织拟订区域统筹发展战略、规划和重大政策，研究推动功能区和城乡一体化的发展战略和措施。</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十）承担本区价格管理职责；贯彻实施国家和省、市的价格宏观调控政策，组织落实省、市政府下达的定调价方案；负责监测分析价格运行情况；按规定权限作价原则和办法制定、调整商品价格和收费标准，并组织价格听证会；依法查处价格违法行为和价格垄断行为等；依法处理有关商品价格和收费的重大价格违法案件。</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十一）负责本区社会发展与国民经济发展的政策衔接，组织拟订社会发展战略、总体规划和年度计划；参与拟订各项社会事业发展政策，推进社会事业建设，提出经济与社会协调发展、相互促进的政策措施，完善社会保障与经济协调发展的政策建议，协调社会事业发展与改革的重大问题。</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十二）推进可持续发展战略，参与编制本区土地利用总体规划和土地供应计划；负责本区节能减排的综合协调工作；组织拟订发展循环经济、全社会能源资源节约和综合利用的规划及政策措施，并协调实施；参与编制生态建设、环境保护规划、能源资源节约和综合利用的重大问题，指导资源节约与综合利用，协调环保产业发展；组织实施节能监察和考核工作。</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十三）负责研究提出税源建设长效机制和工作方案，并组织落实；负责税源建设工作的监测、预测和分析，做好重点问题的研究与政策措施的制定；组织协调相关职能部门为街乡税源建设提供服务，做好与驻区重点纳税企业之间的联系沟通；负责对重点企业及各部门、街乡的税源建设奖励工作。</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 xml:space="preserve">（十四）负责组织拟订本区国民经济动员规划、计划；研究国民经济动员与国民经济、国防建设的关系，协调相关重大问题；负责组织实施国民经济动员有关工作。 </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（十五）承办区委、区政府交办的其他事项。</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2</w:t>
      </w:r>
      <w:r>
        <w:rPr>
          <w:rFonts w:hint="eastAsia" w:ascii="仿宋_GB2312" w:hAnsi="仿宋_GB2312" w:eastAsia="仿宋_GB2312" w:cs="Times New Roman"/>
          <w:kern w:val="0"/>
          <w:sz w:val="32"/>
          <w:szCs w:val="32"/>
        </w:rPr>
        <w:t>.机构设置</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eastAsia="zh-CN"/>
        </w:rPr>
        <w:t>昌江区</w:t>
      </w:r>
      <w:r>
        <w:rPr>
          <w:rFonts w:hint="eastAsia" w:ascii="仿宋_GB2312" w:hAnsi="仿宋_GB2312" w:eastAsia="仿宋_GB2312" w:cs="Times New Roman"/>
          <w:kern w:val="0"/>
          <w:sz w:val="32"/>
          <w:szCs w:val="32"/>
          <w:lang w:val="en-US" w:eastAsia="zh-CN"/>
        </w:rPr>
        <w:t>发改委</w:t>
      </w:r>
      <w:r>
        <w:rPr>
          <w:rFonts w:hint="eastAsia" w:ascii="仿宋_GB2312" w:hAnsi="仿宋_GB2312" w:eastAsia="仿宋_GB2312" w:cs="Times New Roman"/>
          <w:kern w:val="0"/>
          <w:sz w:val="32"/>
          <w:szCs w:val="32"/>
          <w:lang w:eastAsia="zh-CN"/>
        </w:rPr>
        <w:t>共有预算单位</w:t>
      </w:r>
      <w:r>
        <w:rPr>
          <w:rFonts w:hint="eastAsia" w:ascii="仿宋_GB2312" w:hAnsi="仿宋_GB2312" w:eastAsia="仿宋_GB2312" w:cs="Times New Roman"/>
          <w:kern w:val="0"/>
          <w:sz w:val="32"/>
          <w:szCs w:val="32"/>
          <w:lang w:val="en-US" w:eastAsia="zh-CN"/>
        </w:rPr>
        <w:t>1</w:t>
      </w:r>
      <w:r>
        <w:rPr>
          <w:rFonts w:hint="eastAsia" w:ascii="仿宋_GB2312" w:hAnsi="仿宋_GB2312" w:eastAsia="仿宋_GB2312" w:cs="Times New Roman"/>
          <w:kern w:val="0"/>
          <w:sz w:val="32"/>
          <w:szCs w:val="32"/>
          <w:lang w:eastAsia="zh-CN"/>
        </w:rPr>
        <w:t>个：景德镇市昌江区发改委</w:t>
      </w:r>
      <w:r>
        <w:rPr>
          <w:rFonts w:hint="eastAsia" w:ascii="仿宋_GB2312" w:hAnsi="仿宋_GB2312" w:eastAsia="仿宋_GB2312" w:cs="Times New Roman"/>
          <w:kern w:val="0"/>
          <w:sz w:val="32"/>
          <w:szCs w:val="32"/>
          <w:lang w:val="en-US" w:eastAsia="zh-CN"/>
        </w:rPr>
        <w:t>。</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人员情况：编制人数</w:t>
      </w:r>
      <w:r>
        <w:rPr>
          <w:rFonts w:hint="eastAsia" w:ascii="仿宋_GB2312" w:hAnsi="仿宋_GB2312" w:eastAsia="仿宋_GB2312" w:cs="Times New Roman"/>
          <w:kern w:val="0"/>
          <w:sz w:val="32"/>
          <w:szCs w:val="32"/>
          <w:lang w:val="en-US" w:eastAsia="zh-CN"/>
        </w:rPr>
        <w:t>11</w:t>
      </w:r>
      <w:r>
        <w:rPr>
          <w:rFonts w:hint="eastAsia" w:ascii="仿宋_GB2312" w:hAnsi="仿宋_GB2312" w:eastAsia="仿宋_GB2312" w:cs="Times New Roman"/>
          <w:kern w:val="0"/>
          <w:sz w:val="32"/>
          <w:szCs w:val="32"/>
        </w:rPr>
        <w:t>人，其中行政编制</w:t>
      </w:r>
      <w:r>
        <w:rPr>
          <w:rFonts w:hint="eastAsia" w:ascii="仿宋_GB2312" w:hAnsi="仿宋_GB2312" w:eastAsia="仿宋_GB2312" w:cs="Times New Roman"/>
          <w:kern w:val="0"/>
          <w:sz w:val="32"/>
          <w:szCs w:val="32"/>
          <w:lang w:val="en-US" w:eastAsia="zh-CN"/>
        </w:rPr>
        <w:t>5</w:t>
      </w:r>
      <w:r>
        <w:rPr>
          <w:rFonts w:hint="eastAsia" w:ascii="仿宋_GB2312" w:hAnsi="仿宋_GB2312" w:eastAsia="仿宋_GB2312" w:cs="Times New Roman"/>
          <w:kern w:val="0"/>
          <w:sz w:val="32"/>
          <w:szCs w:val="32"/>
        </w:rPr>
        <w:t>人、全额补助事业编制</w:t>
      </w:r>
      <w:r>
        <w:rPr>
          <w:rFonts w:hint="eastAsia" w:ascii="仿宋_GB2312" w:hAnsi="仿宋_GB2312" w:eastAsia="仿宋_GB2312" w:cs="Times New Roman"/>
          <w:kern w:val="0"/>
          <w:sz w:val="32"/>
          <w:szCs w:val="32"/>
          <w:lang w:val="en-US" w:eastAsia="zh-CN"/>
        </w:rPr>
        <w:t>6</w:t>
      </w:r>
      <w:r>
        <w:rPr>
          <w:rFonts w:hint="eastAsia" w:ascii="仿宋_GB2312" w:hAnsi="仿宋_GB2312" w:eastAsia="仿宋_GB2312" w:cs="Times New Roman"/>
          <w:kern w:val="0"/>
          <w:sz w:val="32"/>
          <w:szCs w:val="32"/>
        </w:rPr>
        <w:t>人、部分补助事业编制0人、自收自支事业编制0人。实有人数</w:t>
      </w:r>
      <w:r>
        <w:rPr>
          <w:rFonts w:hint="eastAsia" w:ascii="仿宋_GB2312" w:hAnsi="仿宋_GB2312" w:eastAsia="仿宋_GB2312" w:cs="Times New Roman"/>
          <w:kern w:val="0"/>
          <w:sz w:val="32"/>
          <w:szCs w:val="32"/>
          <w:lang w:val="en-US" w:eastAsia="zh-CN"/>
        </w:rPr>
        <w:t>19</w:t>
      </w:r>
      <w:r>
        <w:rPr>
          <w:rFonts w:hint="eastAsia" w:ascii="仿宋_GB2312" w:hAnsi="仿宋_GB2312" w:eastAsia="仿宋_GB2312" w:cs="Times New Roman"/>
          <w:kern w:val="0"/>
          <w:sz w:val="32"/>
          <w:szCs w:val="32"/>
        </w:rPr>
        <w:t>人，其中在职人数</w:t>
      </w:r>
      <w:r>
        <w:rPr>
          <w:rFonts w:hint="eastAsia" w:ascii="仿宋_GB2312" w:hAnsi="仿宋_GB2312" w:eastAsia="仿宋_GB2312" w:cs="Times New Roman"/>
          <w:kern w:val="0"/>
          <w:sz w:val="32"/>
          <w:szCs w:val="32"/>
          <w:lang w:val="en-US" w:eastAsia="zh-CN"/>
        </w:rPr>
        <w:t>19</w:t>
      </w:r>
      <w:r>
        <w:rPr>
          <w:rFonts w:hint="eastAsia" w:ascii="仿宋_GB2312" w:hAnsi="仿宋_GB2312" w:eastAsia="仿宋_GB2312" w:cs="Times New Roman"/>
          <w:kern w:val="0"/>
          <w:sz w:val="32"/>
          <w:szCs w:val="32"/>
        </w:rPr>
        <w:t>人，包括行政人员</w:t>
      </w:r>
      <w:r>
        <w:rPr>
          <w:rFonts w:hint="eastAsia" w:ascii="仿宋_GB2312" w:hAnsi="仿宋_GB2312" w:eastAsia="仿宋_GB2312" w:cs="Times New Roman"/>
          <w:kern w:val="0"/>
          <w:sz w:val="32"/>
          <w:szCs w:val="32"/>
          <w:lang w:val="en-US" w:eastAsia="zh-CN"/>
        </w:rPr>
        <w:t>5</w:t>
      </w:r>
      <w:r>
        <w:rPr>
          <w:rFonts w:hint="eastAsia" w:ascii="仿宋_GB2312" w:hAnsi="仿宋_GB2312" w:eastAsia="仿宋_GB2312" w:cs="Times New Roman"/>
          <w:kern w:val="0"/>
          <w:sz w:val="32"/>
          <w:szCs w:val="32"/>
        </w:rPr>
        <w:t>人、全额补助事业人员</w:t>
      </w:r>
      <w:r>
        <w:rPr>
          <w:rFonts w:hint="eastAsia" w:ascii="仿宋_GB2312" w:hAnsi="仿宋_GB2312" w:eastAsia="仿宋_GB2312" w:cs="Times New Roman"/>
          <w:kern w:val="0"/>
          <w:sz w:val="32"/>
          <w:szCs w:val="32"/>
          <w:lang w:val="en-US" w:eastAsia="zh-CN"/>
        </w:rPr>
        <w:t>6</w:t>
      </w:r>
      <w:r>
        <w:rPr>
          <w:rFonts w:hint="eastAsia" w:ascii="仿宋_GB2312" w:hAnsi="仿宋_GB2312" w:eastAsia="仿宋_GB2312" w:cs="Times New Roman"/>
          <w:kern w:val="0"/>
          <w:sz w:val="32"/>
          <w:szCs w:val="32"/>
        </w:rPr>
        <w:t>人、部分补助事业编人员0人、自收自支事业人员0人；离休人员</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人，退休人员</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人。。</w:t>
      </w:r>
    </w:p>
    <w:p>
      <w:pPr>
        <w:ind w:firstLine="600"/>
        <w:rPr>
          <w:rFonts w:hint="default" w:ascii="仿宋_GB2312" w:hAnsi="仿宋_GB2312" w:eastAsia="仿宋_GB2312" w:cs="Times New Roman"/>
          <w:kern w:val="0"/>
          <w:sz w:val="32"/>
          <w:szCs w:val="32"/>
          <w:lang w:val="en-US" w:eastAsia="zh-CN"/>
        </w:rPr>
      </w:pP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当年部门履职总体目标、工作任务。</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根据《202</w:t>
      </w:r>
      <w:r>
        <w:rPr>
          <w:rFonts w:hint="eastAsia" w:ascii="仿宋_GB2312" w:hAnsi="仿宋_GB2312" w:eastAsia="仿宋_GB2312" w:cs="Times New Roman"/>
          <w:kern w:val="0"/>
          <w:sz w:val="32"/>
          <w:szCs w:val="32"/>
          <w:lang w:val="en-US" w:eastAsia="zh-CN"/>
        </w:rPr>
        <w:t>3</w:t>
      </w:r>
      <w:r>
        <w:rPr>
          <w:rFonts w:hint="eastAsia" w:ascii="仿宋_GB2312" w:hAnsi="仿宋_GB2312" w:eastAsia="仿宋_GB2312" w:cs="Times New Roman"/>
          <w:kern w:val="0"/>
          <w:sz w:val="32"/>
          <w:szCs w:val="32"/>
        </w:rPr>
        <w:t>度</w:t>
      </w:r>
      <w:r>
        <w:rPr>
          <w:rFonts w:hint="eastAsia" w:ascii="仿宋_GB2312" w:hAnsi="仿宋_GB2312" w:eastAsia="仿宋_GB2312" w:cs="Times New Roman"/>
          <w:kern w:val="0"/>
          <w:sz w:val="32"/>
          <w:szCs w:val="32"/>
          <w:lang w:eastAsia="zh-CN"/>
        </w:rPr>
        <w:t>区发改委</w:t>
      </w:r>
      <w:r>
        <w:rPr>
          <w:rFonts w:hint="eastAsia" w:ascii="仿宋_GB2312" w:hAnsi="仿宋_GB2312" w:eastAsia="仿宋_GB2312" w:cs="Times New Roman"/>
          <w:kern w:val="0"/>
          <w:sz w:val="32"/>
          <w:szCs w:val="32"/>
        </w:rPr>
        <w:t>部门预算整体支出绩效目标表》设定绩效目标，设置“</w:t>
      </w:r>
      <w:r>
        <w:rPr>
          <w:rFonts w:hint="eastAsia" w:ascii="仿宋_GB2312" w:hAnsi="仿宋_GB2312" w:eastAsia="仿宋_GB2312" w:cs="Times New Roman"/>
          <w:kern w:val="0"/>
          <w:sz w:val="32"/>
          <w:szCs w:val="32"/>
          <w:lang w:val="en-US" w:eastAsia="zh-CN"/>
        </w:rPr>
        <w:t>执行、产出、效益、满意度</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val="en-US" w:eastAsia="zh-CN"/>
        </w:rPr>
        <w:t>4</w:t>
      </w:r>
      <w:r>
        <w:rPr>
          <w:rFonts w:hint="eastAsia" w:ascii="仿宋_GB2312" w:hAnsi="仿宋_GB2312" w:eastAsia="仿宋_GB2312" w:cs="Times New Roman"/>
          <w:kern w:val="0"/>
          <w:sz w:val="32"/>
          <w:szCs w:val="32"/>
        </w:rPr>
        <w:t>个一级指标，指标分值权重分别为：</w:t>
      </w:r>
      <w:r>
        <w:rPr>
          <w:rFonts w:hint="eastAsia" w:ascii="仿宋_GB2312" w:hAnsi="仿宋_GB2312" w:eastAsia="仿宋_GB2312" w:cs="Times New Roman"/>
          <w:kern w:val="0"/>
          <w:sz w:val="32"/>
          <w:szCs w:val="32"/>
          <w:lang w:val="en-US" w:eastAsia="zh-CN"/>
        </w:rPr>
        <w:t>10%、70</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val="en-US" w:eastAsia="zh-CN"/>
        </w:rPr>
        <w:t>1</w:t>
      </w:r>
      <w:r>
        <w:rPr>
          <w:rFonts w:hint="eastAsia" w:ascii="仿宋_GB2312" w:hAnsi="仿宋_GB2312" w:eastAsia="仿宋_GB2312" w:cs="Times New Roman"/>
          <w:kern w:val="0"/>
          <w:sz w:val="32"/>
          <w:szCs w:val="32"/>
        </w:rPr>
        <w:t>0%、</w:t>
      </w:r>
      <w:r>
        <w:rPr>
          <w:rFonts w:hint="eastAsia" w:ascii="仿宋_GB2312" w:hAnsi="仿宋_GB2312" w:eastAsia="仿宋_GB2312" w:cs="Times New Roman"/>
          <w:kern w:val="0"/>
          <w:sz w:val="32"/>
          <w:szCs w:val="32"/>
          <w:lang w:val="en-US" w:eastAsia="zh-CN"/>
        </w:rPr>
        <w:t>10</w:t>
      </w:r>
      <w:r>
        <w:rPr>
          <w:rFonts w:hint="eastAsia" w:ascii="仿宋_GB2312" w:hAnsi="仿宋_GB2312" w:eastAsia="仿宋_GB2312" w:cs="Times New Roman"/>
          <w:kern w:val="0"/>
          <w:sz w:val="32"/>
          <w:szCs w:val="32"/>
        </w:rPr>
        <w:t>%；并将其分解为</w:t>
      </w:r>
      <w:r>
        <w:rPr>
          <w:rFonts w:hint="eastAsia" w:ascii="仿宋_GB2312" w:hAnsi="仿宋_GB2312" w:eastAsia="仿宋_GB2312" w:cs="Times New Roman"/>
          <w:kern w:val="0"/>
          <w:sz w:val="32"/>
          <w:szCs w:val="32"/>
          <w:lang w:val="en-US" w:eastAsia="zh-CN"/>
        </w:rPr>
        <w:t>6</w:t>
      </w:r>
      <w:r>
        <w:rPr>
          <w:rFonts w:hint="eastAsia" w:ascii="仿宋_GB2312" w:hAnsi="仿宋_GB2312" w:eastAsia="仿宋_GB2312" w:cs="Times New Roman"/>
          <w:kern w:val="0"/>
          <w:sz w:val="32"/>
          <w:szCs w:val="32"/>
        </w:rPr>
        <w:t>个二级指标，分别为数量指标、质量指标、时效指标、成本指标、社会效益指标、满意度指标，同时将</w:t>
      </w:r>
      <w:r>
        <w:rPr>
          <w:rFonts w:hint="eastAsia" w:ascii="仿宋_GB2312" w:hAnsi="仿宋_GB2312" w:eastAsia="仿宋_GB2312" w:cs="Times New Roman"/>
          <w:kern w:val="0"/>
          <w:sz w:val="32"/>
          <w:szCs w:val="32"/>
          <w:lang w:val="en-US" w:eastAsia="zh-CN"/>
        </w:rPr>
        <w:t>6</w:t>
      </w:r>
      <w:r>
        <w:rPr>
          <w:rFonts w:hint="eastAsia" w:ascii="仿宋_GB2312" w:hAnsi="仿宋_GB2312" w:eastAsia="仿宋_GB2312" w:cs="Times New Roman"/>
          <w:kern w:val="0"/>
          <w:sz w:val="32"/>
          <w:szCs w:val="32"/>
        </w:rPr>
        <w:t>个二级指标细化分解为</w:t>
      </w:r>
      <w:r>
        <w:rPr>
          <w:rFonts w:hint="eastAsia" w:ascii="仿宋_GB2312" w:hAnsi="仿宋_GB2312" w:eastAsia="仿宋_GB2312" w:cs="Times New Roman"/>
          <w:kern w:val="0"/>
          <w:sz w:val="32"/>
          <w:szCs w:val="32"/>
          <w:lang w:val="en-US" w:eastAsia="zh-CN"/>
        </w:rPr>
        <w:t>6</w:t>
      </w:r>
      <w:r>
        <w:rPr>
          <w:rFonts w:hint="eastAsia" w:ascii="仿宋_GB2312" w:hAnsi="仿宋_GB2312" w:eastAsia="仿宋_GB2312" w:cs="Times New Roman"/>
          <w:kern w:val="0"/>
          <w:sz w:val="32"/>
          <w:szCs w:val="32"/>
        </w:rPr>
        <w:t>个三级指标。</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年度工作计划及重点工作任务情况等</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（1）年度工作计划</w:t>
      </w:r>
    </w:p>
    <w:p>
      <w:pPr>
        <w:ind w:firstLine="600"/>
        <w:rPr>
          <w:rFonts w:hint="eastAsia" w:ascii="仿宋_GB2312" w:hAnsi="仿宋_GB2312" w:eastAsia="仿宋_GB2312" w:cs="Times New Roman"/>
          <w:kern w:val="0"/>
          <w:sz w:val="32"/>
          <w:szCs w:val="32"/>
          <w:lang w:val="en-US" w:eastAsia="zh-CN"/>
        </w:rPr>
      </w:pPr>
      <w:r>
        <w:rPr>
          <w:rFonts w:hint="default" w:ascii="仿宋_GB2312" w:hAnsi="仿宋_GB2312" w:eastAsia="仿宋_GB2312" w:cs="Times New Roman"/>
          <w:kern w:val="0"/>
          <w:sz w:val="32"/>
          <w:szCs w:val="32"/>
          <w:lang w:val="en-US" w:eastAsia="zh-CN"/>
        </w:rPr>
        <w:t>目标1：全年预算申请到位和下达数量在95%以上，三公经费变动率≤0。</w:t>
      </w:r>
    </w:p>
    <w:p>
      <w:pPr>
        <w:ind w:firstLine="600"/>
        <w:rPr>
          <w:rFonts w:hint="eastAsia" w:ascii="仿宋_GB2312" w:hAnsi="仿宋_GB2312" w:eastAsia="仿宋_GB2312" w:cs="Times New Roman"/>
          <w:kern w:val="0"/>
          <w:sz w:val="32"/>
          <w:szCs w:val="32"/>
        </w:rPr>
      </w:pPr>
      <w:r>
        <w:rPr>
          <w:rFonts w:hint="default" w:ascii="仿宋_GB2312" w:hAnsi="仿宋_GB2312" w:eastAsia="仿宋_GB2312" w:cs="Times New Roman"/>
          <w:kern w:val="0"/>
          <w:sz w:val="32"/>
          <w:szCs w:val="32"/>
          <w:lang w:val="en-US" w:eastAsia="zh-CN"/>
        </w:rPr>
        <w:t>目标2：</w:t>
      </w:r>
      <w:r>
        <w:rPr>
          <w:rFonts w:hint="eastAsia" w:ascii="仿宋_GB2312" w:hAnsi="仿宋_GB2312" w:eastAsia="仿宋_GB2312" w:cs="Times New Roman"/>
          <w:kern w:val="0"/>
          <w:sz w:val="32"/>
          <w:szCs w:val="32"/>
        </w:rPr>
        <w:t>进一步学懂弄通做实习近平新时代中国特色社会主义思想上下功夫，紧紧围绕建好景德镇国家陶瓷文化传承创新试验区，围绕区第十一次党代会确立的奋斗目标和“五区”建设路径，围绕全面从严治党，紧盯我区发展的重要决策、重大部署、重点工作，坚持目标导向、价值导向和问题导向，团结全区广大</w:t>
      </w:r>
      <w:r>
        <w:rPr>
          <w:rFonts w:hint="eastAsia" w:ascii="仿宋_GB2312" w:hAnsi="仿宋_GB2312" w:eastAsia="仿宋_GB2312" w:cs="Times New Roman"/>
          <w:kern w:val="0"/>
          <w:sz w:val="32"/>
          <w:szCs w:val="32"/>
          <w:lang w:val="en-US" w:eastAsia="zh-CN"/>
        </w:rPr>
        <w:t>发改委</w:t>
      </w:r>
      <w:r>
        <w:rPr>
          <w:rFonts w:hint="eastAsia" w:ascii="仿宋_GB2312" w:hAnsi="仿宋_GB2312" w:eastAsia="仿宋_GB2312" w:cs="Times New Roman"/>
          <w:kern w:val="0"/>
          <w:sz w:val="32"/>
          <w:szCs w:val="32"/>
        </w:rPr>
        <w:t>工作者，扎实开展</w:t>
      </w:r>
      <w:r>
        <w:rPr>
          <w:rFonts w:hint="eastAsia" w:ascii="仿宋_GB2312" w:hAnsi="仿宋_GB2312" w:eastAsia="仿宋_GB2312" w:cs="Times New Roman"/>
          <w:kern w:val="0"/>
          <w:sz w:val="32"/>
          <w:szCs w:val="32"/>
          <w:lang w:val="en-US" w:eastAsia="zh-CN"/>
        </w:rPr>
        <w:t>业务培训</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val="en-US" w:eastAsia="zh-CN"/>
        </w:rPr>
        <w:t>业务</w:t>
      </w:r>
      <w:r>
        <w:rPr>
          <w:rFonts w:hint="eastAsia" w:ascii="仿宋_GB2312" w:hAnsi="仿宋_GB2312" w:eastAsia="仿宋_GB2312" w:cs="Times New Roman"/>
          <w:kern w:val="0"/>
          <w:sz w:val="32"/>
          <w:szCs w:val="32"/>
        </w:rPr>
        <w:t>、研究工作，创新社科活动的组织形式和内容，加强社科人才队伍建设，为“建设魅力昌江，做靓瓷都门户，在打造与世界对话的国际瓷都中实现新跨越”贡献社科战线的力量，奋力谱写新时代昌江</w:t>
      </w:r>
      <w:r>
        <w:rPr>
          <w:rFonts w:hint="eastAsia" w:ascii="仿宋_GB2312" w:hAnsi="仿宋_GB2312" w:eastAsia="仿宋_GB2312" w:cs="Times New Roman"/>
          <w:kern w:val="0"/>
          <w:sz w:val="32"/>
          <w:szCs w:val="32"/>
          <w:lang w:val="en-US" w:eastAsia="zh-CN"/>
        </w:rPr>
        <w:t>宣传</w:t>
      </w:r>
      <w:r>
        <w:rPr>
          <w:rFonts w:hint="eastAsia" w:ascii="仿宋_GB2312" w:hAnsi="仿宋_GB2312" w:eastAsia="仿宋_GB2312" w:cs="Times New Roman"/>
          <w:kern w:val="0"/>
          <w:sz w:val="32"/>
          <w:szCs w:val="32"/>
        </w:rPr>
        <w:t>事业发展新篇章。</w:t>
      </w:r>
    </w:p>
    <w:p>
      <w:pPr>
        <w:ind w:firstLine="600"/>
        <w:rPr>
          <w:rFonts w:hint="default" w:ascii="仿宋_GB2312" w:hAnsi="仿宋_GB2312" w:eastAsia="仿宋_GB2312" w:cs="Times New Roman"/>
          <w:kern w:val="0"/>
          <w:sz w:val="32"/>
          <w:szCs w:val="32"/>
          <w:lang w:val="en-US" w:eastAsia="zh-CN"/>
        </w:rPr>
      </w:pPr>
      <w:r>
        <w:rPr>
          <w:rFonts w:hint="default" w:ascii="仿宋_GB2312" w:hAnsi="仿宋_GB2312" w:eastAsia="仿宋_GB2312" w:cs="Times New Roman"/>
          <w:kern w:val="0"/>
          <w:sz w:val="32"/>
          <w:szCs w:val="32"/>
          <w:lang w:val="en-US" w:eastAsia="zh-CN"/>
        </w:rPr>
        <w:t>目标3：</w:t>
      </w:r>
      <w:r>
        <w:rPr>
          <w:rFonts w:hint="eastAsia" w:ascii="仿宋_GB2312" w:hAnsi="仿宋_GB2312" w:eastAsia="仿宋_GB2312" w:cs="Times New Roman"/>
          <w:kern w:val="0"/>
          <w:sz w:val="32"/>
          <w:szCs w:val="32"/>
          <w:lang w:val="en-US" w:eastAsia="zh-CN"/>
        </w:rPr>
        <w:t>完成其他事项。</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（2）重点工作任务</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1、</w:t>
      </w:r>
      <w:r>
        <w:rPr>
          <w:rFonts w:hint="eastAsia" w:ascii="仿宋_GB2312" w:hAnsi="仿宋_GB2312" w:eastAsia="仿宋_GB2312" w:cs="Times New Roman"/>
          <w:kern w:val="0"/>
          <w:sz w:val="32"/>
          <w:szCs w:val="32"/>
        </w:rPr>
        <w:t>坚持加强政治机关建设。</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2、</w:t>
      </w:r>
      <w:r>
        <w:rPr>
          <w:rFonts w:hint="eastAsia" w:ascii="仿宋_GB2312" w:hAnsi="仿宋_GB2312" w:eastAsia="仿宋_GB2312" w:cs="Times New Roman"/>
          <w:kern w:val="0"/>
          <w:sz w:val="32"/>
          <w:szCs w:val="32"/>
        </w:rPr>
        <w:t>全面保障机关运转效能。</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3、</w:t>
      </w:r>
      <w:r>
        <w:rPr>
          <w:rFonts w:hint="eastAsia" w:ascii="仿宋_GB2312" w:hAnsi="仿宋_GB2312" w:eastAsia="仿宋_GB2312" w:cs="Times New Roman"/>
          <w:kern w:val="0"/>
          <w:sz w:val="32"/>
          <w:szCs w:val="32"/>
        </w:rPr>
        <w:t>全力推进改革攻坚任务。</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lang w:val="en-US" w:eastAsia="zh-CN"/>
        </w:rPr>
        <w:t>三</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整体支出绩效目标。</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合理使用资金，确保日常工作中发生的支出及时付款，在支出的过程中严格把关，审核资料的完整性，真实性，有效性等等，特别是项目资金，一定要做到专款专用，不可挪用及替换使用资金。保证项目顺利有质有量的完成。</w:t>
      </w:r>
    </w:p>
    <w:p>
      <w:pPr>
        <w:ind w:firstLine="600"/>
        <w:rPr>
          <w:rFonts w:hint="default" w:ascii="仿宋_GB2312" w:hAnsi="仿宋_GB2312" w:eastAsia="仿宋_GB2312" w:cs="Times New Roman"/>
          <w:kern w:val="0"/>
          <w:sz w:val="32"/>
          <w:szCs w:val="32"/>
          <w:lang w:val="zh-CN" w:eastAsia="zh-CN"/>
        </w:rPr>
      </w:pPr>
      <w:r>
        <w:rPr>
          <w:rFonts w:hint="eastAsia" w:ascii="仿宋_GB2312" w:hAnsi="仿宋_GB2312" w:eastAsia="仿宋_GB2312" w:cs="Times New Roman"/>
          <w:kern w:val="0"/>
          <w:sz w:val="32"/>
          <w:szCs w:val="32"/>
          <w:lang w:val="en-US" w:eastAsia="zh-CN"/>
        </w:rPr>
        <w:t>目标1：理论学习扎实有效</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目标2：理论宣传走深走实</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目标3：理论研究有看点</w:t>
      </w:r>
    </w:p>
    <w:p>
      <w:pPr>
        <w:ind w:firstLine="600"/>
        <w:rPr>
          <w:rFonts w:hint="eastAsia" w:ascii="仿宋_GB2312" w:hAnsi="仿宋_GB2312" w:eastAsia="仿宋_GB2312" w:cs="Times New Roman"/>
          <w:kern w:val="0"/>
          <w:sz w:val="32"/>
          <w:szCs w:val="32"/>
          <w:lang w:val="zh-CN" w:eastAsia="zh-CN"/>
        </w:rPr>
      </w:pPr>
      <w:r>
        <w:rPr>
          <w:rFonts w:hint="eastAsia" w:ascii="仿宋_GB2312" w:hAnsi="仿宋_GB2312" w:eastAsia="仿宋_GB2312" w:cs="Times New Roman"/>
          <w:kern w:val="0"/>
          <w:sz w:val="32"/>
          <w:szCs w:val="32"/>
          <w:lang w:val="en-US" w:eastAsia="zh-CN"/>
        </w:rPr>
        <w:t>目标4：积极做好其他工作</w:t>
      </w:r>
    </w:p>
    <w:p>
      <w:pPr>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当年部门年度整体支出绩效目标。</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发改委2023全年工资福利支出178.97万元，其中基本工资59.41万元，津贴补贴34.39万元，奖金8.86万元，伙食补助费7.35万元，绩效工资13.47万元，机关事业单位养老保险缴费12.57万元，职工基本医疗保险缴费5.65万元，其他社会保障缴费0.13万元，住房公积金12.93万元，其他工资福利支出24.19万元。</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商品和服务支出226.35万元，其中办公费7.76万元，印刷费14.42万元，咨询费44.06万元，，邮电费8.54万元，，差旅费1.36万元，维修（护）费2.35万元，租赁费0.08万元，培训费0.97万元，公务接待费0.156万元，，劳务费9.69万元，工会经费6万元，福利费0.55万元，其他交通费用0.134万元，其他商品和服务支出11.11万元。</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资本性支出177.79万元，其中办公设备购置2.09万元，基础设施建设175.7万元。</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对企业的补助515.万元，其中费用补贴1445.87万元。</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当年部门预算及执行情况。</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一、预算收入情况</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发改委2023年度预算总收入合计5450.58万元，其中财政拨款收入4667.84万元，其他资金收入782.74万元。</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二、支出决算情况</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发改委2023年度支出合计5552.61万元，其中基本支出3070.43万元，项目支出2482.18万元。</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三、财政拨款支出预算情况</w:t>
      </w:r>
    </w:p>
    <w:p>
      <w:pPr>
        <w:ind w:firstLine="600"/>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发改委2023年度财政拨款支出4571.84万元，其中一般公共服务支出4230.57万元，社会保障和就业支出57.68万元，卫生健康支出25.63万元，节能环保支出14.37万元，城乡社区支出10万元，农林水支出116.95万元，住房保障支出67.43万元，其他支出49.2万元。</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二、评价工作开展情况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(一) 评价的目的和思路</w:t>
      </w:r>
    </w:p>
    <w:p>
      <w:pPr>
        <w:ind w:firstLine="600"/>
        <w:rPr>
          <w:rFonts w:hint="eastAsia" w:ascii="仿宋_GB2312" w:hAnsi="仿宋_GB2312" w:eastAsia="仿宋_GB2312" w:cs="Times New Roman"/>
          <w:kern w:val="0"/>
          <w:sz w:val="32"/>
          <w:szCs w:val="32"/>
          <w:lang w:eastAsia="zh-CN"/>
        </w:rPr>
      </w:pPr>
      <w:r>
        <w:rPr>
          <w:rFonts w:hint="eastAsia" w:ascii="仿宋_GB2312" w:hAnsi="仿宋_GB2312" w:eastAsia="仿宋_GB2312" w:cs="Times New Roman"/>
          <w:kern w:val="0"/>
          <w:sz w:val="32"/>
          <w:szCs w:val="32"/>
        </w:rPr>
        <w:t>为全面贯彻落实《中共昌江区委、昌江区人民政府关于全面实施预算绩效管理的实施意见》(昌党发(2022)6号)</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昌财绩字(2023)1号昌江区财政局关于印发《昌江区区级项目支出和部门整体支出绩效评价管理暂行办法》的</w:t>
      </w:r>
      <w:r>
        <w:rPr>
          <w:rFonts w:hint="eastAsia" w:ascii="仿宋_GB2312" w:hAnsi="仿宋_GB2312" w:eastAsia="仿宋_GB2312" w:cs="Times New Roman"/>
          <w:kern w:val="0"/>
          <w:sz w:val="32"/>
          <w:szCs w:val="32"/>
          <w:lang w:eastAsia="zh-CN"/>
        </w:rPr>
        <w:t>文件</w:t>
      </w:r>
      <w:r>
        <w:rPr>
          <w:rFonts w:hint="eastAsia" w:ascii="仿宋_GB2312" w:hAnsi="仿宋_GB2312" w:eastAsia="仿宋_GB2312" w:cs="Times New Roman"/>
          <w:kern w:val="0"/>
          <w:sz w:val="32"/>
          <w:szCs w:val="32"/>
        </w:rPr>
        <w:t>精神，通过从项目立项必要性、投入经济性、绩效目标合理性、实施方案可行性和筹资合规性五个方面建立科学、合理的预算绩效评价管理体系，提高财政资源的配置和使用效率</w:t>
      </w:r>
      <w:r>
        <w:rPr>
          <w:rFonts w:hint="eastAsia" w:ascii="仿宋_GB2312" w:hAnsi="仿宋_GB2312" w:eastAsia="仿宋_GB2312" w:cs="Times New Roman"/>
          <w:kern w:val="0"/>
          <w:sz w:val="32"/>
          <w:szCs w:val="32"/>
          <w:lang w:eastAsia="zh-CN"/>
        </w:rPr>
        <w:t>。</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(二)评价方法和指标体系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(二)评价方法和指标体系</w:t>
      </w:r>
    </w:p>
    <w:p>
      <w:pPr>
        <w:ind w:firstLine="600"/>
        <w:rPr>
          <w:rFonts w:hint="eastAsia" w:ascii="仿宋_GB2312" w:hAnsi="仿宋_GB2312" w:eastAsia="仿宋_GB2312" w:cs="Times New Roman"/>
          <w:kern w:val="0"/>
          <w:sz w:val="32"/>
          <w:szCs w:val="32"/>
        </w:rPr>
      </w:pPr>
      <w:r>
        <w:rPr>
          <w:rFonts w:hint="eastAsia" w:ascii="仿宋" w:hAnsi="仿宋" w:eastAsia="仿宋" w:cs="仿宋"/>
        </w:rPr>
        <w:drawing>
          <wp:inline distT="0" distB="0" distL="114300" distR="114300">
            <wp:extent cx="5269230" cy="2643505"/>
            <wp:effectExtent l="0" t="0" r="762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9230" cy="2643505"/>
                    </a:xfrm>
                    <a:prstGeom prst="rect">
                      <a:avLst/>
                    </a:prstGeom>
                    <a:noFill/>
                    <a:ln>
                      <a:noFill/>
                    </a:ln>
                  </pic:spPr>
                </pic:pic>
              </a:graphicData>
            </a:graphic>
          </wp:inline>
        </w:drawing>
      </w:r>
      <w:r>
        <w:rPr>
          <w:rFonts w:hint="eastAsia" w:ascii="仿宋" w:hAnsi="仿宋" w:eastAsia="仿宋" w:cs="仿宋"/>
          <w:lang w:val="en-US" w:eastAsia="zh-CN"/>
        </w:rPr>
        <w:t xml:space="preserve">      </w:t>
      </w:r>
      <w:r>
        <w:rPr>
          <w:rFonts w:hint="eastAsia" w:ascii="仿宋" w:hAnsi="仿宋" w:eastAsia="仿宋" w:cs="仿宋"/>
        </w:rPr>
        <w:drawing>
          <wp:inline distT="0" distB="0" distL="114300" distR="114300">
            <wp:extent cx="4619625" cy="2679700"/>
            <wp:effectExtent l="0" t="0" r="952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619625" cy="2679700"/>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266690" cy="2654935"/>
            <wp:effectExtent l="0" t="0" r="1016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6690" cy="265493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267960" cy="3102610"/>
            <wp:effectExtent l="0" t="0" r="889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67960" cy="3102610"/>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270500" cy="3049270"/>
            <wp:effectExtent l="0" t="0" r="635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0500" cy="3049270"/>
                    </a:xfrm>
                    <a:prstGeom prst="rect">
                      <a:avLst/>
                    </a:prstGeom>
                    <a:noFill/>
                    <a:ln>
                      <a:noFill/>
                    </a:ln>
                  </pic:spPr>
                </pic:pic>
              </a:graphicData>
            </a:graphic>
          </wp:inline>
        </w:drawing>
      </w:r>
    </w:p>
    <w:p>
      <w:pPr>
        <w:ind w:firstLine="600"/>
        <w:rPr>
          <w:rFonts w:hint="eastAsia" w:ascii="仿宋_GB2312" w:hAnsi="仿宋_GB2312" w:eastAsia="仿宋_GB2312" w:cs="Times New Roman"/>
          <w:kern w:val="0"/>
          <w:sz w:val="32"/>
          <w:szCs w:val="32"/>
        </w:rPr>
      </w:pP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(三) 评价实施过程</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收集项目资料，全面了解建设项目管理制度和流程、资金使用情况、受益群体的反馈情况，在收集和审核项目资料的基础上，制定了绩效评价指标体系，并进一步修改和完善，</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最后根据评价标准和资料依据，进行了分析，得出评价结论。</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三、评价总体结论</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(一) 评价得分情况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根据资金绩效评价指标体系和绩效检查情况，财政资金整体绩效分值</w:t>
      </w:r>
      <w:r>
        <w:rPr>
          <w:rFonts w:hint="eastAsia" w:ascii="仿宋_GB2312" w:hAnsi="仿宋_GB2312" w:eastAsia="仿宋_GB2312" w:cs="Times New Roman"/>
          <w:kern w:val="0"/>
          <w:sz w:val="32"/>
          <w:szCs w:val="32"/>
          <w:lang w:val="en-US" w:eastAsia="zh-CN"/>
        </w:rPr>
        <w:t>97.94</w:t>
      </w:r>
      <w:r>
        <w:rPr>
          <w:rFonts w:hint="eastAsia" w:ascii="仿宋_GB2312" w:hAnsi="仿宋_GB2312" w:eastAsia="仿宋_GB2312" w:cs="Times New Roman"/>
          <w:kern w:val="0"/>
          <w:sz w:val="32"/>
          <w:szCs w:val="32"/>
        </w:rPr>
        <w:t>分，从预算编制和执行情况、节能降耗情况、三公经费控制情况，项目支出管理规范和绩效情况等方面总体评价，实得</w:t>
      </w:r>
      <w:r>
        <w:rPr>
          <w:rFonts w:hint="eastAsia" w:ascii="仿宋_GB2312" w:hAnsi="仿宋_GB2312" w:eastAsia="仿宋_GB2312" w:cs="Times New Roman"/>
          <w:kern w:val="0"/>
          <w:sz w:val="32"/>
          <w:szCs w:val="32"/>
          <w:lang w:val="en-US" w:eastAsia="zh-CN"/>
        </w:rPr>
        <w:t>89.66</w:t>
      </w:r>
      <w:r>
        <w:rPr>
          <w:rFonts w:hint="eastAsia" w:ascii="仿宋_GB2312" w:hAnsi="仿宋_GB2312" w:eastAsia="仿宋_GB2312" w:cs="Times New Roman"/>
          <w:kern w:val="0"/>
          <w:sz w:val="32"/>
          <w:szCs w:val="32"/>
        </w:rPr>
        <w:t>分。</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(二) 评价总体结论</w:t>
      </w:r>
    </w:p>
    <w:p>
      <w:pPr>
        <w:ind w:firstLine="600"/>
        <w:rPr>
          <w:rFonts w:hint="eastAsia" w:ascii="仿宋_GB2312" w:hAnsi="仿宋_GB2312" w:eastAsia="仿宋_GB2312" w:cs="Times New Roman"/>
          <w:kern w:val="0"/>
          <w:sz w:val="32"/>
          <w:szCs w:val="32"/>
          <w:lang w:eastAsia="zh-CN"/>
        </w:rPr>
      </w:pPr>
      <w:r>
        <w:rPr>
          <w:rFonts w:hint="eastAsia" w:ascii="仿宋_GB2312" w:hAnsi="仿宋_GB2312" w:eastAsia="仿宋_GB2312" w:cs="Times New Roman"/>
          <w:kern w:val="0"/>
          <w:sz w:val="32"/>
          <w:szCs w:val="32"/>
        </w:rPr>
        <w:t>遵循“客观、公正、科学、规范”的原则建立事前绩效评估指标体系，对项目进行评估打分，按评估得分确定评估结果。根据评估指标得分，确定事前评估结果，分为优、良、中、低、差五个等级，其中90分（含）以上为优，80（含）～90分为良，70（含）～80分为中，60（含）～70分为低，60分以下为差。</w:t>
      </w:r>
      <w:r>
        <w:rPr>
          <w:rFonts w:hint="eastAsia" w:ascii="仿宋_GB2312" w:hAnsi="仿宋_GB2312" w:eastAsia="仿宋_GB2312" w:cs="Times New Roman"/>
          <w:kern w:val="0"/>
          <w:sz w:val="32"/>
          <w:szCs w:val="32"/>
          <w:lang w:eastAsia="zh-CN"/>
        </w:rPr>
        <w:t>综上，部门整体支出</w:t>
      </w:r>
      <w:r>
        <w:rPr>
          <w:rFonts w:hint="eastAsia" w:ascii="仿宋_GB2312" w:hAnsi="仿宋_GB2312" w:eastAsia="仿宋_GB2312" w:cs="Times New Roman"/>
          <w:kern w:val="0"/>
          <w:sz w:val="32"/>
          <w:szCs w:val="32"/>
        </w:rPr>
        <w:t>被评为“优”</w:t>
      </w:r>
      <w:r>
        <w:rPr>
          <w:rFonts w:hint="eastAsia" w:ascii="仿宋_GB2312" w:hAnsi="仿宋_GB2312" w:eastAsia="仿宋_GB2312" w:cs="Times New Roman"/>
          <w:kern w:val="0"/>
          <w:sz w:val="32"/>
          <w:szCs w:val="32"/>
          <w:lang w:eastAsia="zh-CN"/>
        </w:rPr>
        <w:t>。</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四、部门整体支出绩效实现情况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(一)</w:t>
      </w:r>
      <w:r>
        <w:rPr>
          <w:rFonts w:hint="eastAsia" w:ascii="仿宋_GB2312" w:hAnsi="仿宋_GB2312" w:eastAsia="仿宋_GB2312" w:cs="Times New Roman"/>
          <w:kern w:val="0"/>
          <w:sz w:val="32"/>
          <w:szCs w:val="32"/>
          <w:lang w:val="en-US" w:eastAsia="zh-CN"/>
        </w:rPr>
        <w:t xml:space="preserve"> </w:t>
      </w:r>
      <w:r>
        <w:rPr>
          <w:rFonts w:hint="eastAsia" w:ascii="仿宋_GB2312" w:hAnsi="仿宋_GB2312" w:eastAsia="仿宋_GB2312" w:cs="Times New Roman"/>
          <w:kern w:val="0"/>
          <w:sz w:val="32"/>
          <w:szCs w:val="32"/>
        </w:rPr>
        <w:t>部门决策完成情况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按照财政预算编制规定和要求，结合单位年度工作计划采取人员经费按照组织部审核过的工资进行编制，公用经费按定额编制的方法按时完成人员经费、日常公用经费编制工作，切实做到数据完整和准确无误。项目资金分配严格按照实际工作需要，依据项目进度和开展情况、合理安全、资金严格按照规范程序申请、管理和使用。通过项目实施充分保障了工作需求，切实发挥工作职能，维护全</w:t>
      </w:r>
      <w:r>
        <w:rPr>
          <w:rFonts w:hint="eastAsia" w:ascii="仿宋_GB2312" w:hAnsi="仿宋_GB2312" w:eastAsia="仿宋_GB2312" w:cs="Times New Roman"/>
          <w:kern w:val="0"/>
          <w:sz w:val="32"/>
          <w:szCs w:val="32"/>
          <w:lang w:eastAsia="zh-CN"/>
        </w:rPr>
        <w:t>街道</w:t>
      </w:r>
      <w:r>
        <w:rPr>
          <w:rFonts w:hint="eastAsia" w:ascii="仿宋_GB2312" w:hAnsi="仿宋_GB2312" w:eastAsia="仿宋_GB2312" w:cs="Times New Roman"/>
          <w:kern w:val="0"/>
          <w:sz w:val="32"/>
          <w:szCs w:val="32"/>
        </w:rPr>
        <w:t>经济、社会发展。</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(二) 部门管理完成情况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认真执行《中华人民共和国会计法》、《中华人民共和国预算法》、《政府会计制度》。对项目资金的预算，提出具体的项目、目标和实施计划，精准编制项目支出绩效申报表，提供准确的项目支撑依据，切实做到项目资金编制的合理化、人性化，并在规定的时限内完整、准确的报送到财政部门。</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部门产出完成情况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从产出指标数量、质量、时效等方面归纳反映年度主要计划任务完成情况。数量指标：指标1，本部门基层组织运转“三保”人数11人；指标2，疫情防控覆盖面积辖区内；指标3，宣传覆盖范围街道辖区内；质量指标：指标1，本部门工作完成合格率90%；指标2本部门宣传知晓率85%；；时效指标：指标1，资金使用及时率100%；成本指标：指标1，按时完成上级下达工作任务；指标2，资金按时发放。</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部门效果完成情况</w:t>
      </w:r>
    </w:p>
    <w:p>
      <w:pPr>
        <w:ind w:firstLine="6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从部门效果完成情况看，经济效益指标：指标1，稳步提升经济，抓好招商引资、两违整治和常态长效工作；社会效益指标：指标1，民生保障提高群众获得感、幸福感和安全感；指标2，疫情防控全面部署疫情防控工作，可惜分析疫情形势；生态效益指标：指标1，提升乡镇人居环境综合整治；可持续影响指标：指标1，增强服务能力，抓好干部队伍建设，提升干部能力素质，有效激发乡镇干部工资动力，共创和谐社会。</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rPr>
        <w:t>五、</w:t>
      </w:r>
      <w:r>
        <w:rPr>
          <w:rFonts w:hint="eastAsia" w:ascii="仿宋_GB2312" w:hAnsi="仿宋_GB2312" w:eastAsia="仿宋_GB2312" w:cs="Times New Roman"/>
          <w:kern w:val="0"/>
          <w:sz w:val="32"/>
          <w:szCs w:val="32"/>
          <w:lang w:val="en-US" w:eastAsia="zh-CN"/>
        </w:rPr>
        <w:t>部门整体支出绩效中存在问题及改进措施</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主要问题及原因分析。</w:t>
      </w:r>
    </w:p>
    <w:p>
      <w:pPr>
        <w:ind w:firstLine="600"/>
        <w:rPr>
          <w:rFonts w:hint="eastAsia" w:ascii="仿宋_GB2312" w:hAnsi="仿宋_GB2312" w:eastAsia="仿宋_GB2312" w:cs="Times New Roman"/>
          <w:kern w:val="0"/>
          <w:sz w:val="32"/>
          <w:szCs w:val="32"/>
          <w:lang w:val="en-US" w:eastAsia="en-US"/>
        </w:rPr>
      </w:pPr>
      <w:r>
        <w:rPr>
          <w:rFonts w:hint="default" w:ascii="仿宋_GB2312" w:hAnsi="仿宋_GB2312" w:eastAsia="仿宋_GB2312" w:cs="Times New Roman"/>
          <w:kern w:val="0"/>
          <w:sz w:val="32"/>
          <w:szCs w:val="32"/>
          <w:lang w:val="en-US" w:eastAsia="en-US"/>
        </w:rPr>
        <w:t>1、监督管理机制还有待加强</w:t>
      </w:r>
    </w:p>
    <w:p>
      <w:pPr>
        <w:ind w:firstLine="600"/>
        <w:rPr>
          <w:rFonts w:hint="default" w:ascii="仿宋_GB2312" w:hAnsi="仿宋_GB2312" w:eastAsia="仿宋_GB2312" w:cs="Times New Roman"/>
          <w:kern w:val="0"/>
          <w:sz w:val="32"/>
          <w:szCs w:val="32"/>
          <w:lang w:val="en-US" w:eastAsia="zh-CN"/>
        </w:rPr>
      </w:pPr>
      <w:r>
        <w:rPr>
          <w:rFonts w:hint="default" w:ascii="仿宋_GB2312" w:hAnsi="仿宋_GB2312" w:eastAsia="仿宋_GB2312" w:cs="Times New Roman"/>
          <w:kern w:val="0"/>
          <w:sz w:val="32"/>
          <w:szCs w:val="32"/>
          <w:lang w:val="en-US" w:eastAsia="en-US"/>
        </w:rPr>
        <w:t>2、财务工作是一个单位的命脉，创新机制正在逐步加强，要求财务工作水平越来越高。</w:t>
      </w:r>
    </w:p>
    <w:p>
      <w:pPr>
        <w:ind w:firstLine="600"/>
        <w:rPr>
          <w:rFonts w:hint="default"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改进的方向和具体措施。</w:t>
      </w:r>
    </w:p>
    <w:p>
      <w:pPr>
        <w:ind w:firstLine="600"/>
        <w:rPr>
          <w:rFonts w:hint="eastAsia" w:ascii="仿宋_GB2312" w:hAnsi="仿宋_GB2312" w:eastAsia="仿宋_GB2312" w:cs="Times New Roman"/>
          <w:kern w:val="0"/>
          <w:sz w:val="32"/>
          <w:szCs w:val="32"/>
          <w:lang w:val="en-US" w:eastAsia="en-US"/>
        </w:rPr>
      </w:pPr>
      <w:r>
        <w:rPr>
          <w:rFonts w:hint="default" w:ascii="仿宋_GB2312" w:hAnsi="仿宋_GB2312" w:eastAsia="仿宋_GB2312" w:cs="Times New Roman"/>
          <w:kern w:val="0"/>
          <w:sz w:val="32"/>
          <w:szCs w:val="32"/>
          <w:lang w:val="en-US" w:eastAsia="en-US"/>
        </w:rPr>
        <w:t>1、进一步完善财务制度，规范财经纪律，严格控制非生产性开支。</w:t>
      </w:r>
    </w:p>
    <w:p>
      <w:pPr>
        <w:ind w:firstLine="600"/>
        <w:rPr>
          <w:rFonts w:hint="default" w:ascii="仿宋_GB2312" w:hAnsi="仿宋_GB2312" w:eastAsia="仿宋_GB2312" w:cs="Times New Roman"/>
          <w:kern w:val="0"/>
          <w:sz w:val="32"/>
          <w:szCs w:val="32"/>
          <w:lang w:val="en-US" w:eastAsia="zh-CN"/>
        </w:rPr>
      </w:pPr>
      <w:r>
        <w:rPr>
          <w:rFonts w:hint="default" w:ascii="仿宋_GB2312" w:hAnsi="仿宋_GB2312" w:eastAsia="仿宋_GB2312" w:cs="Times New Roman"/>
          <w:kern w:val="0"/>
          <w:sz w:val="32"/>
          <w:szCs w:val="32"/>
          <w:lang w:val="en-US" w:eastAsia="en-US"/>
        </w:rPr>
        <w:t>2、充实财务人员，加强财务人员培训，不断提高财务人员素质。</w:t>
      </w:r>
    </w:p>
    <w:p>
      <w:pPr>
        <w:ind w:firstLine="600"/>
        <w:rPr>
          <w:rFonts w:hint="eastAsia" w:ascii="仿宋_GB2312" w:hAnsi="仿宋_GB2312" w:eastAsia="仿宋_GB2312" w:cs="Times New Roman"/>
          <w:kern w:val="0"/>
          <w:sz w:val="32"/>
          <w:szCs w:val="32"/>
        </w:rPr>
      </w:pPr>
    </w:p>
    <w:p>
      <w:pPr>
        <w:ind w:firstLine="600"/>
        <w:rPr>
          <w:rFonts w:hint="eastAsia" w:ascii="仿宋_GB2312" w:hAnsi="仿宋_GB2312" w:eastAsia="仿宋_GB2312" w:cs="Times New Roman"/>
          <w:kern w:val="0"/>
          <w:sz w:val="32"/>
          <w:szCs w:val="32"/>
        </w:rPr>
      </w:pPr>
    </w:p>
    <w:p>
      <w:pPr>
        <w:ind w:firstLine="600"/>
        <w:rPr>
          <w:rFonts w:hint="eastAsia" w:ascii="仿宋_GB2312" w:hAnsi="仿宋_GB2312" w:eastAsia="仿宋_GB2312" w:cs="Times New Roman"/>
          <w:kern w:val="0"/>
          <w:sz w:val="32"/>
          <w:szCs w:val="32"/>
        </w:rPr>
      </w:pPr>
    </w:p>
    <w:p>
      <w:pPr>
        <w:ind w:firstLine="600"/>
        <w:rPr>
          <w:rFonts w:hint="eastAsia" w:ascii="仿宋_GB2312" w:hAnsi="仿宋_GB2312" w:eastAsia="仿宋_GB2312" w:cs="Times New Roman"/>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5E8B7"/>
    <w:multiLevelType w:val="singleLevel"/>
    <w:tmpl w:val="D065E8B7"/>
    <w:lvl w:ilvl="0" w:tentative="0">
      <w:start w:val="3"/>
      <w:numFmt w:val="chineseCounting"/>
      <w:suff w:val="nothing"/>
      <w:lvlText w:val="（%1）"/>
      <w:lvlJc w:val="left"/>
      <w:rPr>
        <w:rFonts w:hint="eastAsia"/>
      </w:rPr>
    </w:lvl>
  </w:abstractNum>
  <w:abstractNum w:abstractNumId="1">
    <w:nsid w:val="D837B6BE"/>
    <w:multiLevelType w:val="singleLevel"/>
    <w:tmpl w:val="D837B6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MzI0NDA5NDFjMWRhZThhMDVjZTRiZGI4ZTFmZDcifQ=="/>
  </w:docVars>
  <w:rsids>
    <w:rsidRoot w:val="00000000"/>
    <w:rsid w:val="006532E7"/>
    <w:rsid w:val="02540C8F"/>
    <w:rsid w:val="04B207D0"/>
    <w:rsid w:val="0DA5081C"/>
    <w:rsid w:val="0DA55F99"/>
    <w:rsid w:val="27936C10"/>
    <w:rsid w:val="286235B8"/>
    <w:rsid w:val="2E954277"/>
    <w:rsid w:val="312512BF"/>
    <w:rsid w:val="5A4E7E8F"/>
    <w:rsid w:val="5C55398B"/>
    <w:rsid w:val="66072B34"/>
    <w:rsid w:val="660F7564"/>
    <w:rsid w:val="6EDB4F88"/>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paragraph" w:styleId="3">
    <w:name w:val="Plain Text"/>
    <w:basedOn w:val="1"/>
    <w:qFormat/>
    <w:uiPriority w:val="0"/>
    <w:pPr>
      <w:spacing w:line="576" w:lineRule="exact"/>
    </w:pPr>
    <w:rPr>
      <w:rFonts w:ascii="宋体" w:hAnsi="Courier New" w:cs="Courier New"/>
      <w:kern w:val="0"/>
      <w:szCs w:val="21"/>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默认段落字体1"/>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批注文字1"/>
    <w:basedOn w:val="1"/>
    <w:qFormat/>
    <w:uiPriority w:val="0"/>
    <w:pPr>
      <w:jc w:val="left"/>
    </w:p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link w:val="13"/>
    <w:qFormat/>
    <w:uiPriority w:val="0"/>
    <w:rPr>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qFormat/>
    <w:uiPriority w:val="0"/>
    <w:rPr>
      <w:sz w:val="18"/>
      <w:szCs w:val="18"/>
    </w:rPr>
  </w:style>
  <w:style w:type="table" w:customStyle="1" w:styleId="1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48</Pages>
  <Words>17602</Words>
  <Characters>20428</Characters>
  <Lines>119</Lines>
  <Paragraphs>33</Paragraphs>
  <TotalTime>5</TotalTime>
  <ScaleCrop>false</ScaleCrop>
  <LinksUpToDate>false</LinksUpToDate>
  <CharactersWithSpaces>20916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2024-09-20T06:42:06Z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534C64F9E5B7492D9FDE9633EDCE19D9</vt:lpwstr>
  </property>
</Properties>
</file>