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11900A">
      <w:pPr>
        <w:keepNext w:val="0"/>
        <w:keepLines w:val="0"/>
        <w:pageBreakBefore w:val="0"/>
        <w:widowControl/>
        <w:suppressLineNumbers w:val="0"/>
        <w:kinsoku/>
        <w:wordWrap/>
        <w:overflowPunct/>
        <w:topLinePunct w:val="0"/>
        <w:autoSpaceDE/>
        <w:autoSpaceDN/>
        <w:bidi w:val="0"/>
        <w:adjustRightInd/>
        <w:snapToGrid/>
        <w:spacing w:after="0" w:afterLines="0" w:line="600" w:lineRule="exact"/>
        <w:ind w:firstLine="0" w:firstLineChars="0"/>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p w14:paraId="583A16C0">
      <w:pPr>
        <w:keepNext w:val="0"/>
        <w:keepLines w:val="0"/>
        <w:pageBreakBefore w:val="0"/>
        <w:widowControl/>
        <w:suppressLineNumbers w:val="0"/>
        <w:kinsoku/>
        <w:wordWrap/>
        <w:overflowPunct/>
        <w:topLinePunct w:val="0"/>
        <w:autoSpaceDE/>
        <w:autoSpaceDN/>
        <w:bidi w:val="0"/>
        <w:adjustRightInd/>
        <w:snapToGrid/>
        <w:spacing w:after="0" w:afterLines="0" w:line="600" w:lineRule="exact"/>
        <w:ind w:firstLine="0" w:firstLineChars="0"/>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p w14:paraId="2DB05E97">
      <w:pPr>
        <w:keepNext w:val="0"/>
        <w:keepLines w:val="0"/>
        <w:pageBreakBefore w:val="0"/>
        <w:widowControl/>
        <w:suppressLineNumbers w:val="0"/>
        <w:kinsoku/>
        <w:wordWrap/>
        <w:overflowPunct/>
        <w:topLinePunct w:val="0"/>
        <w:autoSpaceDE/>
        <w:autoSpaceDN/>
        <w:bidi w:val="0"/>
        <w:adjustRightInd/>
        <w:snapToGrid/>
        <w:spacing w:after="0" w:afterLines="0" w:line="600" w:lineRule="exact"/>
        <w:ind w:firstLine="0" w:firstLineChars="0"/>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p w14:paraId="3EAA58E4">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方正小标宋简体" w:hAnsi="方正小标宋简体" w:eastAsia="方正小标宋简体" w:cs="方正小标宋简体"/>
          <w:color w:val="FF0000"/>
          <w:w w:val="50"/>
          <w:sz w:val="126"/>
          <w:szCs w:val="126"/>
          <w:lang w:val="en-US" w:eastAsia="zh-CN"/>
        </w:rPr>
      </w:pPr>
      <w:r>
        <w:rPr>
          <w:rFonts w:hint="eastAsia" w:ascii="方正小标宋简体" w:hAnsi="方正小标宋简体" w:eastAsia="方正小标宋简体" w:cs="方正小标宋简体"/>
          <w:color w:val="FF0000"/>
          <w:spacing w:val="1"/>
          <w:w w:val="54"/>
          <w:kern w:val="0"/>
          <w:sz w:val="126"/>
          <w:szCs w:val="126"/>
          <w:fitText w:val="8949" w:id="695746776"/>
          <w:lang w:val="en-US" w:eastAsia="zh-CN"/>
        </w:rPr>
        <w:t>景德镇市昌江区人民政府文</w:t>
      </w:r>
      <w:r>
        <w:rPr>
          <w:rFonts w:hint="eastAsia" w:ascii="方正小标宋简体" w:hAnsi="方正小标宋简体" w:eastAsia="方正小标宋简体" w:cs="方正小标宋简体"/>
          <w:color w:val="FF0000"/>
          <w:spacing w:val="48"/>
          <w:w w:val="54"/>
          <w:kern w:val="0"/>
          <w:sz w:val="126"/>
          <w:szCs w:val="126"/>
          <w:fitText w:val="8949" w:id="695746776"/>
          <w:lang w:val="en-US" w:eastAsia="zh-CN"/>
        </w:rPr>
        <w:t>件</w:t>
      </w:r>
    </w:p>
    <w:p w14:paraId="22F87426">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both"/>
        <w:textAlignment w:val="auto"/>
        <w:rPr>
          <w:rFonts w:hint="eastAsia" w:ascii="方正小标宋简体" w:hAnsi="方正小标宋简体" w:eastAsia="方正小标宋简体" w:cs="方正小标宋简体"/>
          <w:color w:val="000000"/>
          <w:kern w:val="0"/>
          <w:sz w:val="44"/>
          <w:szCs w:val="44"/>
          <w:lang w:val="en-US" w:eastAsia="zh-CN" w:bidi="ar"/>
        </w:rPr>
      </w:pPr>
    </w:p>
    <w:p w14:paraId="4C5890B3">
      <w:pPr>
        <w:keepNext w:val="0"/>
        <w:keepLines w:val="0"/>
        <w:pageBreakBefore w:val="0"/>
        <w:widowControl/>
        <w:suppressLineNumbers w:val="0"/>
        <w:kinsoku/>
        <w:wordWrap/>
        <w:overflowPunct/>
        <w:topLinePunct w:val="0"/>
        <w:autoSpaceDE/>
        <w:autoSpaceDN/>
        <w:bidi w:val="0"/>
        <w:adjustRightInd/>
        <w:snapToGrid/>
        <w:spacing w:line="600" w:lineRule="exact"/>
        <w:ind w:firstLine="0" w:firstLineChars="0"/>
        <w:jc w:val="center"/>
        <w:textAlignment w:val="auto"/>
        <w:rPr>
          <w:rFonts w:hint="default" w:ascii="方正小标宋简体" w:hAnsi="方正小标宋简体" w:eastAsia="方正小标宋简体" w:cs="方正小标宋简体"/>
          <w:color w:val="000000"/>
          <w:kern w:val="0"/>
          <w:sz w:val="44"/>
          <w:szCs w:val="44"/>
          <w:lang w:val="en-US" w:eastAsia="zh-CN" w:bidi="ar"/>
        </w:rPr>
      </w:pPr>
      <w:r>
        <w:rPr>
          <w:sz w:val="32"/>
        </w:rPr>
        <mc:AlternateContent>
          <mc:Choice Requires="wps">
            <w:drawing>
              <wp:anchor distT="0" distB="0" distL="114300" distR="114300" simplePos="0" relativeHeight="251661312" behindDoc="0" locked="0" layoutInCell="1" allowOverlap="1">
                <wp:simplePos x="0" y="0"/>
                <wp:positionH relativeFrom="column">
                  <wp:posOffset>-201930</wp:posOffset>
                </wp:positionH>
                <wp:positionV relativeFrom="paragraph">
                  <wp:posOffset>339090</wp:posOffset>
                </wp:positionV>
                <wp:extent cx="6000750" cy="0"/>
                <wp:effectExtent l="0" t="19050" r="0" b="19050"/>
                <wp:wrapNone/>
                <wp:docPr id="4" name="直接连接符 4"/>
                <wp:cNvGraphicFramePr/>
                <a:graphic xmlns:a="http://schemas.openxmlformats.org/drawingml/2006/main">
                  <a:graphicData uri="http://schemas.microsoft.com/office/word/2010/wordprocessingShape">
                    <wps:wsp>
                      <wps:cNvCnPr/>
                      <wps:spPr>
                        <a:xfrm>
                          <a:off x="0" y="0"/>
                          <a:ext cx="6000750" cy="0"/>
                        </a:xfrm>
                        <a:prstGeom prst="line">
                          <a:avLst/>
                        </a:prstGeom>
                        <a:ln w="38100">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5.9pt;margin-top:26.7pt;height:0pt;width:472.5pt;z-index:251661312;mso-width-relative:page;mso-height-relative:page;" filled="f" stroked="t" coordsize="21600,21600" o:gfxdata="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C7nWdsAAAAJAQAADwAA&#10;AAAAAAABACAAAAAiAAAAZHJzL2Rvd25yZXYueG1sUEsBAhQAFAAAAAgAh07iQBNAKEDaAQAAmwMA&#10;AA4AAAAAAAAAAQAgAAAAKgEAAGRycy9lMm9Eb2MueG1sUEsFBgAAAAAGAAYAWQEAAHYFAAAAAA==&#10;">
                <v:fill on="f" focussize="0,0"/>
                <v:stroke weight="3pt" color="#FF0000 [3204]" joinstyle="round"/>
                <v:imagedata o:title=""/>
                <o:lock v:ext="edit" aspectratio="f"/>
              </v:line>
            </w:pict>
          </mc:Fallback>
        </mc:AlternateContent>
      </w:r>
      <w:r>
        <w:rPr>
          <w:rFonts w:hint="eastAsia" w:ascii="仿宋_GB2312" w:hAnsi="仿宋_GB2312" w:eastAsia="仿宋_GB2312" w:cs="仿宋_GB2312"/>
          <w:color w:val="000000"/>
          <w:kern w:val="0"/>
          <w:sz w:val="32"/>
          <w:szCs w:val="32"/>
          <w:lang w:val="en-US" w:eastAsia="zh-CN" w:bidi="ar"/>
        </w:rPr>
        <w:t>昌府发〔2026〕6号</w:t>
      </w:r>
    </w:p>
    <w:p w14:paraId="30ED67B8">
      <w:pPr>
        <w:keepNext w:val="0"/>
        <w:keepLines w:val="0"/>
        <w:pageBreakBefore w:val="0"/>
        <w:widowControl/>
        <w:suppressLineNumbers w:val="0"/>
        <w:kinsoku/>
        <w:wordWrap/>
        <w:overflowPunct/>
        <w:topLinePunct w:val="0"/>
        <w:autoSpaceDE/>
        <w:autoSpaceDN/>
        <w:bidi w:val="0"/>
        <w:adjustRightInd/>
        <w:snapToGrid/>
        <w:spacing w:after="0" w:afterLines="0" w:line="560" w:lineRule="exact"/>
        <w:ind w:firstLine="0" w:firstLineChars="0"/>
        <w:jc w:val="both"/>
        <w:textAlignment w:val="auto"/>
        <w:rPr>
          <w:rFonts w:hint="eastAsia" w:ascii="方正小标宋简体" w:hAnsi="方正小标宋简体" w:eastAsia="方正小标宋简体" w:cs="方正小标宋简体"/>
          <w:color w:val="000000"/>
          <w:kern w:val="0"/>
          <w:sz w:val="44"/>
          <w:szCs w:val="44"/>
          <w:lang w:val="en-US" w:eastAsia="zh-CN" w:bidi="ar"/>
        </w:rPr>
      </w:pPr>
    </w:p>
    <w:p w14:paraId="7EDC80ED">
      <w:pPr>
        <w:keepNext w:val="0"/>
        <w:keepLines w:val="0"/>
        <w:pageBreakBefore w:val="0"/>
        <w:widowControl/>
        <w:suppressLineNumbers w:val="0"/>
        <w:kinsoku/>
        <w:wordWrap/>
        <w:overflowPunct/>
        <w:topLinePunct w:val="0"/>
        <w:autoSpaceDE/>
        <w:autoSpaceDN/>
        <w:bidi w:val="0"/>
        <w:adjustRightInd/>
        <w:snapToGrid/>
        <w:spacing w:after="0" w:afterLines="0" w:line="560" w:lineRule="exact"/>
        <w:ind w:firstLine="0" w:firstLineChars="0"/>
        <w:jc w:val="center"/>
        <w:textAlignment w:val="auto"/>
        <w:rPr>
          <w:sz w:val="44"/>
          <w:szCs w:val="44"/>
        </w:rPr>
      </w:pPr>
      <w:r>
        <w:rPr>
          <w:rFonts w:hint="eastAsia" w:ascii="方正小标宋简体" w:hAnsi="方正小标宋简体" w:eastAsia="方正小标宋简体" w:cs="方正小标宋简体"/>
          <w:color w:val="000000"/>
          <w:kern w:val="0"/>
          <w:sz w:val="44"/>
          <w:szCs w:val="44"/>
          <w:lang w:val="en-US" w:eastAsia="zh-CN" w:bidi="ar"/>
        </w:rPr>
        <w:t>昌江区</w:t>
      </w:r>
      <w:r>
        <w:rPr>
          <w:rFonts w:ascii="方正小标宋简体" w:hAnsi="方正小标宋简体" w:eastAsia="方正小标宋简体" w:cs="方正小标宋简体"/>
          <w:color w:val="000000"/>
          <w:kern w:val="0"/>
          <w:sz w:val="44"/>
          <w:szCs w:val="44"/>
          <w:lang w:val="en-US" w:eastAsia="zh-CN" w:bidi="ar"/>
        </w:rPr>
        <w:t>人民政府</w:t>
      </w:r>
    </w:p>
    <w:p w14:paraId="3F723D11">
      <w:pPr>
        <w:keepNext w:val="0"/>
        <w:keepLines w:val="0"/>
        <w:pageBreakBefore w:val="0"/>
        <w:widowControl/>
        <w:suppressLineNumbers w:val="0"/>
        <w:kinsoku/>
        <w:wordWrap/>
        <w:overflowPunct/>
        <w:topLinePunct w:val="0"/>
        <w:autoSpaceDE/>
        <w:autoSpaceDN/>
        <w:bidi w:val="0"/>
        <w:adjustRightInd/>
        <w:snapToGrid/>
        <w:spacing w:after="0" w:afterLines="0" w:line="560" w:lineRule="exact"/>
        <w:ind w:firstLine="0" w:firstLineChars="0"/>
        <w:jc w:val="center"/>
        <w:textAlignment w:val="auto"/>
        <w:rPr>
          <w:sz w:val="44"/>
          <w:szCs w:val="44"/>
        </w:rPr>
      </w:pPr>
      <w:r>
        <w:rPr>
          <w:rFonts w:hint="eastAsia" w:ascii="方正小标宋简体" w:hAnsi="方正小标宋简体" w:eastAsia="方正小标宋简体" w:cs="方正小标宋简体"/>
          <w:color w:val="000000"/>
          <w:kern w:val="0"/>
          <w:sz w:val="44"/>
          <w:szCs w:val="44"/>
          <w:lang w:val="en-US" w:eastAsia="zh-CN" w:bidi="ar"/>
        </w:rPr>
        <w:t>关于印发《昌江区国民经济和社会发展</w:t>
      </w:r>
    </w:p>
    <w:p w14:paraId="46FCA3ED">
      <w:pPr>
        <w:keepNext w:val="0"/>
        <w:keepLines w:val="0"/>
        <w:pageBreakBefore w:val="0"/>
        <w:widowControl/>
        <w:suppressLineNumbers w:val="0"/>
        <w:kinsoku/>
        <w:wordWrap/>
        <w:overflowPunct/>
        <w:topLinePunct w:val="0"/>
        <w:autoSpaceDE/>
        <w:autoSpaceDN/>
        <w:bidi w:val="0"/>
        <w:adjustRightInd/>
        <w:snapToGrid/>
        <w:spacing w:after="0" w:afterLines="0" w:line="560" w:lineRule="exact"/>
        <w:ind w:firstLine="0" w:firstLineChars="0"/>
        <w:jc w:val="center"/>
        <w:textAlignment w:val="auto"/>
        <w:rPr>
          <w:sz w:val="44"/>
          <w:szCs w:val="44"/>
        </w:rPr>
      </w:pPr>
      <w:r>
        <w:rPr>
          <w:rFonts w:hint="eastAsia" w:ascii="方正小标宋简体" w:hAnsi="方正小标宋简体" w:eastAsia="方正小标宋简体" w:cs="方正小标宋简体"/>
          <w:color w:val="000000"/>
          <w:kern w:val="0"/>
          <w:sz w:val="44"/>
          <w:szCs w:val="44"/>
          <w:lang w:val="en-US" w:eastAsia="zh-CN" w:bidi="ar"/>
        </w:rPr>
        <w:t>第十五个五年规划纲要》的通知</w:t>
      </w:r>
    </w:p>
    <w:p w14:paraId="337621DF">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Lines="0" w:afterAutospacing="0" w:line="560" w:lineRule="exact"/>
        <w:ind w:left="0" w:right="0" w:firstLine="640" w:firstLineChars="200"/>
        <w:textAlignment w:val="auto"/>
        <w:rPr>
          <w:rFonts w:hint="eastAsia" w:ascii="仿宋_GB2312" w:hAnsi="仿宋_GB2312" w:eastAsia="仿宋_GB2312" w:cs="仿宋_GB2312"/>
          <w:caps w:val="0"/>
          <w:color w:val="333333"/>
          <w:spacing w:val="0"/>
          <w:sz w:val="32"/>
          <w:szCs w:val="32"/>
          <w:shd w:val="clear" w:fill="FFFFFF"/>
        </w:rPr>
      </w:pPr>
    </w:p>
    <w:p w14:paraId="0650E4EA">
      <w:pPr>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各乡（镇）人民政府、街道办事处，区政府各部门，区直有关单位：</w:t>
      </w:r>
    </w:p>
    <w:p w14:paraId="3F887EF0">
      <w:pPr>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《昌江区国民经济和社会发展第十五个五年规划纲要》已经区第十一届人民代表大会第六次会议审查通过，现印发给你们，请结合实际，认真抓好贯彻执行。</w:t>
      </w:r>
    </w:p>
    <w:p w14:paraId="5EED9BDF">
      <w:pPr>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textAlignment w:val="auto"/>
        <w:rPr>
          <w:rFonts w:hint="eastAsia" w:ascii="仿宋_GB2312" w:hAnsi="仿宋_GB2312" w:eastAsia="仿宋_GB2312" w:cs="仿宋_GB2312"/>
          <w:sz w:val="32"/>
          <w:szCs w:val="32"/>
          <w:lang w:val="en-US" w:eastAsia="zh-CN"/>
        </w:rPr>
      </w:pPr>
    </w:p>
    <w:p w14:paraId="46AE8951">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Lines="0" w:afterAutospacing="0" w:line="560" w:lineRule="exact"/>
        <w:ind w:left="0" w:right="0" w:firstLine="640" w:firstLineChars="200"/>
        <w:jc w:val="center"/>
        <w:textAlignment w:val="auto"/>
        <w:rPr>
          <w:rFonts w:hint="eastAsia" w:ascii="仿宋_GB2312" w:hAnsi="仿宋_GB2312" w:eastAsia="仿宋_GB2312" w:cs="仿宋_GB2312"/>
          <w:caps w:val="0"/>
          <w:color w:val="333333"/>
          <w:spacing w:val="0"/>
          <w:sz w:val="32"/>
          <w:szCs w:val="32"/>
          <w:shd w:val="clear" w:fill="FFFFFF"/>
          <w:lang w:eastAsia="zh-CN"/>
        </w:rPr>
      </w:pPr>
      <w:r>
        <w:rPr>
          <w:rFonts w:hint="eastAsia" w:ascii="仿宋_GB2312" w:hAnsi="仿宋_GB2312" w:eastAsia="仿宋_GB2312" w:cs="仿宋_GB2312"/>
          <w:caps w:val="0"/>
          <w:color w:val="333333"/>
          <w:spacing w:val="0"/>
          <w:sz w:val="32"/>
          <w:szCs w:val="32"/>
          <w:shd w:val="clear" w:fill="FFFFFF"/>
          <w:lang w:val="en-US" w:eastAsia="zh-CN"/>
        </w:rPr>
        <w:t xml:space="preserve">                            </w:t>
      </w:r>
      <w:r>
        <w:rPr>
          <w:rFonts w:hint="eastAsia" w:ascii="仿宋_GB2312" w:hAnsi="仿宋_GB2312" w:eastAsia="仿宋_GB2312" w:cs="仿宋_GB2312"/>
          <w:caps w:val="0"/>
          <w:color w:val="333333"/>
          <w:spacing w:val="0"/>
          <w:sz w:val="32"/>
          <w:szCs w:val="32"/>
          <w:shd w:val="clear" w:fill="FFFFFF"/>
          <w:lang w:eastAsia="zh-CN"/>
        </w:rPr>
        <w:t>昌江区人民政府</w:t>
      </w:r>
    </w:p>
    <w:p w14:paraId="1627FDD7">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Lines="0" w:afterAutospacing="0" w:line="560" w:lineRule="exact"/>
        <w:ind w:right="0" w:firstLine="5760" w:firstLineChars="1800"/>
        <w:jc w:val="both"/>
        <w:textAlignment w:val="auto"/>
        <w:rPr>
          <w:rFonts w:ascii="Times New Roman" w:hAnsi="Times New Roman" w:eastAsia="黑体"/>
          <w:bCs/>
          <w:kern w:val="0"/>
          <w:sz w:val="32"/>
          <w:szCs w:val="32"/>
          <w:highlight w:val="none"/>
        </w:rPr>
      </w:pPr>
      <w:r>
        <w:rPr>
          <w:rFonts w:hint="eastAsia" w:ascii="仿宋_GB2312" w:hAnsi="仿宋_GB2312" w:eastAsia="仿宋_GB2312" w:cs="仿宋_GB2312"/>
          <w:caps w:val="0"/>
          <w:color w:val="333333"/>
          <w:spacing w:val="0"/>
          <w:sz w:val="32"/>
          <w:szCs w:val="32"/>
          <w:shd w:val="clear" w:fill="FFFFFF"/>
        </w:rPr>
        <w:t>2026年</w:t>
      </w:r>
      <w:r>
        <w:rPr>
          <w:rFonts w:hint="eastAsia" w:ascii="仿宋_GB2312" w:hAnsi="仿宋_GB2312" w:cs="仿宋_GB2312"/>
          <w:caps w:val="0"/>
          <w:color w:val="333333"/>
          <w:spacing w:val="0"/>
          <w:sz w:val="32"/>
          <w:szCs w:val="32"/>
          <w:shd w:val="clear" w:fill="FFFFFF"/>
          <w:lang w:val="en-US" w:eastAsia="zh-CN"/>
        </w:rPr>
        <w:t>6</w:t>
      </w:r>
      <w:r>
        <w:rPr>
          <w:rFonts w:hint="eastAsia" w:ascii="仿宋_GB2312" w:hAnsi="仿宋_GB2312" w:eastAsia="仿宋_GB2312" w:cs="仿宋_GB2312"/>
          <w:caps w:val="0"/>
          <w:color w:val="333333"/>
          <w:spacing w:val="0"/>
          <w:sz w:val="32"/>
          <w:szCs w:val="32"/>
          <w:shd w:val="clear" w:fill="FFFFFF"/>
        </w:rPr>
        <w:t>月</w:t>
      </w:r>
      <w:r>
        <w:rPr>
          <w:rFonts w:hint="eastAsia" w:ascii="仿宋_GB2312" w:hAnsi="仿宋_GB2312" w:cs="仿宋_GB2312"/>
          <w:caps w:val="0"/>
          <w:color w:val="333333"/>
          <w:spacing w:val="0"/>
          <w:sz w:val="32"/>
          <w:szCs w:val="32"/>
          <w:shd w:val="clear" w:fill="FFFFFF"/>
          <w:lang w:val="en-US" w:eastAsia="zh-CN"/>
        </w:rPr>
        <w:t>16</w:t>
      </w:r>
      <w:r>
        <w:rPr>
          <w:rFonts w:hint="eastAsia" w:ascii="仿宋_GB2312" w:hAnsi="仿宋_GB2312" w:eastAsia="仿宋_GB2312" w:cs="仿宋_GB2312"/>
          <w:caps w:val="0"/>
          <w:color w:val="333333"/>
          <w:spacing w:val="0"/>
          <w:sz w:val="32"/>
          <w:szCs w:val="32"/>
          <w:shd w:val="clear" w:fill="FFFFFF"/>
        </w:rPr>
        <w:t>日</w:t>
      </w:r>
    </w:p>
    <w:p w14:paraId="2DA73D77">
      <w:pPr>
        <w:widowControl/>
        <w:spacing w:after="62"/>
        <w:jc w:val="left"/>
        <w:rPr>
          <w:rFonts w:ascii="Times New Roman" w:hAnsi="Times New Roman"/>
          <w:b/>
          <w:highlight w:val="none"/>
        </w:rPr>
      </w:pPr>
      <w:r>
        <w:rPr>
          <w:rFonts w:ascii="Times New Roman" w:hAnsi="Times New Roman"/>
          <w:sz w:val="24"/>
          <w:highlight w:val="none"/>
        </w:rPr>
        <w:br w:type="page"/>
      </w:r>
    </w:p>
    <w:p w14:paraId="724CB07E">
      <w:pPr>
        <w:keepNext w:val="0"/>
        <w:keepLines w:val="0"/>
        <w:pageBreakBefore w:val="0"/>
        <w:widowControl w:val="0"/>
        <w:kinsoku/>
        <w:wordWrap/>
        <w:overflowPunct/>
        <w:topLinePunct w:val="0"/>
        <w:autoSpaceDE/>
        <w:autoSpaceDN/>
        <w:bidi w:val="0"/>
        <w:adjustRightInd w:val="0"/>
        <w:snapToGrid w:val="0"/>
        <w:spacing w:after="0" w:afterLines="0" w:line="600" w:lineRule="exact"/>
        <w:jc w:val="center"/>
        <w:textAlignment w:val="auto"/>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昌江区国民经济和社会发展</w:t>
      </w:r>
      <w:r>
        <w:rPr>
          <w:rFonts w:hint="eastAsia" w:ascii="方正小标宋简体" w:hAnsi="方正小标宋简体" w:eastAsia="方正小标宋简体" w:cs="方正小标宋简体"/>
          <w:sz w:val="44"/>
          <w:szCs w:val="44"/>
          <w:highlight w:val="none"/>
        </w:rPr>
        <w:br w:type="textWrapping"/>
      </w:r>
      <w:r>
        <w:rPr>
          <w:rFonts w:hint="eastAsia" w:ascii="方正小标宋简体" w:hAnsi="方正小标宋简体" w:eastAsia="方正小标宋简体" w:cs="方正小标宋简体"/>
          <w:sz w:val="44"/>
          <w:szCs w:val="44"/>
          <w:highlight w:val="none"/>
        </w:rPr>
        <w:t>第十五个五年规划纲要</w:t>
      </w:r>
    </w:p>
    <w:p w14:paraId="7B24F2B8">
      <w:pPr>
        <w:keepNext w:val="0"/>
        <w:keepLines w:val="0"/>
        <w:pageBreakBefore w:val="0"/>
        <w:widowControl w:val="0"/>
        <w:tabs>
          <w:tab w:val="right" w:leader="middleDot" w:pos="8843"/>
        </w:tabs>
        <w:kinsoku/>
        <w:wordWrap/>
        <w:overflowPunct/>
        <w:topLinePunct w:val="0"/>
        <w:autoSpaceDE/>
        <w:autoSpaceDN/>
        <w:bidi w:val="0"/>
        <w:adjustRightInd w:val="0"/>
        <w:snapToGrid w:val="0"/>
        <w:spacing w:after="0" w:afterLines="0" w:line="600" w:lineRule="exact"/>
        <w:ind w:firstLine="880" w:firstLineChars="200"/>
        <w:jc w:val="center"/>
        <w:textAlignment w:val="auto"/>
        <w:rPr>
          <w:rFonts w:hint="eastAsia" w:ascii="Times New Roman" w:hAnsi="Times New Roman" w:eastAsia="黑体"/>
          <w:bCs/>
          <w:sz w:val="44"/>
          <w:szCs w:val="44"/>
          <w:highlight w:val="none"/>
        </w:rPr>
      </w:pPr>
    </w:p>
    <w:p w14:paraId="483883E6">
      <w:pPr>
        <w:keepNext w:val="0"/>
        <w:keepLines w:val="0"/>
        <w:pageBreakBefore w:val="0"/>
        <w:widowControl w:val="0"/>
        <w:tabs>
          <w:tab w:val="right" w:leader="middleDot" w:pos="8843"/>
        </w:tabs>
        <w:kinsoku/>
        <w:wordWrap/>
        <w:overflowPunct/>
        <w:topLinePunct w:val="0"/>
        <w:autoSpaceDE/>
        <w:autoSpaceDN/>
        <w:bidi w:val="0"/>
        <w:adjustRightInd w:val="0"/>
        <w:snapToGrid w:val="0"/>
        <w:spacing w:after="0" w:afterLines="0" w:line="600" w:lineRule="exact"/>
        <w:ind w:firstLine="0" w:firstLineChars="0"/>
        <w:jc w:val="center"/>
        <w:textAlignment w:val="auto"/>
        <w:rPr>
          <w:rFonts w:hint="eastAsia" w:ascii="仿宋_GB2312" w:hAnsi="仿宋_GB2312" w:eastAsia="仿宋_GB2312" w:cs="仿宋_GB2312"/>
          <w:b w:val="0"/>
          <w:bCs w:val="0"/>
          <w:kern w:val="44"/>
          <w:sz w:val="32"/>
          <w:szCs w:val="32"/>
          <w:highlight w:val="none"/>
        </w:rPr>
      </w:pPr>
      <w:r>
        <w:rPr>
          <w:rFonts w:hint="eastAsia" w:ascii="Times New Roman" w:hAnsi="Times New Roman" w:eastAsia="黑体"/>
          <w:bCs/>
          <w:sz w:val="36"/>
          <w:szCs w:val="36"/>
          <w:highlight w:val="none"/>
        </w:rPr>
        <w:t>目  录</w:t>
      </w:r>
    </w:p>
    <w:p w14:paraId="7B9A54A9">
      <w:pPr>
        <w:pStyle w:val="30"/>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TOC \o "1-3" \n  \h \u </w:instrText>
      </w:r>
      <w:r>
        <w:rPr>
          <w:rFonts w:hint="eastAsia" w:ascii="仿宋_GB2312" w:hAnsi="仿宋_GB2312" w:eastAsia="仿宋_GB2312" w:cs="仿宋_GB2312"/>
          <w:b w:val="0"/>
          <w:bCs w:val="0"/>
          <w:kern w:val="44"/>
          <w:sz w:val="32"/>
          <w:szCs w:val="32"/>
          <w:highlight w:val="none"/>
        </w:rPr>
        <w:fldChar w:fldCharType="separate"/>
      </w: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_Toc27179 </w:instrText>
      </w:r>
      <w:r>
        <w:rPr>
          <w:rFonts w:hint="eastAsia" w:ascii="仿宋_GB2312" w:hAnsi="仿宋_GB2312" w:eastAsia="仿宋_GB2312" w:cs="仿宋_GB2312"/>
          <w:b w:val="0"/>
          <w:bCs w:val="0"/>
          <w:kern w:val="44"/>
          <w:sz w:val="32"/>
          <w:szCs w:val="32"/>
          <w:highlight w:val="none"/>
        </w:rPr>
        <w:fldChar w:fldCharType="separate"/>
      </w:r>
      <w:r>
        <w:rPr>
          <w:rFonts w:hint="eastAsia" w:ascii="方正小标宋简体" w:eastAsia="方正小标宋简体"/>
          <w:b w:val="0"/>
          <w:bCs w:val="0"/>
          <w:sz w:val="32"/>
          <w:szCs w:val="32"/>
          <w:highlight w:val="none"/>
        </w:rPr>
        <w:t>第一篇  奋力谱写中国式现代化昌江实践新篇章</w:t>
      </w:r>
      <w:r>
        <w:rPr>
          <w:rFonts w:hint="eastAsia" w:ascii="仿宋_GB2312" w:hAnsi="仿宋_GB2312" w:eastAsia="仿宋_GB2312" w:cs="仿宋_GB2312"/>
          <w:b w:val="0"/>
          <w:bCs w:val="0"/>
          <w:kern w:val="44"/>
          <w:sz w:val="32"/>
          <w:szCs w:val="32"/>
          <w:highlight w:val="none"/>
        </w:rPr>
        <w:fldChar w:fldCharType="end"/>
      </w:r>
    </w:p>
    <w:p w14:paraId="0948FDF5">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_Toc26709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第一章  发展基础</w:t>
      </w:r>
      <w:r>
        <w:rPr>
          <w:rFonts w:hint="eastAsia" w:ascii="仿宋_GB2312" w:hAnsi="仿宋_GB2312" w:eastAsia="仿宋_GB2312" w:cs="仿宋_GB2312"/>
          <w:b w:val="0"/>
          <w:bCs w:val="0"/>
          <w:kern w:val="44"/>
          <w:sz w:val="32"/>
          <w:szCs w:val="32"/>
          <w:highlight w:val="none"/>
        </w:rPr>
        <w:fldChar w:fldCharType="end"/>
      </w:r>
    </w:p>
    <w:p w14:paraId="41E5DFF8">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_Toc4666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第二章  发展环境</w:t>
      </w:r>
      <w:r>
        <w:rPr>
          <w:rFonts w:hint="eastAsia" w:ascii="仿宋_GB2312" w:hAnsi="仿宋_GB2312" w:eastAsia="仿宋_GB2312" w:cs="仿宋_GB2312"/>
          <w:b w:val="0"/>
          <w:bCs w:val="0"/>
          <w:kern w:val="44"/>
          <w:sz w:val="32"/>
          <w:szCs w:val="32"/>
          <w:highlight w:val="none"/>
        </w:rPr>
        <w:fldChar w:fldCharType="end"/>
      </w:r>
    </w:p>
    <w:p w14:paraId="59CD0A3F">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_Toc20178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第三章  指导思想</w:t>
      </w:r>
      <w:r>
        <w:rPr>
          <w:rFonts w:hint="eastAsia" w:ascii="仿宋_GB2312" w:hAnsi="仿宋_GB2312" w:eastAsia="仿宋_GB2312" w:cs="仿宋_GB2312"/>
          <w:b w:val="0"/>
          <w:bCs w:val="0"/>
          <w:kern w:val="44"/>
          <w:sz w:val="32"/>
          <w:szCs w:val="32"/>
          <w:highlight w:val="none"/>
        </w:rPr>
        <w:fldChar w:fldCharType="end"/>
      </w:r>
    </w:p>
    <w:p w14:paraId="408EAEB5">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_Toc13284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第四章  发展目标</w:t>
      </w:r>
      <w:r>
        <w:rPr>
          <w:rFonts w:hint="eastAsia" w:ascii="仿宋_GB2312" w:hAnsi="仿宋_GB2312" w:eastAsia="仿宋_GB2312" w:cs="仿宋_GB2312"/>
          <w:b w:val="0"/>
          <w:bCs w:val="0"/>
          <w:kern w:val="44"/>
          <w:sz w:val="32"/>
          <w:szCs w:val="32"/>
          <w:highlight w:val="none"/>
        </w:rPr>
        <w:fldChar w:fldCharType="end"/>
      </w:r>
    </w:p>
    <w:p w14:paraId="188E7DEC">
      <w:pPr>
        <w:pStyle w:val="30"/>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_Toc5898 </w:instrText>
      </w:r>
      <w:r>
        <w:rPr>
          <w:rFonts w:hint="eastAsia" w:ascii="仿宋_GB2312" w:hAnsi="仿宋_GB2312" w:eastAsia="仿宋_GB2312" w:cs="仿宋_GB2312"/>
          <w:b w:val="0"/>
          <w:bCs w:val="0"/>
          <w:kern w:val="44"/>
          <w:sz w:val="32"/>
          <w:szCs w:val="32"/>
          <w:highlight w:val="none"/>
        </w:rPr>
        <w:fldChar w:fldCharType="separate"/>
      </w:r>
      <w:r>
        <w:rPr>
          <w:rFonts w:hint="eastAsia" w:ascii="方正小标宋简体" w:eastAsia="方正小标宋简体"/>
          <w:b w:val="0"/>
          <w:bCs w:val="0"/>
          <w:sz w:val="32"/>
          <w:szCs w:val="32"/>
          <w:highlight w:val="none"/>
        </w:rPr>
        <w:t>第二篇  弘扬文化底蕴，融入试验区建设新实践</w:t>
      </w:r>
      <w:r>
        <w:rPr>
          <w:rFonts w:hint="eastAsia" w:ascii="仿宋_GB2312" w:hAnsi="仿宋_GB2312" w:eastAsia="仿宋_GB2312" w:cs="仿宋_GB2312"/>
          <w:b w:val="0"/>
          <w:bCs w:val="0"/>
          <w:kern w:val="44"/>
          <w:sz w:val="32"/>
          <w:szCs w:val="32"/>
          <w:highlight w:val="none"/>
        </w:rPr>
        <w:fldChar w:fldCharType="end"/>
      </w:r>
    </w:p>
    <w:p w14:paraId="0ABC6055">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_Toc19892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第一章  统筹推进陶瓷文化传承与创新</w:t>
      </w:r>
      <w:r>
        <w:rPr>
          <w:rFonts w:hint="eastAsia" w:ascii="仿宋_GB2312" w:hAnsi="仿宋_GB2312" w:eastAsia="仿宋_GB2312" w:cs="仿宋_GB2312"/>
          <w:b w:val="0"/>
          <w:bCs w:val="0"/>
          <w:kern w:val="44"/>
          <w:sz w:val="32"/>
          <w:szCs w:val="32"/>
          <w:highlight w:val="none"/>
        </w:rPr>
        <w:fldChar w:fldCharType="end"/>
      </w:r>
    </w:p>
    <w:p w14:paraId="2616567D">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_Toc981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加强文化传承</w:t>
      </w:r>
      <w:r>
        <w:rPr>
          <w:rFonts w:hint="eastAsia" w:ascii="仿宋_GB2312" w:hAnsi="仿宋_GB2312" w:eastAsia="仿宋_GB2312" w:cs="仿宋_GB2312"/>
          <w:b w:val="0"/>
          <w:bCs w:val="0"/>
          <w:kern w:val="44"/>
          <w:sz w:val="32"/>
          <w:szCs w:val="32"/>
          <w:highlight w:val="none"/>
        </w:rPr>
        <w:fldChar w:fldCharType="end"/>
      </w:r>
    </w:p>
    <w:p w14:paraId="24180E05">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_Toc9164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强化科技赋能文化遗产保护利用</w:t>
      </w:r>
      <w:r>
        <w:rPr>
          <w:rFonts w:hint="eastAsia" w:ascii="仿宋_GB2312" w:hAnsi="仿宋_GB2312" w:eastAsia="仿宋_GB2312" w:cs="仿宋_GB2312"/>
          <w:b w:val="0"/>
          <w:bCs w:val="0"/>
          <w:kern w:val="44"/>
          <w:sz w:val="32"/>
          <w:szCs w:val="32"/>
          <w:highlight w:val="none"/>
        </w:rPr>
        <w:fldChar w:fldCharType="end"/>
      </w:r>
    </w:p>
    <w:p w14:paraId="2FDED907">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_Toc19141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第二章  推动陶瓷产业高端化</w:t>
      </w:r>
      <w:r>
        <w:rPr>
          <w:rFonts w:hint="eastAsia" w:ascii="仿宋_GB2312" w:hAnsi="仿宋_GB2312" w:eastAsia="仿宋_GB2312" w:cs="仿宋_GB2312"/>
          <w:b w:val="0"/>
          <w:bCs w:val="0"/>
          <w:kern w:val="44"/>
          <w:sz w:val="32"/>
          <w:szCs w:val="32"/>
          <w:highlight w:val="none"/>
        </w:rPr>
        <w:fldChar w:fldCharType="end"/>
      </w:r>
    </w:p>
    <w:p w14:paraId="598D8857">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_Toc5996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推动先进陶瓷产业差异化发展</w:t>
      </w:r>
      <w:r>
        <w:rPr>
          <w:rFonts w:hint="eastAsia" w:ascii="仿宋_GB2312" w:hAnsi="仿宋_GB2312" w:eastAsia="仿宋_GB2312" w:cs="仿宋_GB2312"/>
          <w:b w:val="0"/>
          <w:bCs w:val="0"/>
          <w:kern w:val="44"/>
          <w:sz w:val="32"/>
          <w:szCs w:val="32"/>
          <w:highlight w:val="none"/>
        </w:rPr>
        <w:fldChar w:fldCharType="end"/>
      </w:r>
    </w:p>
    <w:p w14:paraId="2032954F">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_Toc10805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推动陶瓷产业强链补链</w:t>
      </w:r>
      <w:r>
        <w:rPr>
          <w:rFonts w:hint="eastAsia" w:ascii="仿宋_GB2312" w:hAnsi="仿宋_GB2312" w:eastAsia="仿宋_GB2312" w:cs="仿宋_GB2312"/>
          <w:b w:val="0"/>
          <w:bCs w:val="0"/>
          <w:kern w:val="44"/>
          <w:sz w:val="32"/>
          <w:szCs w:val="32"/>
          <w:highlight w:val="none"/>
        </w:rPr>
        <w:fldChar w:fldCharType="end"/>
      </w:r>
    </w:p>
    <w:p w14:paraId="05E08BD4">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_Toc3918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推动数字经济、创意设计与陶瓷产业深度融合</w:t>
      </w:r>
      <w:r>
        <w:rPr>
          <w:rFonts w:hint="eastAsia" w:ascii="仿宋_GB2312" w:hAnsi="仿宋_GB2312" w:eastAsia="仿宋_GB2312" w:cs="仿宋_GB2312"/>
          <w:b w:val="0"/>
          <w:bCs w:val="0"/>
          <w:kern w:val="44"/>
          <w:sz w:val="32"/>
          <w:szCs w:val="32"/>
          <w:highlight w:val="none"/>
        </w:rPr>
        <w:fldChar w:fldCharType="end"/>
      </w:r>
    </w:p>
    <w:p w14:paraId="2E8614B2">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_Toc12435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第四节  拓展“陶瓷+”经济生态</w:t>
      </w:r>
      <w:r>
        <w:rPr>
          <w:rFonts w:hint="eastAsia" w:ascii="仿宋_GB2312" w:hAnsi="仿宋_GB2312" w:eastAsia="仿宋_GB2312" w:cs="仿宋_GB2312"/>
          <w:b w:val="0"/>
          <w:bCs w:val="0"/>
          <w:kern w:val="44"/>
          <w:sz w:val="32"/>
          <w:szCs w:val="32"/>
          <w:highlight w:val="none"/>
        </w:rPr>
        <w:fldChar w:fldCharType="end"/>
      </w:r>
    </w:p>
    <w:p w14:paraId="67BF967D">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_Toc8262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第三章  构建文旅融合格局</w:t>
      </w:r>
      <w:r>
        <w:rPr>
          <w:rFonts w:hint="eastAsia" w:ascii="仿宋_GB2312" w:hAnsi="仿宋_GB2312" w:eastAsia="仿宋_GB2312" w:cs="仿宋_GB2312"/>
          <w:b w:val="0"/>
          <w:bCs w:val="0"/>
          <w:kern w:val="44"/>
          <w:sz w:val="32"/>
          <w:szCs w:val="32"/>
          <w:highlight w:val="none"/>
        </w:rPr>
        <w:fldChar w:fldCharType="end"/>
      </w:r>
    </w:p>
    <w:p w14:paraId="422B39FF">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_Toc18201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构建全域文旅新格局</w:t>
      </w:r>
      <w:r>
        <w:rPr>
          <w:rFonts w:hint="eastAsia" w:ascii="仿宋_GB2312" w:hAnsi="仿宋_GB2312" w:eastAsia="仿宋_GB2312" w:cs="仿宋_GB2312"/>
          <w:b w:val="0"/>
          <w:bCs w:val="0"/>
          <w:kern w:val="44"/>
          <w:sz w:val="32"/>
          <w:szCs w:val="32"/>
          <w:highlight w:val="none"/>
        </w:rPr>
        <w:fldChar w:fldCharType="end"/>
      </w:r>
    </w:p>
    <w:p w14:paraId="6F5235C4">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_Toc24459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构建文旅消费场景矩阵</w:t>
      </w:r>
      <w:r>
        <w:rPr>
          <w:rFonts w:hint="eastAsia" w:ascii="仿宋_GB2312" w:hAnsi="仿宋_GB2312" w:eastAsia="仿宋_GB2312" w:cs="仿宋_GB2312"/>
          <w:b w:val="0"/>
          <w:bCs w:val="0"/>
          <w:kern w:val="44"/>
          <w:sz w:val="32"/>
          <w:szCs w:val="32"/>
          <w:highlight w:val="none"/>
        </w:rPr>
        <w:fldChar w:fldCharType="end"/>
      </w:r>
    </w:p>
    <w:p w14:paraId="3599F17E">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_Toc25441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完善文化旅游发展保障体系</w:t>
      </w:r>
      <w:r>
        <w:rPr>
          <w:rFonts w:hint="eastAsia" w:ascii="仿宋_GB2312" w:hAnsi="仿宋_GB2312" w:eastAsia="仿宋_GB2312" w:cs="仿宋_GB2312"/>
          <w:b w:val="0"/>
          <w:bCs w:val="0"/>
          <w:kern w:val="44"/>
          <w:sz w:val="32"/>
          <w:szCs w:val="32"/>
          <w:highlight w:val="none"/>
        </w:rPr>
        <w:fldChar w:fldCharType="end"/>
      </w:r>
    </w:p>
    <w:p w14:paraId="1EF12AA4">
      <w:pPr>
        <w:pStyle w:val="30"/>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_Toc21646 </w:instrText>
      </w:r>
      <w:r>
        <w:rPr>
          <w:rFonts w:hint="eastAsia" w:ascii="仿宋_GB2312" w:hAnsi="仿宋_GB2312" w:eastAsia="仿宋_GB2312" w:cs="仿宋_GB2312"/>
          <w:b w:val="0"/>
          <w:bCs w:val="0"/>
          <w:kern w:val="44"/>
          <w:sz w:val="32"/>
          <w:szCs w:val="32"/>
          <w:highlight w:val="none"/>
        </w:rPr>
        <w:fldChar w:fldCharType="separate"/>
      </w:r>
      <w:r>
        <w:rPr>
          <w:rFonts w:hint="eastAsia" w:ascii="方正小标宋简体" w:eastAsia="方正小标宋简体"/>
          <w:b w:val="0"/>
          <w:bCs w:val="0"/>
          <w:sz w:val="32"/>
          <w:szCs w:val="32"/>
          <w:highlight w:val="none"/>
        </w:rPr>
        <w:t>第三篇  强链延链补链推进，构建现代化产业体系</w:t>
      </w:r>
      <w:r>
        <w:rPr>
          <w:rFonts w:hint="eastAsia" w:ascii="仿宋_GB2312" w:hAnsi="仿宋_GB2312" w:eastAsia="仿宋_GB2312" w:cs="仿宋_GB2312"/>
          <w:b w:val="0"/>
          <w:bCs w:val="0"/>
          <w:kern w:val="44"/>
          <w:sz w:val="32"/>
          <w:szCs w:val="32"/>
          <w:highlight w:val="none"/>
        </w:rPr>
        <w:fldChar w:fldCharType="end"/>
      </w:r>
    </w:p>
    <w:p w14:paraId="2D3147BE">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_Toc7789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第一章  推进主导产业提质升级</w:t>
      </w:r>
      <w:r>
        <w:rPr>
          <w:rFonts w:hint="eastAsia" w:ascii="仿宋_GB2312" w:hAnsi="仿宋_GB2312" w:eastAsia="仿宋_GB2312" w:cs="仿宋_GB2312"/>
          <w:b w:val="0"/>
          <w:bCs w:val="0"/>
          <w:kern w:val="44"/>
          <w:sz w:val="32"/>
          <w:szCs w:val="32"/>
          <w:highlight w:val="none"/>
        </w:rPr>
        <w:fldChar w:fldCharType="end"/>
      </w:r>
    </w:p>
    <w:p w14:paraId="247FC029">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_Toc28239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电子信息产业聚链成群</w:t>
      </w:r>
      <w:r>
        <w:rPr>
          <w:rFonts w:hint="eastAsia" w:ascii="仿宋_GB2312" w:hAnsi="仿宋_GB2312" w:eastAsia="仿宋_GB2312" w:cs="仿宋_GB2312"/>
          <w:b w:val="0"/>
          <w:bCs w:val="0"/>
          <w:kern w:val="44"/>
          <w:sz w:val="32"/>
          <w:szCs w:val="32"/>
          <w:highlight w:val="none"/>
        </w:rPr>
        <w:fldChar w:fldCharType="end"/>
      </w:r>
    </w:p>
    <w:p w14:paraId="1D0765BE">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_Toc9500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生物医药产业集聚化发展</w:t>
      </w:r>
      <w:r>
        <w:rPr>
          <w:rFonts w:hint="eastAsia" w:ascii="仿宋_GB2312" w:hAnsi="仿宋_GB2312" w:eastAsia="仿宋_GB2312" w:cs="仿宋_GB2312"/>
          <w:b w:val="0"/>
          <w:bCs w:val="0"/>
          <w:kern w:val="44"/>
          <w:sz w:val="32"/>
          <w:szCs w:val="32"/>
          <w:highlight w:val="none"/>
        </w:rPr>
        <w:fldChar w:fldCharType="end"/>
      </w:r>
    </w:p>
    <w:p w14:paraId="40A30ED2">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_Toc16524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第二章  锚定数智未来产业</w:t>
      </w:r>
      <w:r>
        <w:rPr>
          <w:rFonts w:hint="eastAsia" w:ascii="仿宋_GB2312" w:hAnsi="仿宋_GB2312" w:eastAsia="仿宋_GB2312" w:cs="仿宋_GB2312"/>
          <w:b w:val="0"/>
          <w:bCs w:val="0"/>
          <w:kern w:val="44"/>
          <w:sz w:val="32"/>
          <w:szCs w:val="32"/>
          <w:highlight w:val="none"/>
        </w:rPr>
        <w:fldChar w:fldCharType="end"/>
      </w:r>
    </w:p>
    <w:p w14:paraId="6E058993">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_Toc12099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培育未来生物产业</w:t>
      </w:r>
      <w:r>
        <w:rPr>
          <w:rFonts w:hint="eastAsia" w:ascii="仿宋_GB2312" w:hAnsi="仿宋_GB2312" w:eastAsia="仿宋_GB2312" w:cs="仿宋_GB2312"/>
          <w:b w:val="0"/>
          <w:bCs w:val="0"/>
          <w:kern w:val="44"/>
          <w:sz w:val="32"/>
          <w:szCs w:val="32"/>
          <w:highlight w:val="none"/>
        </w:rPr>
        <w:fldChar w:fldCharType="end"/>
      </w:r>
    </w:p>
    <w:p w14:paraId="0AA43CFD">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_Toc13078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壮大新材料产业</w:t>
      </w:r>
      <w:r>
        <w:rPr>
          <w:rFonts w:hint="eastAsia" w:ascii="仿宋_GB2312" w:hAnsi="仿宋_GB2312" w:eastAsia="仿宋_GB2312" w:cs="仿宋_GB2312"/>
          <w:b w:val="0"/>
          <w:bCs w:val="0"/>
          <w:kern w:val="44"/>
          <w:sz w:val="32"/>
          <w:szCs w:val="32"/>
          <w:highlight w:val="none"/>
        </w:rPr>
        <w:fldChar w:fldCharType="end"/>
      </w:r>
    </w:p>
    <w:p w14:paraId="740408C3">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_Toc9048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切入人工智能赛道</w:t>
      </w:r>
      <w:r>
        <w:rPr>
          <w:rFonts w:hint="eastAsia" w:ascii="仿宋_GB2312" w:hAnsi="仿宋_GB2312" w:eastAsia="仿宋_GB2312" w:cs="仿宋_GB2312"/>
          <w:b w:val="0"/>
          <w:bCs w:val="0"/>
          <w:kern w:val="44"/>
          <w:sz w:val="32"/>
          <w:szCs w:val="32"/>
          <w:highlight w:val="none"/>
        </w:rPr>
        <w:fldChar w:fldCharType="end"/>
      </w:r>
    </w:p>
    <w:p w14:paraId="5E39F4C9">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_Toc2255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第三章  推进生产性服务业专业化发展</w:t>
      </w:r>
      <w:r>
        <w:rPr>
          <w:rFonts w:hint="eastAsia" w:ascii="仿宋_GB2312" w:hAnsi="仿宋_GB2312" w:eastAsia="仿宋_GB2312" w:cs="仿宋_GB2312"/>
          <w:b w:val="0"/>
          <w:bCs w:val="0"/>
          <w:kern w:val="44"/>
          <w:sz w:val="32"/>
          <w:szCs w:val="32"/>
          <w:highlight w:val="none"/>
        </w:rPr>
        <w:fldChar w:fldCharType="end"/>
      </w:r>
    </w:p>
    <w:p w14:paraId="54F2D022">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_Toc14764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培育壮大数智产业</w:t>
      </w:r>
      <w:r>
        <w:rPr>
          <w:rFonts w:hint="eastAsia" w:ascii="仿宋_GB2312" w:hAnsi="仿宋_GB2312" w:eastAsia="仿宋_GB2312" w:cs="仿宋_GB2312"/>
          <w:b w:val="0"/>
          <w:bCs w:val="0"/>
          <w:kern w:val="44"/>
          <w:sz w:val="32"/>
          <w:szCs w:val="32"/>
          <w:highlight w:val="none"/>
        </w:rPr>
        <w:fldChar w:fldCharType="end"/>
      </w:r>
    </w:p>
    <w:p w14:paraId="56E34F60">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_Toc9200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优化现代金融服务体系</w:t>
      </w:r>
      <w:r>
        <w:rPr>
          <w:rFonts w:hint="eastAsia" w:ascii="仿宋_GB2312" w:hAnsi="仿宋_GB2312" w:eastAsia="仿宋_GB2312" w:cs="仿宋_GB2312"/>
          <w:b w:val="0"/>
          <w:bCs w:val="0"/>
          <w:kern w:val="44"/>
          <w:sz w:val="32"/>
          <w:szCs w:val="32"/>
          <w:highlight w:val="none"/>
        </w:rPr>
        <w:fldChar w:fldCharType="end"/>
      </w:r>
    </w:p>
    <w:p w14:paraId="0AE7D72A">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_Toc62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集聚科技成果转化服务业</w:t>
      </w:r>
      <w:r>
        <w:rPr>
          <w:rFonts w:hint="eastAsia" w:ascii="仿宋_GB2312" w:hAnsi="仿宋_GB2312" w:eastAsia="仿宋_GB2312" w:cs="仿宋_GB2312"/>
          <w:b w:val="0"/>
          <w:bCs w:val="0"/>
          <w:kern w:val="44"/>
          <w:sz w:val="32"/>
          <w:szCs w:val="32"/>
          <w:highlight w:val="none"/>
        </w:rPr>
        <w:fldChar w:fldCharType="end"/>
      </w:r>
    </w:p>
    <w:p w14:paraId="11ECA657">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_Toc1203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第四节  推动物流产业能级提升</w:t>
      </w:r>
      <w:r>
        <w:rPr>
          <w:rFonts w:hint="eastAsia" w:ascii="仿宋_GB2312" w:hAnsi="仿宋_GB2312" w:eastAsia="仿宋_GB2312" w:cs="仿宋_GB2312"/>
          <w:b w:val="0"/>
          <w:bCs w:val="0"/>
          <w:kern w:val="44"/>
          <w:sz w:val="32"/>
          <w:szCs w:val="32"/>
          <w:highlight w:val="none"/>
        </w:rPr>
        <w:fldChar w:fldCharType="end"/>
      </w:r>
    </w:p>
    <w:p w14:paraId="7A0A0A33">
      <w:pPr>
        <w:pStyle w:val="30"/>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_Toc23688 </w:instrText>
      </w:r>
      <w:r>
        <w:rPr>
          <w:rFonts w:hint="eastAsia" w:ascii="仿宋_GB2312" w:hAnsi="仿宋_GB2312" w:eastAsia="仿宋_GB2312" w:cs="仿宋_GB2312"/>
          <w:b w:val="0"/>
          <w:bCs w:val="0"/>
          <w:kern w:val="44"/>
          <w:sz w:val="32"/>
          <w:szCs w:val="32"/>
          <w:highlight w:val="none"/>
        </w:rPr>
        <w:fldChar w:fldCharType="separate"/>
      </w:r>
      <w:r>
        <w:rPr>
          <w:rFonts w:hint="eastAsia" w:ascii="方正小标宋简体" w:eastAsia="方正小标宋简体"/>
          <w:b w:val="0"/>
          <w:bCs w:val="0"/>
          <w:sz w:val="32"/>
          <w:szCs w:val="32"/>
          <w:highlight w:val="none"/>
        </w:rPr>
        <w:t>第四篇  坚持创新驱动发展，建设高质量发展引擎</w:t>
      </w:r>
      <w:r>
        <w:rPr>
          <w:rFonts w:hint="eastAsia" w:ascii="仿宋_GB2312" w:hAnsi="仿宋_GB2312" w:eastAsia="仿宋_GB2312" w:cs="仿宋_GB2312"/>
          <w:b w:val="0"/>
          <w:bCs w:val="0"/>
          <w:kern w:val="44"/>
          <w:sz w:val="32"/>
          <w:szCs w:val="32"/>
          <w:highlight w:val="none"/>
        </w:rPr>
        <w:fldChar w:fldCharType="end"/>
      </w:r>
    </w:p>
    <w:p w14:paraId="3440B672">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_Toc22950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第一章  提升科技创新能力</w:t>
      </w:r>
      <w:r>
        <w:rPr>
          <w:rFonts w:hint="eastAsia" w:ascii="仿宋_GB2312" w:hAnsi="仿宋_GB2312" w:eastAsia="仿宋_GB2312" w:cs="仿宋_GB2312"/>
          <w:b w:val="0"/>
          <w:bCs w:val="0"/>
          <w:kern w:val="44"/>
          <w:sz w:val="32"/>
          <w:szCs w:val="32"/>
          <w:highlight w:val="none"/>
        </w:rPr>
        <w:fldChar w:fldCharType="end"/>
      </w:r>
    </w:p>
    <w:p w14:paraId="28374308">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_Toc28718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加强关键技术攻关</w:t>
      </w:r>
      <w:r>
        <w:rPr>
          <w:rFonts w:hint="eastAsia" w:ascii="仿宋_GB2312" w:hAnsi="仿宋_GB2312" w:eastAsia="仿宋_GB2312" w:cs="仿宋_GB2312"/>
          <w:b w:val="0"/>
          <w:bCs w:val="0"/>
          <w:kern w:val="44"/>
          <w:sz w:val="32"/>
          <w:szCs w:val="32"/>
          <w:highlight w:val="none"/>
        </w:rPr>
        <w:fldChar w:fldCharType="end"/>
      </w:r>
    </w:p>
    <w:p w14:paraId="3E29FB9A">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_Toc32222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构建高能级特色创新平台体系</w:t>
      </w:r>
      <w:r>
        <w:rPr>
          <w:rFonts w:hint="eastAsia" w:ascii="仿宋_GB2312" w:hAnsi="仿宋_GB2312" w:eastAsia="仿宋_GB2312" w:cs="仿宋_GB2312"/>
          <w:b w:val="0"/>
          <w:bCs w:val="0"/>
          <w:kern w:val="44"/>
          <w:sz w:val="32"/>
          <w:szCs w:val="32"/>
          <w:highlight w:val="none"/>
        </w:rPr>
        <w:fldChar w:fldCharType="end"/>
      </w:r>
    </w:p>
    <w:p w14:paraId="404B1AD1">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_Toc12321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支持科技创新开放合作</w:t>
      </w:r>
      <w:r>
        <w:rPr>
          <w:rFonts w:hint="eastAsia" w:ascii="仿宋_GB2312" w:hAnsi="仿宋_GB2312" w:eastAsia="仿宋_GB2312" w:cs="仿宋_GB2312"/>
          <w:b w:val="0"/>
          <w:bCs w:val="0"/>
          <w:kern w:val="44"/>
          <w:sz w:val="32"/>
          <w:szCs w:val="32"/>
          <w:highlight w:val="none"/>
        </w:rPr>
        <w:fldChar w:fldCharType="end"/>
      </w:r>
    </w:p>
    <w:p w14:paraId="31817AB4">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_Toc22994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第二章  扎实推动创新链产业链融合</w:t>
      </w:r>
      <w:r>
        <w:rPr>
          <w:rFonts w:hint="eastAsia" w:ascii="仿宋_GB2312" w:hAnsi="仿宋_GB2312" w:eastAsia="仿宋_GB2312" w:cs="仿宋_GB2312"/>
          <w:b w:val="0"/>
          <w:bCs w:val="0"/>
          <w:kern w:val="44"/>
          <w:sz w:val="32"/>
          <w:szCs w:val="32"/>
          <w:highlight w:val="none"/>
        </w:rPr>
        <w:fldChar w:fldCharType="end"/>
      </w:r>
    </w:p>
    <w:p w14:paraId="141F2718">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_Toc25600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强化企业创新主体地位</w:t>
      </w:r>
      <w:r>
        <w:rPr>
          <w:rFonts w:hint="eastAsia" w:ascii="仿宋_GB2312" w:hAnsi="仿宋_GB2312" w:eastAsia="仿宋_GB2312" w:cs="仿宋_GB2312"/>
          <w:b w:val="0"/>
          <w:bCs w:val="0"/>
          <w:kern w:val="44"/>
          <w:sz w:val="32"/>
          <w:szCs w:val="32"/>
          <w:highlight w:val="none"/>
        </w:rPr>
        <w:fldChar w:fldCharType="end"/>
      </w:r>
    </w:p>
    <w:p w14:paraId="73252408">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_Toc5541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深化产学研用融合</w:t>
      </w:r>
      <w:r>
        <w:rPr>
          <w:rFonts w:hint="eastAsia" w:ascii="仿宋_GB2312" w:hAnsi="仿宋_GB2312" w:eastAsia="仿宋_GB2312" w:cs="仿宋_GB2312"/>
          <w:b w:val="0"/>
          <w:bCs w:val="0"/>
          <w:kern w:val="44"/>
          <w:sz w:val="32"/>
          <w:szCs w:val="32"/>
          <w:highlight w:val="none"/>
        </w:rPr>
        <w:fldChar w:fldCharType="end"/>
      </w:r>
    </w:p>
    <w:p w14:paraId="0602CC5A">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_Toc7773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完善成果转化体系</w:t>
      </w:r>
      <w:r>
        <w:rPr>
          <w:rFonts w:hint="eastAsia" w:ascii="仿宋_GB2312" w:hAnsi="仿宋_GB2312" w:eastAsia="仿宋_GB2312" w:cs="仿宋_GB2312"/>
          <w:b w:val="0"/>
          <w:bCs w:val="0"/>
          <w:kern w:val="44"/>
          <w:sz w:val="32"/>
          <w:szCs w:val="32"/>
          <w:highlight w:val="none"/>
        </w:rPr>
        <w:fldChar w:fldCharType="end"/>
      </w:r>
    </w:p>
    <w:p w14:paraId="4C8BAF3F">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_Toc16559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第三章  培育活力创新生态</w:t>
      </w:r>
      <w:r>
        <w:rPr>
          <w:rFonts w:hint="eastAsia" w:ascii="仿宋_GB2312" w:hAnsi="仿宋_GB2312" w:eastAsia="仿宋_GB2312" w:cs="仿宋_GB2312"/>
          <w:b w:val="0"/>
          <w:bCs w:val="0"/>
          <w:kern w:val="44"/>
          <w:sz w:val="32"/>
          <w:szCs w:val="32"/>
          <w:highlight w:val="none"/>
        </w:rPr>
        <w:fldChar w:fldCharType="end"/>
      </w:r>
    </w:p>
    <w:p w14:paraId="2DABDFAB">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_Toc9205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强化要素保障</w:t>
      </w:r>
      <w:r>
        <w:rPr>
          <w:rFonts w:hint="eastAsia" w:ascii="仿宋_GB2312" w:hAnsi="仿宋_GB2312" w:eastAsia="仿宋_GB2312" w:cs="仿宋_GB2312"/>
          <w:b w:val="0"/>
          <w:bCs w:val="0"/>
          <w:kern w:val="44"/>
          <w:sz w:val="32"/>
          <w:szCs w:val="32"/>
          <w:highlight w:val="none"/>
        </w:rPr>
        <w:fldChar w:fldCharType="end"/>
      </w:r>
    </w:p>
    <w:p w14:paraId="79DECE12">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_Toc23650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营造创新文化氛围</w:t>
      </w:r>
      <w:r>
        <w:rPr>
          <w:rFonts w:hint="eastAsia" w:ascii="仿宋_GB2312" w:hAnsi="仿宋_GB2312" w:eastAsia="仿宋_GB2312" w:cs="仿宋_GB2312"/>
          <w:b w:val="0"/>
          <w:bCs w:val="0"/>
          <w:kern w:val="44"/>
          <w:sz w:val="32"/>
          <w:szCs w:val="32"/>
          <w:highlight w:val="none"/>
        </w:rPr>
        <w:fldChar w:fldCharType="end"/>
      </w:r>
    </w:p>
    <w:p w14:paraId="2C8234DF">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_Toc2450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持续强化智力支撑</w:t>
      </w:r>
      <w:r>
        <w:rPr>
          <w:rFonts w:hint="eastAsia" w:ascii="仿宋_GB2312" w:hAnsi="仿宋_GB2312" w:eastAsia="仿宋_GB2312" w:cs="仿宋_GB2312"/>
          <w:b w:val="0"/>
          <w:bCs w:val="0"/>
          <w:kern w:val="44"/>
          <w:sz w:val="32"/>
          <w:szCs w:val="32"/>
          <w:highlight w:val="none"/>
        </w:rPr>
        <w:fldChar w:fldCharType="end"/>
      </w:r>
    </w:p>
    <w:p w14:paraId="2975EB4F">
      <w:pPr>
        <w:pStyle w:val="30"/>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_Toc18188 </w:instrText>
      </w:r>
      <w:r>
        <w:rPr>
          <w:rFonts w:hint="eastAsia" w:ascii="仿宋_GB2312" w:hAnsi="仿宋_GB2312" w:eastAsia="仿宋_GB2312" w:cs="仿宋_GB2312"/>
          <w:b w:val="0"/>
          <w:bCs w:val="0"/>
          <w:kern w:val="44"/>
          <w:sz w:val="32"/>
          <w:szCs w:val="32"/>
          <w:highlight w:val="none"/>
        </w:rPr>
        <w:fldChar w:fldCharType="separate"/>
      </w:r>
      <w:r>
        <w:rPr>
          <w:rFonts w:hint="eastAsia" w:ascii="方正小标宋简体" w:eastAsia="方正小标宋简体"/>
          <w:b w:val="0"/>
          <w:bCs w:val="0"/>
          <w:sz w:val="32"/>
          <w:szCs w:val="32"/>
          <w:highlight w:val="none"/>
        </w:rPr>
        <w:t>第五篇  完善现代基础设施体系，夯实经济社会发展硬支撑</w:t>
      </w:r>
      <w:r>
        <w:rPr>
          <w:rFonts w:hint="eastAsia" w:ascii="仿宋_GB2312" w:hAnsi="仿宋_GB2312" w:eastAsia="仿宋_GB2312" w:cs="仿宋_GB2312"/>
          <w:b w:val="0"/>
          <w:bCs w:val="0"/>
          <w:kern w:val="44"/>
          <w:sz w:val="32"/>
          <w:szCs w:val="32"/>
          <w:highlight w:val="none"/>
        </w:rPr>
        <w:fldChar w:fldCharType="end"/>
      </w:r>
    </w:p>
    <w:p w14:paraId="2C0453C1">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_Toc9776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第一章  建设现代化综合交通运输系统</w:t>
      </w:r>
      <w:r>
        <w:rPr>
          <w:rFonts w:hint="eastAsia" w:ascii="仿宋_GB2312" w:hAnsi="仿宋_GB2312" w:eastAsia="仿宋_GB2312" w:cs="仿宋_GB2312"/>
          <w:b w:val="0"/>
          <w:bCs w:val="0"/>
          <w:kern w:val="44"/>
          <w:sz w:val="32"/>
          <w:szCs w:val="32"/>
          <w:highlight w:val="none"/>
        </w:rPr>
        <w:fldChar w:fldCharType="end"/>
      </w:r>
    </w:p>
    <w:p w14:paraId="4A54AFC5">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_Toc19964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强化水运枢纽功能</w:t>
      </w:r>
      <w:r>
        <w:rPr>
          <w:rFonts w:hint="eastAsia" w:ascii="仿宋_GB2312" w:hAnsi="仿宋_GB2312" w:eastAsia="仿宋_GB2312" w:cs="仿宋_GB2312"/>
          <w:b w:val="0"/>
          <w:bCs w:val="0"/>
          <w:kern w:val="44"/>
          <w:sz w:val="32"/>
          <w:szCs w:val="32"/>
          <w:highlight w:val="none"/>
        </w:rPr>
        <w:fldChar w:fldCharType="end"/>
      </w:r>
    </w:p>
    <w:p w14:paraId="12CD307D">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_Toc10654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夯实铁路骨干支撑</w:t>
      </w:r>
      <w:r>
        <w:rPr>
          <w:rFonts w:hint="eastAsia" w:ascii="仿宋_GB2312" w:hAnsi="仿宋_GB2312" w:eastAsia="仿宋_GB2312" w:cs="仿宋_GB2312"/>
          <w:b w:val="0"/>
          <w:bCs w:val="0"/>
          <w:kern w:val="44"/>
          <w:sz w:val="32"/>
          <w:szCs w:val="32"/>
          <w:highlight w:val="none"/>
        </w:rPr>
        <w:fldChar w:fldCharType="end"/>
      </w:r>
    </w:p>
    <w:p w14:paraId="40E4B272">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_Toc544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提升公路集散效率</w:t>
      </w:r>
      <w:r>
        <w:rPr>
          <w:rFonts w:hint="eastAsia" w:ascii="仿宋_GB2312" w:hAnsi="仿宋_GB2312" w:eastAsia="仿宋_GB2312" w:cs="仿宋_GB2312"/>
          <w:b w:val="0"/>
          <w:bCs w:val="0"/>
          <w:kern w:val="44"/>
          <w:sz w:val="32"/>
          <w:szCs w:val="32"/>
          <w:highlight w:val="none"/>
        </w:rPr>
        <w:fldChar w:fldCharType="end"/>
      </w:r>
    </w:p>
    <w:p w14:paraId="00AD1014">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_Toc31610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第四节  构建高效“多式联运”体系</w:t>
      </w:r>
      <w:r>
        <w:rPr>
          <w:rFonts w:hint="eastAsia" w:ascii="仿宋_GB2312" w:hAnsi="仿宋_GB2312" w:eastAsia="仿宋_GB2312" w:cs="仿宋_GB2312"/>
          <w:b w:val="0"/>
          <w:bCs w:val="0"/>
          <w:kern w:val="44"/>
          <w:sz w:val="32"/>
          <w:szCs w:val="32"/>
          <w:highlight w:val="none"/>
        </w:rPr>
        <w:fldChar w:fldCharType="end"/>
      </w:r>
    </w:p>
    <w:p w14:paraId="79E3F649">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_Toc29177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第二章  高标准建设现代化水利网络</w:t>
      </w:r>
      <w:r>
        <w:rPr>
          <w:rFonts w:hint="eastAsia" w:ascii="仿宋_GB2312" w:hAnsi="仿宋_GB2312" w:eastAsia="仿宋_GB2312" w:cs="仿宋_GB2312"/>
          <w:b w:val="0"/>
          <w:bCs w:val="0"/>
          <w:kern w:val="44"/>
          <w:sz w:val="32"/>
          <w:szCs w:val="32"/>
          <w:highlight w:val="none"/>
        </w:rPr>
        <w:fldChar w:fldCharType="end"/>
      </w:r>
    </w:p>
    <w:p w14:paraId="779BE32C">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_Toc19376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完善防洪减灾体系，确保安全可靠</w:t>
      </w:r>
      <w:r>
        <w:rPr>
          <w:rFonts w:hint="eastAsia" w:ascii="仿宋_GB2312" w:hAnsi="仿宋_GB2312" w:eastAsia="仿宋_GB2312" w:cs="仿宋_GB2312"/>
          <w:b w:val="0"/>
          <w:bCs w:val="0"/>
          <w:kern w:val="44"/>
          <w:sz w:val="32"/>
          <w:szCs w:val="32"/>
          <w:highlight w:val="none"/>
        </w:rPr>
        <w:fldChar w:fldCharType="end"/>
      </w:r>
    </w:p>
    <w:p w14:paraId="3C5F3BC1">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_Toc18793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高效整合水资源，提升配置效率</w:t>
      </w:r>
      <w:r>
        <w:rPr>
          <w:rFonts w:hint="eastAsia" w:ascii="仿宋_GB2312" w:hAnsi="仿宋_GB2312" w:eastAsia="仿宋_GB2312" w:cs="仿宋_GB2312"/>
          <w:b w:val="0"/>
          <w:bCs w:val="0"/>
          <w:kern w:val="44"/>
          <w:sz w:val="32"/>
          <w:szCs w:val="32"/>
          <w:highlight w:val="none"/>
        </w:rPr>
        <w:fldChar w:fldCharType="end"/>
      </w:r>
    </w:p>
    <w:p w14:paraId="04B93AF7">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_Toc10128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第三章  推动新型能源体系建设</w:t>
      </w:r>
      <w:r>
        <w:rPr>
          <w:rFonts w:hint="eastAsia" w:ascii="仿宋_GB2312" w:hAnsi="仿宋_GB2312" w:eastAsia="仿宋_GB2312" w:cs="仿宋_GB2312"/>
          <w:b w:val="0"/>
          <w:bCs w:val="0"/>
          <w:kern w:val="44"/>
          <w:sz w:val="32"/>
          <w:szCs w:val="32"/>
          <w:highlight w:val="none"/>
        </w:rPr>
        <w:fldChar w:fldCharType="end"/>
      </w:r>
    </w:p>
    <w:p w14:paraId="1CE715C3">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_Toc2199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提升能源安全保障能力</w:t>
      </w:r>
      <w:r>
        <w:rPr>
          <w:rFonts w:hint="eastAsia" w:ascii="仿宋_GB2312" w:hAnsi="仿宋_GB2312" w:eastAsia="仿宋_GB2312" w:cs="仿宋_GB2312"/>
          <w:b w:val="0"/>
          <w:bCs w:val="0"/>
          <w:kern w:val="44"/>
          <w:sz w:val="32"/>
          <w:szCs w:val="32"/>
          <w:highlight w:val="none"/>
        </w:rPr>
        <w:fldChar w:fldCharType="end"/>
      </w:r>
    </w:p>
    <w:p w14:paraId="3F232FF5">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_Toc11966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提高新型能源利用效率</w:t>
      </w:r>
      <w:r>
        <w:rPr>
          <w:rFonts w:hint="eastAsia" w:ascii="仿宋_GB2312" w:hAnsi="仿宋_GB2312" w:eastAsia="仿宋_GB2312" w:cs="仿宋_GB2312"/>
          <w:b w:val="0"/>
          <w:bCs w:val="0"/>
          <w:kern w:val="44"/>
          <w:sz w:val="32"/>
          <w:szCs w:val="32"/>
          <w:highlight w:val="none"/>
        </w:rPr>
        <w:fldChar w:fldCharType="end"/>
      </w:r>
    </w:p>
    <w:p w14:paraId="5522A6A1">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_Toc28030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第四章  适度超前布局数字基础设施</w:t>
      </w:r>
      <w:r>
        <w:rPr>
          <w:rFonts w:hint="eastAsia" w:ascii="仿宋_GB2312" w:hAnsi="仿宋_GB2312" w:eastAsia="仿宋_GB2312" w:cs="仿宋_GB2312"/>
          <w:b w:val="0"/>
          <w:bCs w:val="0"/>
          <w:kern w:val="44"/>
          <w:sz w:val="32"/>
          <w:szCs w:val="32"/>
          <w:highlight w:val="none"/>
        </w:rPr>
        <w:fldChar w:fldCharType="end"/>
      </w:r>
    </w:p>
    <w:p w14:paraId="2D3D59FE">
      <w:pPr>
        <w:pStyle w:val="30"/>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_Toc24271 </w:instrText>
      </w:r>
      <w:r>
        <w:rPr>
          <w:rFonts w:hint="eastAsia" w:ascii="仿宋_GB2312" w:hAnsi="仿宋_GB2312" w:eastAsia="仿宋_GB2312" w:cs="仿宋_GB2312"/>
          <w:b w:val="0"/>
          <w:bCs w:val="0"/>
          <w:kern w:val="44"/>
          <w:sz w:val="32"/>
          <w:szCs w:val="32"/>
          <w:highlight w:val="none"/>
        </w:rPr>
        <w:fldChar w:fldCharType="separate"/>
      </w:r>
      <w:r>
        <w:rPr>
          <w:rFonts w:hint="eastAsia" w:ascii="方正小标宋简体" w:eastAsia="方正小标宋简体"/>
          <w:b w:val="0"/>
          <w:bCs w:val="0"/>
          <w:sz w:val="32"/>
          <w:szCs w:val="32"/>
          <w:highlight w:val="none"/>
        </w:rPr>
        <w:t>第六篇  积极</w:t>
      </w:r>
      <w:r>
        <w:rPr>
          <w:rFonts w:hint="eastAsia" w:ascii="方正小标宋简体" w:eastAsia="方正小标宋简体"/>
          <w:b w:val="0"/>
          <w:bCs w:val="0"/>
          <w:sz w:val="32"/>
          <w:szCs w:val="32"/>
          <w:highlight w:val="none"/>
          <w:lang w:val="en-US" w:eastAsia="zh-CN"/>
        </w:rPr>
        <w:t>融入</w:t>
      </w:r>
      <w:r>
        <w:rPr>
          <w:rFonts w:hint="eastAsia" w:ascii="方正小标宋简体" w:eastAsia="方正小标宋简体"/>
          <w:b w:val="0"/>
          <w:bCs w:val="0"/>
          <w:sz w:val="32"/>
          <w:szCs w:val="32"/>
          <w:highlight w:val="none"/>
        </w:rPr>
        <w:t>国内大市场，激发区域消费投资活力</w:t>
      </w:r>
      <w:r>
        <w:rPr>
          <w:rFonts w:hint="eastAsia" w:ascii="仿宋_GB2312" w:hAnsi="仿宋_GB2312" w:eastAsia="仿宋_GB2312" w:cs="仿宋_GB2312"/>
          <w:b w:val="0"/>
          <w:bCs w:val="0"/>
          <w:kern w:val="44"/>
          <w:sz w:val="32"/>
          <w:szCs w:val="32"/>
          <w:highlight w:val="none"/>
        </w:rPr>
        <w:fldChar w:fldCharType="end"/>
      </w:r>
    </w:p>
    <w:p w14:paraId="4AF5B804">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_Toc28541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第一章  大力提振消费</w:t>
      </w:r>
      <w:r>
        <w:rPr>
          <w:rFonts w:hint="eastAsia" w:ascii="仿宋_GB2312" w:hAnsi="仿宋_GB2312" w:eastAsia="仿宋_GB2312" w:cs="仿宋_GB2312"/>
          <w:b w:val="0"/>
          <w:bCs w:val="0"/>
          <w:kern w:val="44"/>
          <w:sz w:val="32"/>
          <w:szCs w:val="32"/>
          <w:highlight w:val="none"/>
        </w:rPr>
        <w:fldChar w:fldCharType="end"/>
      </w:r>
    </w:p>
    <w:p w14:paraId="65FAE7C1">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_Toc24962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构建现代商业体系</w:t>
      </w:r>
      <w:r>
        <w:rPr>
          <w:rFonts w:hint="eastAsia" w:ascii="仿宋_GB2312" w:hAnsi="仿宋_GB2312" w:eastAsia="仿宋_GB2312" w:cs="仿宋_GB2312"/>
          <w:b w:val="0"/>
          <w:bCs w:val="0"/>
          <w:kern w:val="44"/>
          <w:sz w:val="32"/>
          <w:szCs w:val="32"/>
          <w:highlight w:val="none"/>
        </w:rPr>
        <w:fldChar w:fldCharType="end"/>
      </w:r>
    </w:p>
    <w:p w14:paraId="011F7C26">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_Toc30390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创新消费供给模式</w:t>
      </w:r>
      <w:r>
        <w:rPr>
          <w:rFonts w:hint="eastAsia" w:ascii="仿宋_GB2312" w:hAnsi="仿宋_GB2312" w:eastAsia="仿宋_GB2312" w:cs="仿宋_GB2312"/>
          <w:b w:val="0"/>
          <w:bCs w:val="0"/>
          <w:kern w:val="44"/>
          <w:sz w:val="32"/>
          <w:szCs w:val="32"/>
          <w:highlight w:val="none"/>
        </w:rPr>
        <w:fldChar w:fldCharType="end"/>
      </w:r>
    </w:p>
    <w:p w14:paraId="7BBE9DB9">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_Toc12033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优化市场消费环境</w:t>
      </w:r>
      <w:r>
        <w:rPr>
          <w:rFonts w:hint="eastAsia" w:ascii="仿宋_GB2312" w:hAnsi="仿宋_GB2312" w:eastAsia="仿宋_GB2312" w:cs="仿宋_GB2312"/>
          <w:b w:val="0"/>
          <w:bCs w:val="0"/>
          <w:kern w:val="44"/>
          <w:sz w:val="32"/>
          <w:szCs w:val="32"/>
          <w:highlight w:val="none"/>
        </w:rPr>
        <w:fldChar w:fldCharType="end"/>
      </w:r>
    </w:p>
    <w:p w14:paraId="5A8F35F2">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_Toc12633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第二章  扩大有效投资</w:t>
      </w:r>
      <w:r>
        <w:rPr>
          <w:rFonts w:hint="eastAsia" w:ascii="仿宋_GB2312" w:hAnsi="仿宋_GB2312" w:eastAsia="仿宋_GB2312" w:cs="仿宋_GB2312"/>
          <w:b w:val="0"/>
          <w:bCs w:val="0"/>
          <w:kern w:val="44"/>
          <w:sz w:val="32"/>
          <w:szCs w:val="32"/>
          <w:highlight w:val="none"/>
        </w:rPr>
        <w:fldChar w:fldCharType="end"/>
      </w:r>
    </w:p>
    <w:p w14:paraId="28C6AD11">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_Toc12247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强化重大项目统筹</w:t>
      </w:r>
      <w:r>
        <w:rPr>
          <w:rFonts w:hint="eastAsia" w:ascii="仿宋_GB2312" w:hAnsi="仿宋_GB2312" w:eastAsia="仿宋_GB2312" w:cs="仿宋_GB2312"/>
          <w:b w:val="0"/>
          <w:bCs w:val="0"/>
          <w:kern w:val="44"/>
          <w:sz w:val="32"/>
          <w:szCs w:val="32"/>
          <w:highlight w:val="none"/>
        </w:rPr>
        <w:fldChar w:fldCharType="end"/>
      </w:r>
    </w:p>
    <w:p w14:paraId="2C1FCE93">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_Toc20022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创新投融资模式</w:t>
      </w:r>
      <w:r>
        <w:rPr>
          <w:rFonts w:hint="eastAsia" w:ascii="仿宋_GB2312" w:hAnsi="仿宋_GB2312" w:eastAsia="仿宋_GB2312" w:cs="仿宋_GB2312"/>
          <w:b w:val="0"/>
          <w:bCs w:val="0"/>
          <w:kern w:val="44"/>
          <w:sz w:val="32"/>
          <w:szCs w:val="32"/>
          <w:highlight w:val="none"/>
        </w:rPr>
        <w:fldChar w:fldCharType="end"/>
      </w:r>
    </w:p>
    <w:p w14:paraId="163A0C81">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_Toc26177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推动有效投资落地</w:t>
      </w:r>
      <w:r>
        <w:rPr>
          <w:rFonts w:hint="eastAsia" w:ascii="仿宋_GB2312" w:hAnsi="仿宋_GB2312" w:eastAsia="仿宋_GB2312" w:cs="仿宋_GB2312"/>
          <w:b w:val="0"/>
          <w:bCs w:val="0"/>
          <w:kern w:val="44"/>
          <w:sz w:val="32"/>
          <w:szCs w:val="32"/>
          <w:highlight w:val="none"/>
        </w:rPr>
        <w:fldChar w:fldCharType="end"/>
      </w:r>
    </w:p>
    <w:p w14:paraId="1E39C40D">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_Toc17053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第三章  积极落实统一市场制度规则</w:t>
      </w:r>
      <w:r>
        <w:rPr>
          <w:rFonts w:hint="eastAsia" w:ascii="仿宋_GB2312" w:hAnsi="仿宋_GB2312" w:eastAsia="仿宋_GB2312" w:cs="仿宋_GB2312"/>
          <w:b w:val="0"/>
          <w:bCs w:val="0"/>
          <w:kern w:val="44"/>
          <w:sz w:val="32"/>
          <w:szCs w:val="32"/>
          <w:highlight w:val="none"/>
        </w:rPr>
        <w:fldChar w:fldCharType="end"/>
      </w:r>
    </w:p>
    <w:p w14:paraId="192B3D46">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_Toc1604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加大产权保护力度</w:t>
      </w:r>
      <w:r>
        <w:rPr>
          <w:rFonts w:hint="eastAsia" w:ascii="仿宋_GB2312" w:hAnsi="仿宋_GB2312" w:eastAsia="仿宋_GB2312" w:cs="仿宋_GB2312"/>
          <w:b w:val="0"/>
          <w:bCs w:val="0"/>
          <w:kern w:val="44"/>
          <w:sz w:val="32"/>
          <w:szCs w:val="32"/>
          <w:highlight w:val="none"/>
        </w:rPr>
        <w:fldChar w:fldCharType="end"/>
      </w:r>
    </w:p>
    <w:p w14:paraId="23254B25">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_Toc7817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全面落实市场准入制度</w:t>
      </w:r>
      <w:r>
        <w:rPr>
          <w:rFonts w:hint="eastAsia" w:ascii="仿宋_GB2312" w:hAnsi="仿宋_GB2312" w:eastAsia="仿宋_GB2312" w:cs="仿宋_GB2312"/>
          <w:b w:val="0"/>
          <w:bCs w:val="0"/>
          <w:kern w:val="44"/>
          <w:sz w:val="32"/>
          <w:szCs w:val="32"/>
          <w:highlight w:val="none"/>
        </w:rPr>
        <w:fldChar w:fldCharType="end"/>
      </w:r>
    </w:p>
    <w:p w14:paraId="41D22B33">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_Toc9149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健全社会信用体系</w:t>
      </w:r>
      <w:r>
        <w:rPr>
          <w:rFonts w:hint="eastAsia" w:ascii="仿宋_GB2312" w:hAnsi="仿宋_GB2312" w:eastAsia="仿宋_GB2312" w:cs="仿宋_GB2312"/>
          <w:b w:val="0"/>
          <w:bCs w:val="0"/>
          <w:kern w:val="44"/>
          <w:sz w:val="32"/>
          <w:szCs w:val="32"/>
          <w:highlight w:val="none"/>
        </w:rPr>
        <w:fldChar w:fldCharType="end"/>
      </w:r>
    </w:p>
    <w:p w14:paraId="5C6651E2">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_Toc778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第四节  完善要素市场化配置机制</w:t>
      </w:r>
      <w:r>
        <w:rPr>
          <w:rFonts w:hint="eastAsia" w:ascii="仿宋_GB2312" w:hAnsi="仿宋_GB2312" w:eastAsia="仿宋_GB2312" w:cs="仿宋_GB2312"/>
          <w:b w:val="0"/>
          <w:bCs w:val="0"/>
          <w:kern w:val="44"/>
          <w:sz w:val="32"/>
          <w:szCs w:val="32"/>
          <w:highlight w:val="none"/>
        </w:rPr>
        <w:fldChar w:fldCharType="end"/>
      </w:r>
    </w:p>
    <w:p w14:paraId="7770C9F1">
      <w:pPr>
        <w:pStyle w:val="30"/>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_Toc19856 </w:instrText>
      </w:r>
      <w:r>
        <w:rPr>
          <w:rFonts w:hint="eastAsia" w:ascii="仿宋_GB2312" w:hAnsi="仿宋_GB2312" w:eastAsia="仿宋_GB2312" w:cs="仿宋_GB2312"/>
          <w:b w:val="0"/>
          <w:bCs w:val="0"/>
          <w:kern w:val="44"/>
          <w:sz w:val="32"/>
          <w:szCs w:val="32"/>
          <w:highlight w:val="none"/>
        </w:rPr>
        <w:fldChar w:fldCharType="separate"/>
      </w:r>
      <w:r>
        <w:rPr>
          <w:rFonts w:hint="eastAsia" w:ascii="方正小标宋简体" w:eastAsia="方正小标宋简体"/>
          <w:b w:val="0"/>
          <w:bCs w:val="0"/>
          <w:sz w:val="32"/>
          <w:szCs w:val="32"/>
          <w:highlight w:val="none"/>
        </w:rPr>
        <w:t>第七篇  深化体制改革推进，强化高质量发展保障</w:t>
      </w:r>
      <w:r>
        <w:rPr>
          <w:rFonts w:hint="eastAsia" w:ascii="仿宋_GB2312" w:hAnsi="仿宋_GB2312" w:eastAsia="仿宋_GB2312" w:cs="仿宋_GB2312"/>
          <w:b w:val="0"/>
          <w:bCs w:val="0"/>
          <w:kern w:val="44"/>
          <w:sz w:val="32"/>
          <w:szCs w:val="32"/>
          <w:highlight w:val="none"/>
        </w:rPr>
        <w:fldChar w:fldCharType="end"/>
      </w:r>
    </w:p>
    <w:p w14:paraId="1165FD89">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_Toc26524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第一章  增强市场主体活力</w:t>
      </w:r>
      <w:r>
        <w:rPr>
          <w:rFonts w:hint="eastAsia" w:ascii="仿宋_GB2312" w:hAnsi="仿宋_GB2312" w:eastAsia="仿宋_GB2312" w:cs="仿宋_GB2312"/>
          <w:b w:val="0"/>
          <w:bCs w:val="0"/>
          <w:kern w:val="44"/>
          <w:sz w:val="32"/>
          <w:szCs w:val="32"/>
          <w:highlight w:val="none"/>
        </w:rPr>
        <w:fldChar w:fldCharType="end"/>
      </w:r>
    </w:p>
    <w:p w14:paraId="28BDC5E4">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_Toc22658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深化国有企业改革</w:t>
      </w:r>
      <w:r>
        <w:rPr>
          <w:rFonts w:hint="eastAsia" w:ascii="仿宋_GB2312" w:hAnsi="仿宋_GB2312" w:eastAsia="仿宋_GB2312" w:cs="仿宋_GB2312"/>
          <w:b w:val="0"/>
          <w:bCs w:val="0"/>
          <w:kern w:val="44"/>
          <w:sz w:val="32"/>
          <w:szCs w:val="32"/>
          <w:highlight w:val="none"/>
        </w:rPr>
        <w:fldChar w:fldCharType="end"/>
      </w:r>
    </w:p>
    <w:p w14:paraId="54880DC9">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_Toc24876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增强民营经济发展动能</w:t>
      </w:r>
      <w:r>
        <w:rPr>
          <w:rFonts w:hint="eastAsia" w:ascii="仿宋_GB2312" w:hAnsi="仿宋_GB2312" w:eastAsia="仿宋_GB2312" w:cs="仿宋_GB2312"/>
          <w:b w:val="0"/>
          <w:bCs w:val="0"/>
          <w:kern w:val="44"/>
          <w:sz w:val="32"/>
          <w:szCs w:val="32"/>
          <w:highlight w:val="none"/>
        </w:rPr>
        <w:fldChar w:fldCharType="end"/>
      </w:r>
    </w:p>
    <w:p w14:paraId="2D3598AD">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_Toc30864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第二章  完善园区产业服务</w:t>
      </w:r>
      <w:r>
        <w:rPr>
          <w:rFonts w:hint="eastAsia" w:ascii="仿宋_GB2312" w:hAnsi="仿宋_GB2312" w:eastAsia="仿宋_GB2312" w:cs="仿宋_GB2312"/>
          <w:b w:val="0"/>
          <w:bCs w:val="0"/>
          <w:kern w:val="44"/>
          <w:sz w:val="32"/>
          <w:szCs w:val="32"/>
          <w:highlight w:val="none"/>
        </w:rPr>
        <w:fldChar w:fldCharType="end"/>
      </w:r>
    </w:p>
    <w:p w14:paraId="6EC5B554">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_Toc31781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强化产业基础</w:t>
      </w:r>
      <w:r>
        <w:rPr>
          <w:rFonts w:hint="eastAsia" w:ascii="仿宋_GB2312" w:hAnsi="仿宋_GB2312" w:eastAsia="仿宋_GB2312" w:cs="仿宋_GB2312"/>
          <w:b w:val="0"/>
          <w:bCs w:val="0"/>
          <w:kern w:val="44"/>
          <w:sz w:val="32"/>
          <w:szCs w:val="32"/>
          <w:highlight w:val="none"/>
        </w:rPr>
        <w:fldChar w:fldCharType="end"/>
      </w:r>
    </w:p>
    <w:p w14:paraId="0D9FA796">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_Toc14274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创新园区管理体制机制</w:t>
      </w:r>
      <w:r>
        <w:rPr>
          <w:rFonts w:hint="eastAsia" w:ascii="仿宋_GB2312" w:hAnsi="仿宋_GB2312" w:eastAsia="仿宋_GB2312" w:cs="仿宋_GB2312"/>
          <w:b w:val="0"/>
          <w:bCs w:val="0"/>
          <w:kern w:val="44"/>
          <w:sz w:val="32"/>
          <w:szCs w:val="32"/>
          <w:highlight w:val="none"/>
        </w:rPr>
        <w:fldChar w:fldCharType="end"/>
      </w:r>
    </w:p>
    <w:p w14:paraId="600A4C6D">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_Toc32401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园区空间优化与扩区调区</w:t>
      </w:r>
      <w:r>
        <w:rPr>
          <w:rFonts w:hint="eastAsia" w:ascii="仿宋_GB2312" w:hAnsi="仿宋_GB2312" w:eastAsia="仿宋_GB2312" w:cs="仿宋_GB2312"/>
          <w:b w:val="0"/>
          <w:bCs w:val="0"/>
          <w:kern w:val="44"/>
          <w:sz w:val="32"/>
          <w:szCs w:val="32"/>
          <w:highlight w:val="none"/>
        </w:rPr>
        <w:fldChar w:fldCharType="end"/>
      </w:r>
    </w:p>
    <w:p w14:paraId="1B671143">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_Toc8889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第三章  营造一流营商环境</w:t>
      </w:r>
      <w:r>
        <w:rPr>
          <w:rFonts w:hint="eastAsia" w:ascii="仿宋_GB2312" w:hAnsi="仿宋_GB2312" w:eastAsia="仿宋_GB2312" w:cs="仿宋_GB2312"/>
          <w:b w:val="0"/>
          <w:bCs w:val="0"/>
          <w:kern w:val="44"/>
          <w:sz w:val="32"/>
          <w:szCs w:val="32"/>
          <w:highlight w:val="none"/>
        </w:rPr>
        <w:fldChar w:fldCharType="end"/>
      </w:r>
    </w:p>
    <w:p w14:paraId="77EB5CC3">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_Toc31248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优化政务服务</w:t>
      </w:r>
      <w:r>
        <w:rPr>
          <w:rFonts w:hint="eastAsia" w:ascii="仿宋_GB2312" w:hAnsi="仿宋_GB2312" w:eastAsia="仿宋_GB2312" w:cs="仿宋_GB2312"/>
          <w:b w:val="0"/>
          <w:bCs w:val="0"/>
          <w:kern w:val="44"/>
          <w:sz w:val="32"/>
          <w:szCs w:val="32"/>
          <w:highlight w:val="none"/>
        </w:rPr>
        <w:fldChar w:fldCharType="end"/>
      </w:r>
    </w:p>
    <w:p w14:paraId="09E28EEA">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_Toc22467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规范涉企执法行为</w:t>
      </w:r>
      <w:r>
        <w:rPr>
          <w:rFonts w:hint="eastAsia" w:ascii="仿宋_GB2312" w:hAnsi="仿宋_GB2312" w:eastAsia="仿宋_GB2312" w:cs="仿宋_GB2312"/>
          <w:b w:val="0"/>
          <w:bCs w:val="0"/>
          <w:kern w:val="44"/>
          <w:sz w:val="32"/>
          <w:szCs w:val="32"/>
          <w:highlight w:val="none"/>
        </w:rPr>
        <w:fldChar w:fldCharType="end"/>
      </w:r>
    </w:p>
    <w:p w14:paraId="62CD2BFC">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_Toc18223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构建亲清政商关系</w:t>
      </w:r>
      <w:r>
        <w:rPr>
          <w:rFonts w:hint="eastAsia" w:ascii="仿宋_GB2312" w:hAnsi="仿宋_GB2312" w:eastAsia="仿宋_GB2312" w:cs="仿宋_GB2312"/>
          <w:b w:val="0"/>
          <w:bCs w:val="0"/>
          <w:kern w:val="44"/>
          <w:sz w:val="32"/>
          <w:szCs w:val="32"/>
          <w:highlight w:val="none"/>
        </w:rPr>
        <w:fldChar w:fldCharType="end"/>
      </w:r>
    </w:p>
    <w:p w14:paraId="179EB22C">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_Toc1103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第四章  健全经济治理体系</w:t>
      </w:r>
      <w:r>
        <w:rPr>
          <w:rFonts w:hint="eastAsia" w:ascii="仿宋_GB2312" w:hAnsi="仿宋_GB2312" w:eastAsia="仿宋_GB2312" w:cs="仿宋_GB2312"/>
          <w:b w:val="0"/>
          <w:bCs w:val="0"/>
          <w:kern w:val="44"/>
          <w:sz w:val="32"/>
          <w:szCs w:val="32"/>
          <w:highlight w:val="none"/>
        </w:rPr>
        <w:fldChar w:fldCharType="end"/>
      </w:r>
    </w:p>
    <w:p w14:paraId="17F83E4F">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_Toc31735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完善区级宏观调控体系</w:t>
      </w:r>
      <w:r>
        <w:rPr>
          <w:rFonts w:hint="eastAsia" w:ascii="仿宋_GB2312" w:hAnsi="仿宋_GB2312" w:eastAsia="仿宋_GB2312" w:cs="仿宋_GB2312"/>
          <w:b w:val="0"/>
          <w:bCs w:val="0"/>
          <w:kern w:val="44"/>
          <w:sz w:val="32"/>
          <w:szCs w:val="32"/>
          <w:highlight w:val="none"/>
        </w:rPr>
        <w:fldChar w:fldCharType="end"/>
      </w:r>
    </w:p>
    <w:p w14:paraId="15394A7D">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_Toc21590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深化财税体制改革</w:t>
      </w:r>
      <w:r>
        <w:rPr>
          <w:rFonts w:hint="eastAsia" w:ascii="仿宋_GB2312" w:hAnsi="仿宋_GB2312" w:eastAsia="仿宋_GB2312" w:cs="仿宋_GB2312"/>
          <w:b w:val="0"/>
          <w:bCs w:val="0"/>
          <w:kern w:val="44"/>
          <w:sz w:val="32"/>
          <w:szCs w:val="32"/>
          <w:highlight w:val="none"/>
        </w:rPr>
        <w:fldChar w:fldCharType="end"/>
      </w:r>
    </w:p>
    <w:p w14:paraId="756F6701">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_Toc26598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深化金融体制改革</w:t>
      </w:r>
      <w:r>
        <w:rPr>
          <w:rFonts w:hint="eastAsia" w:ascii="仿宋_GB2312" w:hAnsi="仿宋_GB2312" w:eastAsia="仿宋_GB2312" w:cs="仿宋_GB2312"/>
          <w:b w:val="0"/>
          <w:bCs w:val="0"/>
          <w:kern w:val="44"/>
          <w:sz w:val="32"/>
          <w:szCs w:val="32"/>
          <w:highlight w:val="none"/>
        </w:rPr>
        <w:fldChar w:fldCharType="end"/>
      </w:r>
    </w:p>
    <w:p w14:paraId="45C77750">
      <w:pPr>
        <w:pStyle w:val="30"/>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_Toc1827 </w:instrText>
      </w:r>
      <w:r>
        <w:rPr>
          <w:rFonts w:hint="eastAsia" w:ascii="仿宋_GB2312" w:hAnsi="仿宋_GB2312" w:eastAsia="仿宋_GB2312" w:cs="仿宋_GB2312"/>
          <w:b w:val="0"/>
          <w:bCs w:val="0"/>
          <w:kern w:val="44"/>
          <w:sz w:val="32"/>
          <w:szCs w:val="32"/>
          <w:highlight w:val="none"/>
        </w:rPr>
        <w:fldChar w:fldCharType="separate"/>
      </w:r>
      <w:r>
        <w:rPr>
          <w:rFonts w:hint="eastAsia" w:ascii="方正小标宋简体" w:eastAsia="方正小标宋简体"/>
          <w:b w:val="0"/>
          <w:bCs w:val="0"/>
          <w:sz w:val="32"/>
          <w:szCs w:val="32"/>
          <w:highlight w:val="none"/>
        </w:rPr>
        <w:t>第八篇  提升内外循环能力，打造开放发展新高地</w:t>
      </w:r>
      <w:r>
        <w:rPr>
          <w:rFonts w:hint="eastAsia" w:ascii="仿宋_GB2312" w:hAnsi="仿宋_GB2312" w:eastAsia="仿宋_GB2312" w:cs="仿宋_GB2312"/>
          <w:b w:val="0"/>
          <w:bCs w:val="0"/>
          <w:kern w:val="44"/>
          <w:sz w:val="32"/>
          <w:szCs w:val="32"/>
          <w:highlight w:val="none"/>
        </w:rPr>
        <w:fldChar w:fldCharType="end"/>
      </w:r>
    </w:p>
    <w:p w14:paraId="0C46FE28">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_Toc19407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第一章  落实国家战略节点</w:t>
      </w:r>
      <w:r>
        <w:rPr>
          <w:rFonts w:hint="eastAsia" w:ascii="仿宋_GB2312" w:hAnsi="仿宋_GB2312" w:eastAsia="仿宋_GB2312" w:cs="仿宋_GB2312"/>
          <w:b w:val="0"/>
          <w:bCs w:val="0"/>
          <w:kern w:val="44"/>
          <w:sz w:val="32"/>
          <w:szCs w:val="32"/>
          <w:highlight w:val="none"/>
        </w:rPr>
        <w:fldChar w:fldCharType="end"/>
      </w:r>
    </w:p>
    <w:p w14:paraId="7417510E">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_Toc17932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深化跨区域产业链协作</w:t>
      </w:r>
      <w:r>
        <w:rPr>
          <w:rFonts w:hint="eastAsia" w:ascii="仿宋_GB2312" w:hAnsi="仿宋_GB2312" w:eastAsia="仿宋_GB2312" w:cs="仿宋_GB2312"/>
          <w:b w:val="0"/>
          <w:bCs w:val="0"/>
          <w:kern w:val="44"/>
          <w:sz w:val="32"/>
          <w:szCs w:val="32"/>
          <w:highlight w:val="none"/>
        </w:rPr>
        <w:fldChar w:fldCharType="end"/>
      </w:r>
    </w:p>
    <w:p w14:paraId="47EB3FA0">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_Toc12355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强化跨区域创新协同</w:t>
      </w:r>
      <w:r>
        <w:rPr>
          <w:rFonts w:hint="eastAsia" w:ascii="仿宋_GB2312" w:hAnsi="仿宋_GB2312" w:eastAsia="仿宋_GB2312" w:cs="仿宋_GB2312"/>
          <w:b w:val="0"/>
          <w:bCs w:val="0"/>
          <w:kern w:val="44"/>
          <w:sz w:val="32"/>
          <w:szCs w:val="32"/>
          <w:highlight w:val="none"/>
        </w:rPr>
        <w:fldChar w:fldCharType="end"/>
      </w:r>
    </w:p>
    <w:p w14:paraId="4E6ADD18">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_Toc4549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推动跨区域贸易及文旅联动</w:t>
      </w:r>
      <w:r>
        <w:rPr>
          <w:rFonts w:hint="eastAsia" w:ascii="仿宋_GB2312" w:hAnsi="仿宋_GB2312" w:eastAsia="仿宋_GB2312" w:cs="仿宋_GB2312"/>
          <w:b w:val="0"/>
          <w:bCs w:val="0"/>
          <w:kern w:val="44"/>
          <w:sz w:val="32"/>
          <w:szCs w:val="32"/>
          <w:highlight w:val="none"/>
        </w:rPr>
        <w:fldChar w:fldCharType="end"/>
      </w:r>
    </w:p>
    <w:p w14:paraId="2BE42F0A">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_Toc904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第二章  强化省域跨区协同</w:t>
      </w:r>
      <w:r>
        <w:rPr>
          <w:rFonts w:hint="eastAsia" w:ascii="仿宋_GB2312" w:hAnsi="仿宋_GB2312" w:eastAsia="仿宋_GB2312" w:cs="仿宋_GB2312"/>
          <w:b w:val="0"/>
          <w:bCs w:val="0"/>
          <w:kern w:val="44"/>
          <w:sz w:val="32"/>
          <w:szCs w:val="32"/>
          <w:highlight w:val="none"/>
        </w:rPr>
        <w:fldChar w:fldCharType="end"/>
      </w:r>
    </w:p>
    <w:p w14:paraId="79FD5D86">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_Toc25334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积极嵌入南昌与景德镇发展框架</w:t>
      </w:r>
      <w:r>
        <w:rPr>
          <w:rFonts w:hint="eastAsia" w:ascii="仿宋_GB2312" w:hAnsi="仿宋_GB2312" w:eastAsia="仿宋_GB2312" w:cs="仿宋_GB2312"/>
          <w:b w:val="0"/>
          <w:bCs w:val="0"/>
          <w:kern w:val="44"/>
          <w:sz w:val="32"/>
          <w:szCs w:val="32"/>
          <w:highlight w:val="none"/>
        </w:rPr>
        <w:fldChar w:fldCharType="end"/>
      </w:r>
    </w:p>
    <w:p w14:paraId="4BC25BFD">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_Toc18550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主动融入赣东北协同发展</w:t>
      </w:r>
      <w:r>
        <w:rPr>
          <w:rFonts w:hint="eastAsia" w:ascii="仿宋_GB2312" w:hAnsi="仿宋_GB2312" w:eastAsia="仿宋_GB2312" w:cs="仿宋_GB2312"/>
          <w:b w:val="0"/>
          <w:bCs w:val="0"/>
          <w:kern w:val="44"/>
          <w:sz w:val="32"/>
          <w:szCs w:val="32"/>
          <w:highlight w:val="none"/>
        </w:rPr>
        <w:fldChar w:fldCharType="end"/>
      </w:r>
    </w:p>
    <w:p w14:paraId="45BA75E1">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_Toc26512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第三章  拓展市域合作建设</w:t>
      </w:r>
      <w:r>
        <w:rPr>
          <w:rFonts w:hint="eastAsia" w:ascii="仿宋_GB2312" w:hAnsi="仿宋_GB2312" w:eastAsia="仿宋_GB2312" w:cs="仿宋_GB2312"/>
          <w:b w:val="0"/>
          <w:bCs w:val="0"/>
          <w:kern w:val="44"/>
          <w:sz w:val="32"/>
          <w:szCs w:val="32"/>
          <w:highlight w:val="none"/>
        </w:rPr>
        <w:fldChar w:fldCharType="end"/>
      </w:r>
    </w:p>
    <w:p w14:paraId="7CE7E21D">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_Toc14805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积极推动形成“千年瓷都”发展合力</w:t>
      </w:r>
      <w:r>
        <w:rPr>
          <w:rFonts w:hint="eastAsia" w:ascii="仿宋_GB2312" w:hAnsi="仿宋_GB2312" w:eastAsia="仿宋_GB2312" w:cs="仿宋_GB2312"/>
          <w:b w:val="0"/>
          <w:bCs w:val="0"/>
          <w:kern w:val="44"/>
          <w:sz w:val="32"/>
          <w:szCs w:val="32"/>
          <w:highlight w:val="none"/>
        </w:rPr>
        <w:fldChar w:fldCharType="end"/>
      </w:r>
    </w:p>
    <w:p w14:paraId="4D9229CD">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_Toc19562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大力推进中心城区一体化</w:t>
      </w:r>
      <w:r>
        <w:rPr>
          <w:rFonts w:hint="eastAsia" w:ascii="仿宋_GB2312" w:hAnsi="仿宋_GB2312" w:eastAsia="仿宋_GB2312" w:cs="仿宋_GB2312"/>
          <w:b w:val="0"/>
          <w:bCs w:val="0"/>
          <w:kern w:val="44"/>
          <w:sz w:val="32"/>
          <w:szCs w:val="32"/>
          <w:highlight w:val="none"/>
        </w:rPr>
        <w:fldChar w:fldCharType="end"/>
      </w:r>
    </w:p>
    <w:p w14:paraId="289C5440">
      <w:pPr>
        <w:pStyle w:val="30"/>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_Toc28914 </w:instrText>
      </w:r>
      <w:r>
        <w:rPr>
          <w:rFonts w:hint="eastAsia" w:ascii="仿宋_GB2312" w:hAnsi="仿宋_GB2312" w:eastAsia="仿宋_GB2312" w:cs="仿宋_GB2312"/>
          <w:b w:val="0"/>
          <w:bCs w:val="0"/>
          <w:kern w:val="44"/>
          <w:sz w:val="32"/>
          <w:szCs w:val="32"/>
          <w:highlight w:val="none"/>
        </w:rPr>
        <w:fldChar w:fldCharType="separate"/>
      </w:r>
      <w:r>
        <w:rPr>
          <w:rFonts w:hint="eastAsia" w:ascii="方正小标宋简体" w:eastAsia="方正小标宋简体"/>
          <w:b w:val="0"/>
          <w:bCs w:val="0"/>
          <w:sz w:val="32"/>
          <w:szCs w:val="32"/>
          <w:highlight w:val="none"/>
        </w:rPr>
        <w:t>第九篇  深入推进农业现代化，打造乡村振兴新格局</w:t>
      </w:r>
      <w:r>
        <w:rPr>
          <w:rFonts w:hint="eastAsia" w:ascii="仿宋_GB2312" w:hAnsi="仿宋_GB2312" w:eastAsia="仿宋_GB2312" w:cs="仿宋_GB2312"/>
          <w:b w:val="0"/>
          <w:bCs w:val="0"/>
          <w:kern w:val="44"/>
          <w:sz w:val="32"/>
          <w:szCs w:val="32"/>
          <w:highlight w:val="none"/>
        </w:rPr>
        <w:fldChar w:fldCharType="end"/>
      </w:r>
    </w:p>
    <w:p w14:paraId="36101767">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_Toc17720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第一章  深入践行大农业观</w:t>
      </w:r>
      <w:r>
        <w:rPr>
          <w:rFonts w:hint="eastAsia" w:ascii="仿宋_GB2312" w:hAnsi="仿宋_GB2312" w:eastAsia="仿宋_GB2312" w:cs="仿宋_GB2312"/>
          <w:b w:val="0"/>
          <w:bCs w:val="0"/>
          <w:kern w:val="44"/>
          <w:sz w:val="32"/>
          <w:szCs w:val="32"/>
          <w:highlight w:val="none"/>
        </w:rPr>
        <w:fldChar w:fldCharType="end"/>
      </w:r>
    </w:p>
    <w:p w14:paraId="4636AE16">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_Toc16059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提升农产品生产能力</w:t>
      </w:r>
      <w:r>
        <w:rPr>
          <w:rFonts w:hint="eastAsia" w:ascii="仿宋_GB2312" w:hAnsi="仿宋_GB2312" w:eastAsia="仿宋_GB2312" w:cs="仿宋_GB2312"/>
          <w:b w:val="0"/>
          <w:bCs w:val="0"/>
          <w:kern w:val="44"/>
          <w:sz w:val="32"/>
          <w:szCs w:val="32"/>
          <w:highlight w:val="none"/>
        </w:rPr>
        <w:fldChar w:fldCharType="end"/>
      </w:r>
    </w:p>
    <w:p w14:paraId="1D626BD5">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_Toc13727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增强农产品加工能力</w:t>
      </w:r>
      <w:r>
        <w:rPr>
          <w:rFonts w:hint="eastAsia" w:ascii="仿宋_GB2312" w:hAnsi="仿宋_GB2312" w:eastAsia="仿宋_GB2312" w:cs="仿宋_GB2312"/>
          <w:b w:val="0"/>
          <w:bCs w:val="0"/>
          <w:kern w:val="44"/>
          <w:sz w:val="32"/>
          <w:szCs w:val="32"/>
          <w:highlight w:val="none"/>
        </w:rPr>
        <w:fldChar w:fldCharType="end"/>
      </w:r>
    </w:p>
    <w:p w14:paraId="63D0E7E9">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_Toc4451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培育特色名优“土特产”品牌</w:t>
      </w:r>
      <w:r>
        <w:rPr>
          <w:rFonts w:hint="eastAsia" w:ascii="仿宋_GB2312" w:hAnsi="仿宋_GB2312" w:eastAsia="仿宋_GB2312" w:cs="仿宋_GB2312"/>
          <w:b w:val="0"/>
          <w:bCs w:val="0"/>
          <w:kern w:val="44"/>
          <w:sz w:val="32"/>
          <w:szCs w:val="32"/>
          <w:highlight w:val="none"/>
        </w:rPr>
        <w:fldChar w:fldCharType="end"/>
      </w:r>
    </w:p>
    <w:p w14:paraId="0350BDDA">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_Toc29456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第四节  完善冷链物流体系</w:t>
      </w:r>
      <w:r>
        <w:rPr>
          <w:rFonts w:hint="eastAsia" w:ascii="仿宋_GB2312" w:hAnsi="仿宋_GB2312" w:eastAsia="仿宋_GB2312" w:cs="仿宋_GB2312"/>
          <w:b w:val="0"/>
          <w:bCs w:val="0"/>
          <w:kern w:val="44"/>
          <w:sz w:val="32"/>
          <w:szCs w:val="32"/>
          <w:highlight w:val="none"/>
        </w:rPr>
        <w:fldChar w:fldCharType="end"/>
      </w:r>
    </w:p>
    <w:p w14:paraId="5219B437">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_Toc7565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第二章  建设和美乡村</w:t>
      </w:r>
      <w:r>
        <w:rPr>
          <w:rFonts w:hint="eastAsia" w:ascii="仿宋_GB2312" w:hAnsi="仿宋_GB2312" w:eastAsia="仿宋_GB2312" w:cs="仿宋_GB2312"/>
          <w:b w:val="0"/>
          <w:bCs w:val="0"/>
          <w:kern w:val="44"/>
          <w:sz w:val="32"/>
          <w:szCs w:val="32"/>
          <w:highlight w:val="none"/>
        </w:rPr>
        <w:fldChar w:fldCharType="end"/>
      </w:r>
    </w:p>
    <w:p w14:paraId="289A2F32">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_Toc25654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提升乡村治理效能</w:t>
      </w:r>
      <w:r>
        <w:rPr>
          <w:rFonts w:hint="eastAsia" w:ascii="仿宋_GB2312" w:hAnsi="仿宋_GB2312" w:eastAsia="仿宋_GB2312" w:cs="仿宋_GB2312"/>
          <w:b w:val="0"/>
          <w:bCs w:val="0"/>
          <w:kern w:val="44"/>
          <w:sz w:val="32"/>
          <w:szCs w:val="32"/>
          <w:highlight w:val="none"/>
        </w:rPr>
        <w:fldChar w:fldCharType="end"/>
      </w:r>
    </w:p>
    <w:p w14:paraId="193AD179">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_Toc24526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优化生态宜居环境</w:t>
      </w:r>
      <w:r>
        <w:rPr>
          <w:rFonts w:hint="eastAsia" w:ascii="仿宋_GB2312" w:hAnsi="仿宋_GB2312" w:eastAsia="仿宋_GB2312" w:cs="仿宋_GB2312"/>
          <w:b w:val="0"/>
          <w:bCs w:val="0"/>
          <w:kern w:val="44"/>
          <w:sz w:val="32"/>
          <w:szCs w:val="32"/>
          <w:highlight w:val="none"/>
        </w:rPr>
        <w:fldChar w:fldCharType="end"/>
      </w:r>
    </w:p>
    <w:p w14:paraId="159E526A">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_Toc22659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弘扬文明乡风</w:t>
      </w:r>
      <w:r>
        <w:rPr>
          <w:rFonts w:hint="eastAsia" w:ascii="仿宋_GB2312" w:hAnsi="仿宋_GB2312" w:eastAsia="仿宋_GB2312" w:cs="仿宋_GB2312"/>
          <w:b w:val="0"/>
          <w:bCs w:val="0"/>
          <w:kern w:val="44"/>
          <w:sz w:val="32"/>
          <w:szCs w:val="32"/>
          <w:highlight w:val="none"/>
        </w:rPr>
        <w:fldChar w:fldCharType="end"/>
      </w:r>
    </w:p>
    <w:p w14:paraId="10C0CB62">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_Toc23899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第四节  完善公共服务设施</w:t>
      </w:r>
      <w:r>
        <w:rPr>
          <w:rFonts w:hint="eastAsia" w:ascii="仿宋_GB2312" w:hAnsi="仿宋_GB2312" w:eastAsia="仿宋_GB2312" w:cs="仿宋_GB2312"/>
          <w:b w:val="0"/>
          <w:bCs w:val="0"/>
          <w:kern w:val="44"/>
          <w:sz w:val="32"/>
          <w:szCs w:val="32"/>
          <w:highlight w:val="none"/>
        </w:rPr>
        <w:fldChar w:fldCharType="end"/>
      </w:r>
    </w:p>
    <w:p w14:paraId="14C46F6B">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_Toc11678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第三章  提升强农惠农富农政策效能</w:t>
      </w:r>
      <w:r>
        <w:rPr>
          <w:rFonts w:hint="eastAsia" w:ascii="仿宋_GB2312" w:hAnsi="仿宋_GB2312" w:eastAsia="仿宋_GB2312" w:cs="仿宋_GB2312"/>
          <w:b w:val="0"/>
          <w:bCs w:val="0"/>
          <w:kern w:val="44"/>
          <w:sz w:val="32"/>
          <w:szCs w:val="32"/>
          <w:highlight w:val="none"/>
        </w:rPr>
        <w:fldChar w:fldCharType="end"/>
      </w:r>
    </w:p>
    <w:p w14:paraId="26C4799D">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_Toc30093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完善投入保障机制</w:t>
      </w:r>
      <w:r>
        <w:rPr>
          <w:rFonts w:hint="eastAsia" w:ascii="仿宋_GB2312" w:hAnsi="仿宋_GB2312" w:eastAsia="仿宋_GB2312" w:cs="仿宋_GB2312"/>
          <w:b w:val="0"/>
          <w:bCs w:val="0"/>
          <w:kern w:val="44"/>
          <w:sz w:val="32"/>
          <w:szCs w:val="32"/>
          <w:highlight w:val="none"/>
        </w:rPr>
        <w:fldChar w:fldCharType="end"/>
      </w:r>
    </w:p>
    <w:p w14:paraId="32BE0892">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_Toc23308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推动集体经济发展</w:t>
      </w:r>
      <w:r>
        <w:rPr>
          <w:rFonts w:hint="eastAsia" w:ascii="仿宋_GB2312" w:hAnsi="仿宋_GB2312" w:eastAsia="仿宋_GB2312" w:cs="仿宋_GB2312"/>
          <w:b w:val="0"/>
          <w:bCs w:val="0"/>
          <w:kern w:val="44"/>
          <w:sz w:val="32"/>
          <w:szCs w:val="32"/>
          <w:highlight w:val="none"/>
        </w:rPr>
        <w:fldChar w:fldCharType="end"/>
      </w:r>
    </w:p>
    <w:p w14:paraId="38DE1F3F">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_Toc29535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强化乡村人才培育</w:t>
      </w:r>
      <w:r>
        <w:rPr>
          <w:rFonts w:hint="eastAsia" w:ascii="仿宋_GB2312" w:hAnsi="仿宋_GB2312" w:eastAsia="仿宋_GB2312" w:cs="仿宋_GB2312"/>
          <w:b w:val="0"/>
          <w:bCs w:val="0"/>
          <w:kern w:val="44"/>
          <w:sz w:val="32"/>
          <w:szCs w:val="32"/>
          <w:highlight w:val="none"/>
        </w:rPr>
        <w:fldChar w:fldCharType="end"/>
      </w:r>
    </w:p>
    <w:p w14:paraId="2AE11762">
      <w:pPr>
        <w:pStyle w:val="30"/>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_Toc23472 </w:instrText>
      </w:r>
      <w:r>
        <w:rPr>
          <w:rFonts w:hint="eastAsia" w:ascii="仿宋_GB2312" w:hAnsi="仿宋_GB2312" w:eastAsia="仿宋_GB2312" w:cs="仿宋_GB2312"/>
          <w:b w:val="0"/>
          <w:bCs w:val="0"/>
          <w:kern w:val="44"/>
          <w:sz w:val="32"/>
          <w:szCs w:val="32"/>
          <w:highlight w:val="none"/>
        </w:rPr>
        <w:fldChar w:fldCharType="separate"/>
      </w:r>
      <w:r>
        <w:rPr>
          <w:rFonts w:hint="eastAsia" w:ascii="方正小标宋简体" w:eastAsia="方正小标宋简体"/>
          <w:b w:val="0"/>
          <w:bCs w:val="0"/>
          <w:sz w:val="32"/>
          <w:szCs w:val="32"/>
          <w:highlight w:val="none"/>
        </w:rPr>
        <w:t>第十篇  优化区域发展格局，推进城乡融合协调</w:t>
      </w:r>
      <w:r>
        <w:rPr>
          <w:rFonts w:hint="eastAsia" w:ascii="仿宋_GB2312" w:hAnsi="仿宋_GB2312" w:eastAsia="仿宋_GB2312" w:cs="仿宋_GB2312"/>
          <w:b w:val="0"/>
          <w:bCs w:val="0"/>
          <w:kern w:val="44"/>
          <w:sz w:val="32"/>
          <w:szCs w:val="32"/>
          <w:highlight w:val="none"/>
        </w:rPr>
        <w:fldChar w:fldCharType="end"/>
      </w:r>
    </w:p>
    <w:p w14:paraId="1AD350E1">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_Toc22494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第一章  优化区域功能布局</w:t>
      </w:r>
      <w:r>
        <w:rPr>
          <w:rFonts w:hint="eastAsia" w:ascii="仿宋_GB2312" w:hAnsi="仿宋_GB2312" w:eastAsia="仿宋_GB2312" w:cs="仿宋_GB2312"/>
          <w:b w:val="0"/>
          <w:bCs w:val="0"/>
          <w:kern w:val="44"/>
          <w:sz w:val="32"/>
          <w:szCs w:val="32"/>
          <w:highlight w:val="none"/>
        </w:rPr>
        <w:fldChar w:fldCharType="end"/>
      </w:r>
    </w:p>
    <w:p w14:paraId="31F3CF7A">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_Toc4968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构建“一核两轴三组团”总体发展格局</w:t>
      </w:r>
      <w:r>
        <w:rPr>
          <w:rFonts w:hint="eastAsia" w:ascii="仿宋_GB2312" w:hAnsi="仿宋_GB2312" w:eastAsia="仿宋_GB2312" w:cs="仿宋_GB2312"/>
          <w:b w:val="0"/>
          <w:bCs w:val="0"/>
          <w:kern w:val="44"/>
          <w:sz w:val="32"/>
          <w:szCs w:val="32"/>
          <w:highlight w:val="none"/>
        </w:rPr>
        <w:fldChar w:fldCharType="end"/>
      </w:r>
    </w:p>
    <w:p w14:paraId="465B589F">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_Toc20561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落实主体功能区要求</w:t>
      </w:r>
      <w:r>
        <w:rPr>
          <w:rFonts w:hint="eastAsia" w:ascii="仿宋_GB2312" w:hAnsi="仿宋_GB2312" w:eastAsia="仿宋_GB2312" w:cs="仿宋_GB2312"/>
          <w:b w:val="0"/>
          <w:bCs w:val="0"/>
          <w:kern w:val="44"/>
          <w:sz w:val="32"/>
          <w:szCs w:val="32"/>
          <w:highlight w:val="none"/>
        </w:rPr>
        <w:fldChar w:fldCharType="end"/>
      </w:r>
    </w:p>
    <w:p w14:paraId="0FC84E0F">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_Toc30345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加快推进城镇化地区建设</w:t>
      </w:r>
      <w:r>
        <w:rPr>
          <w:rFonts w:hint="eastAsia" w:ascii="仿宋_GB2312" w:hAnsi="仿宋_GB2312" w:eastAsia="仿宋_GB2312" w:cs="仿宋_GB2312"/>
          <w:b w:val="0"/>
          <w:bCs w:val="0"/>
          <w:kern w:val="44"/>
          <w:sz w:val="32"/>
          <w:szCs w:val="32"/>
          <w:highlight w:val="none"/>
        </w:rPr>
        <w:fldChar w:fldCharType="end"/>
      </w:r>
    </w:p>
    <w:p w14:paraId="2152EC7B">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_Toc29176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第四节  推动城乡融合发展提质增效</w:t>
      </w:r>
      <w:r>
        <w:rPr>
          <w:rFonts w:hint="eastAsia" w:ascii="仿宋_GB2312" w:hAnsi="仿宋_GB2312" w:eastAsia="仿宋_GB2312" w:cs="仿宋_GB2312"/>
          <w:b w:val="0"/>
          <w:bCs w:val="0"/>
          <w:kern w:val="44"/>
          <w:sz w:val="32"/>
          <w:szCs w:val="32"/>
          <w:highlight w:val="none"/>
        </w:rPr>
        <w:fldChar w:fldCharType="end"/>
      </w:r>
    </w:p>
    <w:p w14:paraId="241BA178">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_Toc27539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第二章  深入实施以人为本的新型城镇化战略</w:t>
      </w:r>
      <w:r>
        <w:rPr>
          <w:rFonts w:hint="eastAsia" w:ascii="仿宋_GB2312" w:hAnsi="仿宋_GB2312" w:eastAsia="仿宋_GB2312" w:cs="仿宋_GB2312"/>
          <w:b w:val="0"/>
          <w:bCs w:val="0"/>
          <w:kern w:val="44"/>
          <w:sz w:val="32"/>
          <w:szCs w:val="32"/>
          <w:highlight w:val="none"/>
        </w:rPr>
        <w:fldChar w:fldCharType="end"/>
      </w:r>
    </w:p>
    <w:p w14:paraId="1EC6894C">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_Toc22649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提升城市宜居品质</w:t>
      </w:r>
      <w:r>
        <w:rPr>
          <w:rFonts w:hint="eastAsia" w:ascii="仿宋_GB2312" w:hAnsi="仿宋_GB2312" w:eastAsia="仿宋_GB2312" w:cs="仿宋_GB2312"/>
          <w:b w:val="0"/>
          <w:bCs w:val="0"/>
          <w:kern w:val="44"/>
          <w:sz w:val="32"/>
          <w:szCs w:val="32"/>
          <w:highlight w:val="none"/>
        </w:rPr>
        <w:fldChar w:fldCharType="end"/>
      </w:r>
    </w:p>
    <w:p w14:paraId="1C918BB2">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_Toc27733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推进重点片区更新</w:t>
      </w:r>
      <w:r>
        <w:rPr>
          <w:rFonts w:hint="eastAsia" w:ascii="仿宋_GB2312" w:hAnsi="仿宋_GB2312" w:eastAsia="仿宋_GB2312" w:cs="仿宋_GB2312"/>
          <w:b w:val="0"/>
          <w:bCs w:val="0"/>
          <w:kern w:val="44"/>
          <w:sz w:val="32"/>
          <w:szCs w:val="32"/>
          <w:highlight w:val="none"/>
        </w:rPr>
        <w:fldChar w:fldCharType="end"/>
      </w:r>
    </w:p>
    <w:p w14:paraId="5600995E">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_Toc10761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推动农业转移人口市民化</w:t>
      </w:r>
      <w:r>
        <w:rPr>
          <w:rFonts w:hint="eastAsia" w:ascii="仿宋_GB2312" w:hAnsi="仿宋_GB2312" w:eastAsia="仿宋_GB2312" w:cs="仿宋_GB2312"/>
          <w:b w:val="0"/>
          <w:bCs w:val="0"/>
          <w:kern w:val="44"/>
          <w:sz w:val="32"/>
          <w:szCs w:val="32"/>
          <w:highlight w:val="none"/>
        </w:rPr>
        <w:fldChar w:fldCharType="end"/>
      </w:r>
    </w:p>
    <w:p w14:paraId="33814B22">
      <w:pPr>
        <w:pStyle w:val="30"/>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_Toc10821 </w:instrText>
      </w:r>
      <w:r>
        <w:rPr>
          <w:rFonts w:hint="eastAsia" w:ascii="仿宋_GB2312" w:hAnsi="仿宋_GB2312" w:eastAsia="仿宋_GB2312" w:cs="仿宋_GB2312"/>
          <w:b w:val="0"/>
          <w:bCs w:val="0"/>
          <w:kern w:val="44"/>
          <w:sz w:val="32"/>
          <w:szCs w:val="32"/>
          <w:highlight w:val="none"/>
        </w:rPr>
        <w:fldChar w:fldCharType="separate"/>
      </w:r>
      <w:r>
        <w:rPr>
          <w:rFonts w:hint="eastAsia" w:ascii="方正小标宋简体" w:eastAsia="方正小标宋简体"/>
          <w:b w:val="0"/>
          <w:bCs w:val="0"/>
          <w:sz w:val="32"/>
          <w:szCs w:val="32"/>
          <w:highlight w:val="none"/>
        </w:rPr>
        <w:t>第十一篇  深化绿色低碳转型，筑牢永续发展生态根基</w:t>
      </w:r>
      <w:r>
        <w:rPr>
          <w:rFonts w:hint="eastAsia" w:ascii="仿宋_GB2312" w:hAnsi="仿宋_GB2312" w:eastAsia="仿宋_GB2312" w:cs="仿宋_GB2312"/>
          <w:b w:val="0"/>
          <w:bCs w:val="0"/>
          <w:kern w:val="44"/>
          <w:sz w:val="32"/>
          <w:szCs w:val="32"/>
          <w:highlight w:val="none"/>
        </w:rPr>
        <w:fldChar w:fldCharType="end"/>
      </w:r>
    </w:p>
    <w:p w14:paraId="4A2FB7A6">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_Toc19957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第一章  巩固提升生态环境质量</w:t>
      </w:r>
      <w:r>
        <w:rPr>
          <w:rFonts w:hint="eastAsia" w:ascii="仿宋_GB2312" w:hAnsi="仿宋_GB2312" w:eastAsia="仿宋_GB2312" w:cs="仿宋_GB2312"/>
          <w:b w:val="0"/>
          <w:bCs w:val="0"/>
          <w:kern w:val="44"/>
          <w:sz w:val="32"/>
          <w:szCs w:val="32"/>
          <w:highlight w:val="none"/>
        </w:rPr>
        <w:fldChar w:fldCharType="end"/>
      </w:r>
    </w:p>
    <w:p w14:paraId="1A165D6C">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_Toc17514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深化重点领域污染防治</w:t>
      </w:r>
      <w:r>
        <w:rPr>
          <w:rFonts w:hint="eastAsia" w:ascii="仿宋_GB2312" w:hAnsi="仿宋_GB2312" w:eastAsia="仿宋_GB2312" w:cs="仿宋_GB2312"/>
          <w:b w:val="0"/>
          <w:bCs w:val="0"/>
          <w:kern w:val="44"/>
          <w:sz w:val="32"/>
          <w:szCs w:val="32"/>
          <w:highlight w:val="none"/>
        </w:rPr>
        <w:fldChar w:fldCharType="end"/>
      </w:r>
    </w:p>
    <w:p w14:paraId="3B1CF9A6">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_Toc4206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加强固废与新污染物治理</w:t>
      </w:r>
      <w:r>
        <w:rPr>
          <w:rFonts w:hint="eastAsia" w:ascii="仿宋_GB2312" w:hAnsi="仿宋_GB2312" w:eastAsia="仿宋_GB2312" w:cs="仿宋_GB2312"/>
          <w:b w:val="0"/>
          <w:bCs w:val="0"/>
          <w:kern w:val="44"/>
          <w:sz w:val="32"/>
          <w:szCs w:val="32"/>
          <w:highlight w:val="none"/>
        </w:rPr>
        <w:fldChar w:fldCharType="end"/>
      </w:r>
    </w:p>
    <w:p w14:paraId="08EFE909">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_Toc25192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构建现代环境治理体系</w:t>
      </w:r>
      <w:r>
        <w:rPr>
          <w:rFonts w:hint="eastAsia" w:ascii="仿宋_GB2312" w:hAnsi="仿宋_GB2312" w:eastAsia="仿宋_GB2312" w:cs="仿宋_GB2312"/>
          <w:b w:val="0"/>
          <w:bCs w:val="0"/>
          <w:kern w:val="44"/>
          <w:sz w:val="32"/>
          <w:szCs w:val="32"/>
          <w:highlight w:val="none"/>
        </w:rPr>
        <w:fldChar w:fldCharType="end"/>
      </w:r>
    </w:p>
    <w:p w14:paraId="4CF9876F">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_Toc15833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第二章  提升生态系统韧性</w:t>
      </w:r>
      <w:r>
        <w:rPr>
          <w:rFonts w:hint="eastAsia" w:ascii="仿宋_GB2312" w:hAnsi="仿宋_GB2312" w:eastAsia="仿宋_GB2312" w:cs="仿宋_GB2312"/>
          <w:b w:val="0"/>
          <w:bCs w:val="0"/>
          <w:kern w:val="44"/>
          <w:sz w:val="32"/>
          <w:szCs w:val="32"/>
          <w:highlight w:val="none"/>
        </w:rPr>
        <w:fldChar w:fldCharType="end"/>
      </w:r>
    </w:p>
    <w:p w14:paraId="7122C376">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_Toc7452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构建韧性水生态网络</w:t>
      </w:r>
      <w:r>
        <w:rPr>
          <w:rFonts w:hint="eastAsia" w:ascii="仿宋_GB2312" w:hAnsi="仿宋_GB2312" w:eastAsia="仿宋_GB2312" w:cs="仿宋_GB2312"/>
          <w:b w:val="0"/>
          <w:bCs w:val="0"/>
          <w:kern w:val="44"/>
          <w:sz w:val="32"/>
          <w:szCs w:val="32"/>
          <w:highlight w:val="none"/>
        </w:rPr>
        <w:fldChar w:fldCharType="end"/>
      </w:r>
    </w:p>
    <w:p w14:paraId="693201AC">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_Toc14717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筑牢森林生态安全屏障</w:t>
      </w:r>
      <w:r>
        <w:rPr>
          <w:rFonts w:hint="eastAsia" w:ascii="仿宋_GB2312" w:hAnsi="仿宋_GB2312" w:eastAsia="仿宋_GB2312" w:cs="仿宋_GB2312"/>
          <w:b w:val="0"/>
          <w:bCs w:val="0"/>
          <w:kern w:val="44"/>
          <w:sz w:val="32"/>
          <w:szCs w:val="32"/>
          <w:highlight w:val="none"/>
        </w:rPr>
        <w:fldChar w:fldCharType="end"/>
      </w:r>
    </w:p>
    <w:p w14:paraId="472D56AC">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_Toc18699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健全生态产品价值实现机制</w:t>
      </w:r>
      <w:r>
        <w:rPr>
          <w:rFonts w:hint="eastAsia" w:ascii="仿宋_GB2312" w:hAnsi="仿宋_GB2312" w:eastAsia="仿宋_GB2312" w:cs="仿宋_GB2312"/>
          <w:b w:val="0"/>
          <w:bCs w:val="0"/>
          <w:kern w:val="44"/>
          <w:sz w:val="32"/>
          <w:szCs w:val="32"/>
          <w:highlight w:val="none"/>
        </w:rPr>
        <w:fldChar w:fldCharType="end"/>
      </w:r>
    </w:p>
    <w:p w14:paraId="3C534A9C">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_Toc29380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第三章  加快推动发展方式绿色转型</w:t>
      </w:r>
      <w:r>
        <w:rPr>
          <w:rFonts w:hint="eastAsia" w:ascii="仿宋_GB2312" w:hAnsi="仿宋_GB2312" w:eastAsia="仿宋_GB2312" w:cs="仿宋_GB2312"/>
          <w:b w:val="0"/>
          <w:bCs w:val="0"/>
          <w:kern w:val="44"/>
          <w:sz w:val="32"/>
          <w:szCs w:val="32"/>
          <w:highlight w:val="none"/>
        </w:rPr>
        <w:fldChar w:fldCharType="end"/>
      </w:r>
    </w:p>
    <w:p w14:paraId="64197871">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_Toc6430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积极稳妥推进碳达峰碳中和</w:t>
      </w:r>
      <w:r>
        <w:rPr>
          <w:rFonts w:hint="eastAsia" w:ascii="仿宋_GB2312" w:hAnsi="仿宋_GB2312" w:eastAsia="仿宋_GB2312" w:cs="仿宋_GB2312"/>
          <w:b w:val="0"/>
          <w:bCs w:val="0"/>
          <w:kern w:val="44"/>
          <w:sz w:val="32"/>
          <w:szCs w:val="32"/>
          <w:highlight w:val="none"/>
        </w:rPr>
        <w:fldChar w:fldCharType="end"/>
      </w:r>
    </w:p>
    <w:p w14:paraId="7DBB0B4D">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_Toc30063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倡导绿色生产生活方式</w:t>
      </w:r>
      <w:r>
        <w:rPr>
          <w:rFonts w:hint="eastAsia" w:ascii="仿宋_GB2312" w:hAnsi="仿宋_GB2312" w:eastAsia="仿宋_GB2312" w:cs="仿宋_GB2312"/>
          <w:b w:val="0"/>
          <w:bCs w:val="0"/>
          <w:kern w:val="44"/>
          <w:sz w:val="32"/>
          <w:szCs w:val="32"/>
          <w:highlight w:val="none"/>
        </w:rPr>
        <w:fldChar w:fldCharType="end"/>
      </w:r>
    </w:p>
    <w:p w14:paraId="46879DB5">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_Toc29797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完善绿色发展政策体系</w:t>
      </w:r>
      <w:r>
        <w:rPr>
          <w:rFonts w:hint="eastAsia" w:ascii="仿宋_GB2312" w:hAnsi="仿宋_GB2312" w:eastAsia="仿宋_GB2312" w:cs="仿宋_GB2312"/>
          <w:b w:val="0"/>
          <w:bCs w:val="0"/>
          <w:kern w:val="44"/>
          <w:sz w:val="32"/>
          <w:szCs w:val="32"/>
          <w:highlight w:val="none"/>
        </w:rPr>
        <w:fldChar w:fldCharType="end"/>
      </w:r>
    </w:p>
    <w:p w14:paraId="26A9E10A">
      <w:pPr>
        <w:pStyle w:val="30"/>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_Toc27658 </w:instrText>
      </w:r>
      <w:r>
        <w:rPr>
          <w:rFonts w:hint="eastAsia" w:ascii="仿宋_GB2312" w:hAnsi="仿宋_GB2312" w:eastAsia="仿宋_GB2312" w:cs="仿宋_GB2312"/>
          <w:b w:val="0"/>
          <w:bCs w:val="0"/>
          <w:kern w:val="44"/>
          <w:sz w:val="32"/>
          <w:szCs w:val="32"/>
          <w:highlight w:val="none"/>
        </w:rPr>
        <w:fldChar w:fldCharType="separate"/>
      </w:r>
      <w:r>
        <w:rPr>
          <w:rFonts w:hint="eastAsia" w:ascii="方正小标宋简体" w:eastAsia="方正小标宋简体"/>
          <w:b w:val="0"/>
          <w:bCs w:val="0"/>
          <w:sz w:val="32"/>
          <w:szCs w:val="32"/>
          <w:highlight w:val="none"/>
        </w:rPr>
        <w:t>第十二篇  健全公共服务体系，厚植人民幸福根基</w:t>
      </w:r>
      <w:r>
        <w:rPr>
          <w:rFonts w:hint="eastAsia" w:ascii="仿宋_GB2312" w:hAnsi="仿宋_GB2312" w:eastAsia="仿宋_GB2312" w:cs="仿宋_GB2312"/>
          <w:b w:val="0"/>
          <w:bCs w:val="0"/>
          <w:kern w:val="44"/>
          <w:sz w:val="32"/>
          <w:szCs w:val="32"/>
          <w:highlight w:val="none"/>
        </w:rPr>
        <w:fldChar w:fldCharType="end"/>
      </w:r>
    </w:p>
    <w:p w14:paraId="794D3FC9">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_Toc27065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第一章  拓展高质量就业渠道</w:t>
      </w:r>
      <w:r>
        <w:rPr>
          <w:rFonts w:hint="eastAsia" w:ascii="仿宋_GB2312" w:hAnsi="仿宋_GB2312" w:eastAsia="仿宋_GB2312" w:cs="仿宋_GB2312"/>
          <w:b w:val="0"/>
          <w:bCs w:val="0"/>
          <w:kern w:val="44"/>
          <w:sz w:val="32"/>
          <w:szCs w:val="32"/>
          <w:highlight w:val="none"/>
        </w:rPr>
        <w:fldChar w:fldCharType="end"/>
      </w:r>
    </w:p>
    <w:p w14:paraId="11D60CD5">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_Toc8254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促进高质量充分就业</w:t>
      </w:r>
      <w:r>
        <w:rPr>
          <w:rFonts w:hint="eastAsia" w:ascii="仿宋_GB2312" w:hAnsi="仿宋_GB2312" w:eastAsia="仿宋_GB2312" w:cs="仿宋_GB2312"/>
          <w:b w:val="0"/>
          <w:bCs w:val="0"/>
          <w:kern w:val="44"/>
          <w:sz w:val="32"/>
          <w:szCs w:val="32"/>
          <w:highlight w:val="none"/>
        </w:rPr>
        <w:fldChar w:fldCharType="end"/>
      </w:r>
    </w:p>
    <w:p w14:paraId="24E1FA38">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_Toc14500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构建和谐劳动关系</w:t>
      </w:r>
      <w:r>
        <w:rPr>
          <w:rFonts w:hint="eastAsia" w:ascii="仿宋_GB2312" w:hAnsi="仿宋_GB2312" w:eastAsia="仿宋_GB2312" w:cs="仿宋_GB2312"/>
          <w:b w:val="0"/>
          <w:bCs w:val="0"/>
          <w:kern w:val="44"/>
          <w:sz w:val="32"/>
          <w:szCs w:val="32"/>
          <w:highlight w:val="none"/>
        </w:rPr>
        <w:fldChar w:fldCharType="end"/>
      </w:r>
    </w:p>
    <w:p w14:paraId="09BD287D">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_Toc7037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第二章  完善收入分配结构</w:t>
      </w:r>
      <w:r>
        <w:rPr>
          <w:rFonts w:hint="eastAsia" w:ascii="仿宋_GB2312" w:hAnsi="仿宋_GB2312" w:eastAsia="仿宋_GB2312" w:cs="仿宋_GB2312"/>
          <w:b w:val="0"/>
          <w:bCs w:val="0"/>
          <w:kern w:val="44"/>
          <w:sz w:val="32"/>
          <w:szCs w:val="32"/>
          <w:highlight w:val="none"/>
        </w:rPr>
        <w:fldChar w:fldCharType="end"/>
      </w:r>
    </w:p>
    <w:p w14:paraId="15107993">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_Toc16296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积极促进居民增收</w:t>
      </w:r>
      <w:r>
        <w:rPr>
          <w:rFonts w:hint="eastAsia" w:ascii="仿宋_GB2312" w:hAnsi="仿宋_GB2312" w:eastAsia="仿宋_GB2312" w:cs="仿宋_GB2312"/>
          <w:b w:val="0"/>
          <w:bCs w:val="0"/>
          <w:kern w:val="44"/>
          <w:sz w:val="32"/>
          <w:szCs w:val="32"/>
          <w:highlight w:val="none"/>
        </w:rPr>
        <w:fldChar w:fldCharType="end"/>
      </w:r>
    </w:p>
    <w:p w14:paraId="786496AE">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_Toc16011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优化收入分配结构</w:t>
      </w:r>
      <w:r>
        <w:rPr>
          <w:rFonts w:hint="eastAsia" w:ascii="仿宋_GB2312" w:hAnsi="仿宋_GB2312" w:eastAsia="仿宋_GB2312" w:cs="仿宋_GB2312"/>
          <w:b w:val="0"/>
          <w:bCs w:val="0"/>
          <w:kern w:val="44"/>
          <w:sz w:val="32"/>
          <w:szCs w:val="32"/>
          <w:highlight w:val="none"/>
        </w:rPr>
        <w:fldChar w:fldCharType="end"/>
      </w:r>
    </w:p>
    <w:p w14:paraId="27006B4A">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_Toc10813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第三章  优化教育资源布局</w:t>
      </w:r>
      <w:r>
        <w:rPr>
          <w:rFonts w:hint="eastAsia" w:ascii="仿宋_GB2312" w:hAnsi="仿宋_GB2312" w:eastAsia="仿宋_GB2312" w:cs="仿宋_GB2312"/>
          <w:b w:val="0"/>
          <w:bCs w:val="0"/>
          <w:kern w:val="44"/>
          <w:sz w:val="32"/>
          <w:szCs w:val="32"/>
          <w:highlight w:val="none"/>
        </w:rPr>
        <w:fldChar w:fldCharType="end"/>
      </w:r>
    </w:p>
    <w:p w14:paraId="7179DD3A">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_Toc16152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推进基础教育优质均衡发展</w:t>
      </w:r>
      <w:r>
        <w:rPr>
          <w:rFonts w:hint="eastAsia" w:ascii="仿宋_GB2312" w:hAnsi="仿宋_GB2312" w:eastAsia="仿宋_GB2312" w:cs="仿宋_GB2312"/>
          <w:b w:val="0"/>
          <w:bCs w:val="0"/>
          <w:kern w:val="44"/>
          <w:sz w:val="32"/>
          <w:szCs w:val="32"/>
          <w:highlight w:val="none"/>
        </w:rPr>
        <w:fldChar w:fldCharType="end"/>
      </w:r>
    </w:p>
    <w:p w14:paraId="6D2D05A0">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_Toc24043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推进职业教育融合创新发展</w:t>
      </w:r>
      <w:r>
        <w:rPr>
          <w:rFonts w:hint="eastAsia" w:ascii="仿宋_GB2312" w:hAnsi="仿宋_GB2312" w:eastAsia="仿宋_GB2312" w:cs="仿宋_GB2312"/>
          <w:b w:val="0"/>
          <w:bCs w:val="0"/>
          <w:kern w:val="44"/>
          <w:sz w:val="32"/>
          <w:szCs w:val="32"/>
          <w:highlight w:val="none"/>
        </w:rPr>
        <w:fldChar w:fldCharType="end"/>
      </w:r>
    </w:p>
    <w:p w14:paraId="3CC9C07F">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_Toc27723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完善终身学习体系</w:t>
      </w:r>
      <w:r>
        <w:rPr>
          <w:rFonts w:hint="eastAsia" w:ascii="仿宋_GB2312" w:hAnsi="仿宋_GB2312" w:eastAsia="仿宋_GB2312" w:cs="仿宋_GB2312"/>
          <w:b w:val="0"/>
          <w:bCs w:val="0"/>
          <w:kern w:val="44"/>
          <w:sz w:val="32"/>
          <w:szCs w:val="32"/>
          <w:highlight w:val="none"/>
        </w:rPr>
        <w:fldChar w:fldCharType="end"/>
      </w:r>
    </w:p>
    <w:p w14:paraId="5AEE023A">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_Toc21236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第四章  健全社会保障体系</w:t>
      </w:r>
      <w:r>
        <w:rPr>
          <w:rFonts w:hint="eastAsia" w:ascii="仿宋_GB2312" w:hAnsi="仿宋_GB2312" w:eastAsia="仿宋_GB2312" w:cs="仿宋_GB2312"/>
          <w:b w:val="0"/>
          <w:bCs w:val="0"/>
          <w:kern w:val="44"/>
          <w:sz w:val="32"/>
          <w:szCs w:val="32"/>
          <w:highlight w:val="none"/>
        </w:rPr>
        <w:fldChar w:fldCharType="end"/>
      </w:r>
    </w:p>
    <w:p w14:paraId="282E36F4">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_Toc4335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完善社会保险体系</w:t>
      </w:r>
      <w:r>
        <w:rPr>
          <w:rFonts w:hint="eastAsia" w:ascii="仿宋_GB2312" w:hAnsi="仿宋_GB2312" w:eastAsia="仿宋_GB2312" w:cs="仿宋_GB2312"/>
          <w:b w:val="0"/>
          <w:bCs w:val="0"/>
          <w:kern w:val="44"/>
          <w:sz w:val="32"/>
          <w:szCs w:val="32"/>
          <w:highlight w:val="none"/>
        </w:rPr>
        <w:fldChar w:fldCharType="end"/>
      </w:r>
    </w:p>
    <w:p w14:paraId="6800BC65">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_Toc20300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优化“一老一小”服务体系</w:t>
      </w:r>
      <w:r>
        <w:rPr>
          <w:rFonts w:hint="eastAsia" w:ascii="仿宋_GB2312" w:hAnsi="仿宋_GB2312" w:eastAsia="仿宋_GB2312" w:cs="仿宋_GB2312"/>
          <w:b w:val="0"/>
          <w:bCs w:val="0"/>
          <w:kern w:val="44"/>
          <w:sz w:val="32"/>
          <w:szCs w:val="32"/>
          <w:highlight w:val="none"/>
        </w:rPr>
        <w:fldChar w:fldCharType="end"/>
      </w:r>
    </w:p>
    <w:p w14:paraId="575ECE4B">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_Toc21433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完善退役军人服务保障体系</w:t>
      </w:r>
      <w:r>
        <w:rPr>
          <w:rFonts w:hint="eastAsia" w:ascii="仿宋_GB2312" w:hAnsi="仿宋_GB2312" w:eastAsia="仿宋_GB2312" w:cs="仿宋_GB2312"/>
          <w:b w:val="0"/>
          <w:bCs w:val="0"/>
          <w:kern w:val="44"/>
          <w:sz w:val="32"/>
          <w:szCs w:val="32"/>
          <w:highlight w:val="none"/>
        </w:rPr>
        <w:fldChar w:fldCharType="end"/>
      </w:r>
    </w:p>
    <w:p w14:paraId="0AEF24DC">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_Toc12645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第四节  健全社会救助和福利体系</w:t>
      </w:r>
      <w:r>
        <w:rPr>
          <w:rFonts w:hint="eastAsia" w:ascii="仿宋_GB2312" w:hAnsi="仿宋_GB2312" w:eastAsia="仿宋_GB2312" w:cs="仿宋_GB2312"/>
          <w:b w:val="0"/>
          <w:bCs w:val="0"/>
          <w:kern w:val="44"/>
          <w:sz w:val="32"/>
          <w:szCs w:val="32"/>
          <w:highlight w:val="none"/>
        </w:rPr>
        <w:fldChar w:fldCharType="end"/>
      </w:r>
    </w:p>
    <w:p w14:paraId="44E8FAF7">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_Toc17471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第五节  持续强化住房保障</w:t>
      </w:r>
      <w:r>
        <w:rPr>
          <w:rFonts w:hint="eastAsia" w:ascii="仿宋_GB2312" w:hAnsi="仿宋_GB2312" w:eastAsia="仿宋_GB2312" w:cs="仿宋_GB2312"/>
          <w:b w:val="0"/>
          <w:bCs w:val="0"/>
          <w:kern w:val="44"/>
          <w:sz w:val="32"/>
          <w:szCs w:val="32"/>
          <w:highlight w:val="none"/>
        </w:rPr>
        <w:fldChar w:fldCharType="end"/>
      </w:r>
    </w:p>
    <w:p w14:paraId="32524CB1">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_Toc9294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第五章  建设健康昌江</w:t>
      </w:r>
      <w:r>
        <w:rPr>
          <w:rFonts w:hint="eastAsia" w:ascii="仿宋_GB2312" w:hAnsi="仿宋_GB2312" w:eastAsia="仿宋_GB2312" w:cs="仿宋_GB2312"/>
          <w:b w:val="0"/>
          <w:bCs w:val="0"/>
          <w:kern w:val="44"/>
          <w:sz w:val="32"/>
          <w:szCs w:val="32"/>
          <w:highlight w:val="none"/>
        </w:rPr>
        <w:fldChar w:fldCharType="end"/>
      </w:r>
    </w:p>
    <w:p w14:paraId="4741451D">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_Toc1723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强化卫生监管与疾病防治</w:t>
      </w:r>
      <w:r>
        <w:rPr>
          <w:rFonts w:hint="eastAsia" w:ascii="仿宋_GB2312" w:hAnsi="仿宋_GB2312" w:eastAsia="仿宋_GB2312" w:cs="仿宋_GB2312"/>
          <w:b w:val="0"/>
          <w:bCs w:val="0"/>
          <w:kern w:val="44"/>
          <w:sz w:val="32"/>
          <w:szCs w:val="32"/>
          <w:highlight w:val="none"/>
        </w:rPr>
        <w:fldChar w:fldCharType="end"/>
      </w:r>
    </w:p>
    <w:p w14:paraId="0331A8D7">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_Toc8922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优化健康服务体系</w:t>
      </w:r>
      <w:r>
        <w:rPr>
          <w:rFonts w:hint="eastAsia" w:ascii="仿宋_GB2312" w:hAnsi="仿宋_GB2312" w:eastAsia="仿宋_GB2312" w:cs="仿宋_GB2312"/>
          <w:b w:val="0"/>
          <w:bCs w:val="0"/>
          <w:kern w:val="44"/>
          <w:sz w:val="32"/>
          <w:szCs w:val="32"/>
          <w:highlight w:val="none"/>
        </w:rPr>
        <w:fldChar w:fldCharType="end"/>
      </w:r>
    </w:p>
    <w:p w14:paraId="6517C826">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_Toc25277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倡导健康生活理念</w:t>
      </w:r>
      <w:r>
        <w:rPr>
          <w:rFonts w:hint="eastAsia" w:ascii="仿宋_GB2312" w:hAnsi="仿宋_GB2312" w:eastAsia="仿宋_GB2312" w:cs="仿宋_GB2312"/>
          <w:b w:val="0"/>
          <w:bCs w:val="0"/>
          <w:kern w:val="44"/>
          <w:sz w:val="32"/>
          <w:szCs w:val="32"/>
          <w:highlight w:val="none"/>
        </w:rPr>
        <w:fldChar w:fldCharType="end"/>
      </w:r>
    </w:p>
    <w:p w14:paraId="017082C0">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_Toc11366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第六章  打造高品质公共文化服务</w:t>
      </w:r>
      <w:r>
        <w:rPr>
          <w:rFonts w:hint="eastAsia" w:ascii="仿宋_GB2312" w:hAnsi="仿宋_GB2312" w:eastAsia="仿宋_GB2312" w:cs="仿宋_GB2312"/>
          <w:b w:val="0"/>
          <w:bCs w:val="0"/>
          <w:kern w:val="44"/>
          <w:sz w:val="32"/>
          <w:szCs w:val="32"/>
          <w:highlight w:val="none"/>
        </w:rPr>
        <w:fldChar w:fldCharType="end"/>
      </w:r>
    </w:p>
    <w:p w14:paraId="54D3D18A">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_Toc17372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提升公共文化设施服务能力</w:t>
      </w:r>
      <w:r>
        <w:rPr>
          <w:rFonts w:hint="eastAsia" w:ascii="仿宋_GB2312" w:hAnsi="仿宋_GB2312" w:eastAsia="仿宋_GB2312" w:cs="仿宋_GB2312"/>
          <w:b w:val="0"/>
          <w:bCs w:val="0"/>
          <w:kern w:val="44"/>
          <w:sz w:val="32"/>
          <w:szCs w:val="32"/>
          <w:highlight w:val="none"/>
        </w:rPr>
        <w:fldChar w:fldCharType="end"/>
      </w:r>
    </w:p>
    <w:p w14:paraId="35EBEA9B">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_Toc17429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多层级优质公共文化服务供给</w:t>
      </w:r>
      <w:r>
        <w:rPr>
          <w:rFonts w:hint="eastAsia" w:ascii="仿宋_GB2312" w:hAnsi="仿宋_GB2312" w:eastAsia="仿宋_GB2312" w:cs="仿宋_GB2312"/>
          <w:b w:val="0"/>
          <w:bCs w:val="0"/>
          <w:kern w:val="44"/>
          <w:sz w:val="32"/>
          <w:szCs w:val="32"/>
          <w:highlight w:val="none"/>
        </w:rPr>
        <w:fldChar w:fldCharType="end"/>
      </w:r>
    </w:p>
    <w:p w14:paraId="02E052F0">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_Toc14211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第七章  筑牢公平包容的民生保障网</w:t>
      </w:r>
      <w:r>
        <w:rPr>
          <w:rFonts w:hint="eastAsia" w:ascii="仿宋_GB2312" w:hAnsi="仿宋_GB2312" w:eastAsia="仿宋_GB2312" w:cs="仿宋_GB2312"/>
          <w:b w:val="0"/>
          <w:bCs w:val="0"/>
          <w:kern w:val="44"/>
          <w:sz w:val="32"/>
          <w:szCs w:val="32"/>
          <w:highlight w:val="none"/>
        </w:rPr>
        <w:fldChar w:fldCharType="end"/>
      </w:r>
    </w:p>
    <w:p w14:paraId="08FF4E90">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_Toc25251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提升基本公共服务均等化水平</w:t>
      </w:r>
      <w:r>
        <w:rPr>
          <w:rFonts w:hint="eastAsia" w:ascii="仿宋_GB2312" w:hAnsi="仿宋_GB2312" w:eastAsia="仿宋_GB2312" w:cs="仿宋_GB2312"/>
          <w:b w:val="0"/>
          <w:bCs w:val="0"/>
          <w:kern w:val="44"/>
          <w:sz w:val="32"/>
          <w:szCs w:val="32"/>
          <w:highlight w:val="none"/>
        </w:rPr>
        <w:fldChar w:fldCharType="end"/>
      </w:r>
    </w:p>
    <w:p w14:paraId="6617CE55">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_Toc9589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创新公共服务供给方式</w:t>
      </w:r>
      <w:r>
        <w:rPr>
          <w:rFonts w:hint="eastAsia" w:ascii="仿宋_GB2312" w:hAnsi="仿宋_GB2312" w:eastAsia="仿宋_GB2312" w:cs="仿宋_GB2312"/>
          <w:b w:val="0"/>
          <w:bCs w:val="0"/>
          <w:kern w:val="44"/>
          <w:sz w:val="32"/>
          <w:szCs w:val="32"/>
          <w:highlight w:val="none"/>
        </w:rPr>
        <w:fldChar w:fldCharType="end"/>
      </w:r>
    </w:p>
    <w:p w14:paraId="5BC1FCA5">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_Toc21276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打造绿色文明民生服务体系</w:t>
      </w:r>
      <w:r>
        <w:rPr>
          <w:rFonts w:hint="eastAsia" w:ascii="仿宋_GB2312" w:hAnsi="仿宋_GB2312" w:eastAsia="仿宋_GB2312" w:cs="仿宋_GB2312"/>
          <w:b w:val="0"/>
          <w:bCs w:val="0"/>
          <w:kern w:val="44"/>
          <w:sz w:val="32"/>
          <w:szCs w:val="32"/>
          <w:highlight w:val="none"/>
        </w:rPr>
        <w:fldChar w:fldCharType="end"/>
      </w:r>
    </w:p>
    <w:p w14:paraId="23E80742">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_Toc20797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第四节  构建青年友好型城区</w:t>
      </w:r>
      <w:r>
        <w:rPr>
          <w:rFonts w:hint="eastAsia" w:ascii="仿宋_GB2312" w:hAnsi="仿宋_GB2312" w:eastAsia="仿宋_GB2312" w:cs="仿宋_GB2312"/>
          <w:b w:val="0"/>
          <w:bCs w:val="0"/>
          <w:kern w:val="44"/>
          <w:sz w:val="32"/>
          <w:szCs w:val="32"/>
          <w:highlight w:val="none"/>
        </w:rPr>
        <w:fldChar w:fldCharType="end"/>
      </w:r>
    </w:p>
    <w:p w14:paraId="269731B2">
      <w:pPr>
        <w:pStyle w:val="30"/>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_Toc28158 </w:instrText>
      </w:r>
      <w:r>
        <w:rPr>
          <w:rFonts w:hint="eastAsia" w:ascii="仿宋_GB2312" w:hAnsi="仿宋_GB2312" w:eastAsia="仿宋_GB2312" w:cs="仿宋_GB2312"/>
          <w:b w:val="0"/>
          <w:bCs w:val="0"/>
          <w:kern w:val="44"/>
          <w:sz w:val="32"/>
          <w:szCs w:val="32"/>
          <w:highlight w:val="none"/>
        </w:rPr>
        <w:fldChar w:fldCharType="separate"/>
      </w:r>
      <w:r>
        <w:rPr>
          <w:rFonts w:hint="eastAsia" w:ascii="方正小标宋简体" w:eastAsia="方正小标宋简体"/>
          <w:b w:val="0"/>
          <w:bCs w:val="0"/>
          <w:sz w:val="32"/>
          <w:szCs w:val="32"/>
          <w:highlight w:val="none"/>
        </w:rPr>
        <w:t>第十三篇  加强社会治理建设，推动智慧韧性城区</w:t>
      </w:r>
      <w:r>
        <w:rPr>
          <w:rFonts w:hint="eastAsia" w:ascii="仿宋_GB2312" w:hAnsi="仿宋_GB2312" w:eastAsia="仿宋_GB2312" w:cs="仿宋_GB2312"/>
          <w:b w:val="0"/>
          <w:bCs w:val="0"/>
          <w:kern w:val="44"/>
          <w:sz w:val="32"/>
          <w:szCs w:val="32"/>
          <w:highlight w:val="none"/>
        </w:rPr>
        <w:fldChar w:fldCharType="end"/>
      </w:r>
    </w:p>
    <w:p w14:paraId="7EE71297">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_Toc23995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第一章  坚决维护国家安全</w:t>
      </w:r>
      <w:r>
        <w:rPr>
          <w:rFonts w:hint="eastAsia" w:ascii="仿宋_GB2312" w:hAnsi="仿宋_GB2312" w:eastAsia="仿宋_GB2312" w:cs="仿宋_GB2312"/>
          <w:b w:val="0"/>
          <w:bCs w:val="0"/>
          <w:kern w:val="44"/>
          <w:sz w:val="32"/>
          <w:szCs w:val="32"/>
          <w:highlight w:val="none"/>
        </w:rPr>
        <w:fldChar w:fldCharType="end"/>
      </w:r>
    </w:p>
    <w:p w14:paraId="409ADED1">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_Toc16038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筑牢政治安全防线</w:t>
      </w:r>
      <w:r>
        <w:rPr>
          <w:rFonts w:hint="eastAsia" w:ascii="仿宋_GB2312" w:hAnsi="仿宋_GB2312" w:eastAsia="仿宋_GB2312" w:cs="仿宋_GB2312"/>
          <w:b w:val="0"/>
          <w:bCs w:val="0"/>
          <w:kern w:val="44"/>
          <w:sz w:val="32"/>
          <w:szCs w:val="32"/>
          <w:highlight w:val="none"/>
        </w:rPr>
        <w:fldChar w:fldCharType="end"/>
      </w:r>
    </w:p>
    <w:p w14:paraId="62F4A709">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_Toc3685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夯实经济安全基础</w:t>
      </w:r>
      <w:r>
        <w:rPr>
          <w:rFonts w:hint="eastAsia" w:ascii="仿宋_GB2312" w:hAnsi="仿宋_GB2312" w:eastAsia="仿宋_GB2312" w:cs="仿宋_GB2312"/>
          <w:b w:val="0"/>
          <w:bCs w:val="0"/>
          <w:kern w:val="44"/>
          <w:sz w:val="32"/>
          <w:szCs w:val="32"/>
          <w:highlight w:val="none"/>
        </w:rPr>
        <w:fldChar w:fldCharType="end"/>
      </w:r>
    </w:p>
    <w:p w14:paraId="5AECEFD4">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_Toc18406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第二章  全面加强安全生产</w:t>
      </w:r>
      <w:r>
        <w:rPr>
          <w:rFonts w:hint="eastAsia" w:ascii="仿宋_GB2312" w:hAnsi="仿宋_GB2312" w:eastAsia="仿宋_GB2312" w:cs="仿宋_GB2312"/>
          <w:b w:val="0"/>
          <w:bCs w:val="0"/>
          <w:kern w:val="44"/>
          <w:sz w:val="32"/>
          <w:szCs w:val="32"/>
          <w:highlight w:val="none"/>
        </w:rPr>
        <w:fldChar w:fldCharType="end"/>
      </w:r>
    </w:p>
    <w:p w14:paraId="5815007D">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_Toc12359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完善和落实安全生产责任制</w:t>
      </w:r>
      <w:r>
        <w:rPr>
          <w:rFonts w:hint="eastAsia" w:ascii="仿宋_GB2312" w:hAnsi="仿宋_GB2312" w:eastAsia="仿宋_GB2312" w:cs="仿宋_GB2312"/>
          <w:b w:val="0"/>
          <w:bCs w:val="0"/>
          <w:kern w:val="44"/>
          <w:sz w:val="32"/>
          <w:szCs w:val="32"/>
          <w:highlight w:val="none"/>
        </w:rPr>
        <w:fldChar w:fldCharType="end"/>
      </w:r>
    </w:p>
    <w:p w14:paraId="3681930D">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_Toc24660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固本强基提升本质安全水平</w:t>
      </w:r>
      <w:r>
        <w:rPr>
          <w:rFonts w:hint="eastAsia" w:ascii="仿宋_GB2312" w:hAnsi="仿宋_GB2312" w:eastAsia="仿宋_GB2312" w:cs="仿宋_GB2312"/>
          <w:b w:val="0"/>
          <w:bCs w:val="0"/>
          <w:kern w:val="44"/>
          <w:sz w:val="32"/>
          <w:szCs w:val="32"/>
          <w:highlight w:val="none"/>
        </w:rPr>
        <w:fldChar w:fldCharType="end"/>
      </w:r>
    </w:p>
    <w:p w14:paraId="5CA8CD3F">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_Toc16335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第三章  提高公共安全治理水平</w:t>
      </w:r>
      <w:r>
        <w:rPr>
          <w:rFonts w:hint="eastAsia" w:ascii="仿宋_GB2312" w:hAnsi="仿宋_GB2312" w:eastAsia="仿宋_GB2312" w:cs="仿宋_GB2312"/>
          <w:b w:val="0"/>
          <w:bCs w:val="0"/>
          <w:kern w:val="44"/>
          <w:sz w:val="32"/>
          <w:szCs w:val="32"/>
          <w:highlight w:val="none"/>
        </w:rPr>
        <w:fldChar w:fldCharType="end"/>
      </w:r>
    </w:p>
    <w:p w14:paraId="36CABA02">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_Toc26532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完善社会治安防控体系</w:t>
      </w:r>
      <w:r>
        <w:rPr>
          <w:rFonts w:hint="eastAsia" w:ascii="仿宋_GB2312" w:hAnsi="仿宋_GB2312" w:eastAsia="仿宋_GB2312" w:cs="仿宋_GB2312"/>
          <w:b w:val="0"/>
          <w:bCs w:val="0"/>
          <w:kern w:val="44"/>
          <w:sz w:val="32"/>
          <w:szCs w:val="32"/>
          <w:highlight w:val="none"/>
        </w:rPr>
        <w:fldChar w:fldCharType="end"/>
      </w:r>
    </w:p>
    <w:p w14:paraId="0BF852EF">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_Toc7621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严控食品药品安全风险</w:t>
      </w:r>
      <w:r>
        <w:rPr>
          <w:rFonts w:hint="eastAsia" w:ascii="仿宋_GB2312" w:hAnsi="仿宋_GB2312" w:eastAsia="仿宋_GB2312" w:cs="仿宋_GB2312"/>
          <w:b w:val="0"/>
          <w:bCs w:val="0"/>
          <w:kern w:val="44"/>
          <w:sz w:val="32"/>
          <w:szCs w:val="32"/>
          <w:highlight w:val="none"/>
        </w:rPr>
        <w:fldChar w:fldCharType="end"/>
      </w:r>
    </w:p>
    <w:p w14:paraId="036B0124">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_Toc12596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强化应急管理能力建设</w:t>
      </w:r>
      <w:r>
        <w:rPr>
          <w:rFonts w:hint="eastAsia" w:ascii="仿宋_GB2312" w:hAnsi="仿宋_GB2312" w:eastAsia="仿宋_GB2312" w:cs="仿宋_GB2312"/>
          <w:b w:val="0"/>
          <w:bCs w:val="0"/>
          <w:kern w:val="44"/>
          <w:sz w:val="32"/>
          <w:szCs w:val="32"/>
          <w:highlight w:val="none"/>
        </w:rPr>
        <w:fldChar w:fldCharType="end"/>
      </w:r>
    </w:p>
    <w:p w14:paraId="7CD78583">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_Toc22886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第四节  强化舆情监管与引导</w:t>
      </w:r>
      <w:r>
        <w:rPr>
          <w:rFonts w:hint="eastAsia" w:ascii="仿宋_GB2312" w:hAnsi="仿宋_GB2312" w:eastAsia="仿宋_GB2312" w:cs="仿宋_GB2312"/>
          <w:b w:val="0"/>
          <w:bCs w:val="0"/>
          <w:kern w:val="44"/>
          <w:sz w:val="32"/>
          <w:szCs w:val="32"/>
          <w:highlight w:val="none"/>
        </w:rPr>
        <w:fldChar w:fldCharType="end"/>
      </w:r>
    </w:p>
    <w:p w14:paraId="2E690997">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_Toc28034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第四章  提升法治昌江建设水平</w:t>
      </w:r>
      <w:r>
        <w:rPr>
          <w:rFonts w:hint="eastAsia" w:ascii="仿宋_GB2312" w:hAnsi="仿宋_GB2312" w:eastAsia="仿宋_GB2312" w:cs="仿宋_GB2312"/>
          <w:b w:val="0"/>
          <w:bCs w:val="0"/>
          <w:kern w:val="44"/>
          <w:sz w:val="32"/>
          <w:szCs w:val="32"/>
          <w:highlight w:val="none"/>
        </w:rPr>
        <w:fldChar w:fldCharType="end"/>
      </w:r>
    </w:p>
    <w:p w14:paraId="415AB67F">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_Toc11911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扎实推进依法行政</w:t>
      </w:r>
      <w:r>
        <w:rPr>
          <w:rFonts w:hint="eastAsia" w:ascii="仿宋_GB2312" w:hAnsi="仿宋_GB2312" w:eastAsia="仿宋_GB2312" w:cs="仿宋_GB2312"/>
          <w:b w:val="0"/>
          <w:bCs w:val="0"/>
          <w:kern w:val="44"/>
          <w:sz w:val="32"/>
          <w:szCs w:val="32"/>
          <w:highlight w:val="none"/>
        </w:rPr>
        <w:fldChar w:fldCharType="end"/>
      </w:r>
    </w:p>
    <w:p w14:paraId="402FB5CE">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_Toc18716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促进严格公正司法</w:t>
      </w:r>
      <w:r>
        <w:rPr>
          <w:rFonts w:hint="eastAsia" w:ascii="仿宋_GB2312" w:hAnsi="仿宋_GB2312" w:eastAsia="仿宋_GB2312" w:cs="仿宋_GB2312"/>
          <w:b w:val="0"/>
          <w:bCs w:val="0"/>
          <w:kern w:val="44"/>
          <w:sz w:val="32"/>
          <w:szCs w:val="32"/>
          <w:highlight w:val="none"/>
        </w:rPr>
        <w:fldChar w:fldCharType="end"/>
      </w:r>
    </w:p>
    <w:p w14:paraId="65BC7D8E">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_Toc8036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全面建设法治社会</w:t>
      </w:r>
      <w:r>
        <w:rPr>
          <w:rFonts w:hint="eastAsia" w:ascii="仿宋_GB2312" w:hAnsi="仿宋_GB2312" w:eastAsia="仿宋_GB2312" w:cs="仿宋_GB2312"/>
          <w:b w:val="0"/>
          <w:bCs w:val="0"/>
          <w:kern w:val="44"/>
          <w:sz w:val="32"/>
          <w:szCs w:val="32"/>
          <w:highlight w:val="none"/>
        </w:rPr>
        <w:fldChar w:fldCharType="end"/>
      </w:r>
    </w:p>
    <w:p w14:paraId="7AC135FF">
      <w:pPr>
        <w:pStyle w:val="30"/>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_Toc1536 </w:instrText>
      </w:r>
      <w:r>
        <w:rPr>
          <w:rFonts w:hint="eastAsia" w:ascii="仿宋_GB2312" w:hAnsi="仿宋_GB2312" w:eastAsia="仿宋_GB2312" w:cs="仿宋_GB2312"/>
          <w:b w:val="0"/>
          <w:bCs w:val="0"/>
          <w:kern w:val="44"/>
          <w:sz w:val="32"/>
          <w:szCs w:val="32"/>
          <w:highlight w:val="none"/>
        </w:rPr>
        <w:fldChar w:fldCharType="separate"/>
      </w:r>
      <w:r>
        <w:rPr>
          <w:rFonts w:hint="eastAsia" w:ascii="方正小标宋简体" w:eastAsia="方正小标宋简体"/>
          <w:b w:val="0"/>
          <w:bCs w:val="0"/>
          <w:sz w:val="32"/>
          <w:szCs w:val="32"/>
          <w:highlight w:val="none"/>
        </w:rPr>
        <w:t>第十四篇  坚持党的领导，全面加强组织协调</w:t>
      </w:r>
      <w:r>
        <w:rPr>
          <w:rFonts w:hint="eastAsia" w:ascii="仿宋_GB2312" w:hAnsi="仿宋_GB2312" w:eastAsia="仿宋_GB2312" w:cs="仿宋_GB2312"/>
          <w:b w:val="0"/>
          <w:bCs w:val="0"/>
          <w:kern w:val="44"/>
          <w:sz w:val="32"/>
          <w:szCs w:val="32"/>
          <w:highlight w:val="none"/>
        </w:rPr>
        <w:fldChar w:fldCharType="end"/>
      </w:r>
    </w:p>
    <w:p w14:paraId="6E0851D0">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_Toc4162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第一章  坚持党的全面领导</w:t>
      </w:r>
      <w:r>
        <w:rPr>
          <w:rFonts w:hint="eastAsia" w:ascii="仿宋_GB2312" w:hAnsi="仿宋_GB2312" w:eastAsia="仿宋_GB2312" w:cs="仿宋_GB2312"/>
          <w:b w:val="0"/>
          <w:bCs w:val="0"/>
          <w:kern w:val="44"/>
          <w:sz w:val="32"/>
          <w:szCs w:val="32"/>
          <w:highlight w:val="none"/>
        </w:rPr>
        <w:fldChar w:fldCharType="end"/>
      </w:r>
    </w:p>
    <w:p w14:paraId="5EFDCAD0">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_Toc8569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强化政治引领与全面从严治党</w:t>
      </w:r>
      <w:r>
        <w:rPr>
          <w:rFonts w:hint="eastAsia" w:ascii="仿宋_GB2312" w:hAnsi="仿宋_GB2312" w:eastAsia="仿宋_GB2312" w:cs="仿宋_GB2312"/>
          <w:b w:val="0"/>
          <w:bCs w:val="0"/>
          <w:kern w:val="44"/>
          <w:sz w:val="32"/>
          <w:szCs w:val="32"/>
          <w:highlight w:val="none"/>
        </w:rPr>
        <w:fldChar w:fldCharType="end"/>
      </w:r>
    </w:p>
    <w:p w14:paraId="04B9B360">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_Toc24595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强化干部队伍建设与社会参与动能</w:t>
      </w:r>
      <w:r>
        <w:rPr>
          <w:rFonts w:hint="eastAsia" w:ascii="仿宋_GB2312" w:hAnsi="仿宋_GB2312" w:eastAsia="仿宋_GB2312" w:cs="仿宋_GB2312"/>
          <w:b w:val="0"/>
          <w:bCs w:val="0"/>
          <w:kern w:val="44"/>
          <w:sz w:val="32"/>
          <w:szCs w:val="32"/>
          <w:highlight w:val="none"/>
        </w:rPr>
        <w:fldChar w:fldCharType="end"/>
      </w:r>
    </w:p>
    <w:p w14:paraId="0159BE83">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_Toc1780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第二章  加强规划体系衔接</w:t>
      </w:r>
      <w:r>
        <w:rPr>
          <w:rFonts w:hint="eastAsia" w:ascii="仿宋_GB2312" w:hAnsi="仿宋_GB2312" w:eastAsia="仿宋_GB2312" w:cs="仿宋_GB2312"/>
          <w:b w:val="0"/>
          <w:bCs w:val="0"/>
          <w:kern w:val="44"/>
          <w:sz w:val="32"/>
          <w:szCs w:val="32"/>
          <w:highlight w:val="none"/>
        </w:rPr>
        <w:fldChar w:fldCharType="end"/>
      </w:r>
    </w:p>
    <w:p w14:paraId="21DDBF93">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_Toc32238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积极衔接上位规划</w:t>
      </w:r>
      <w:r>
        <w:rPr>
          <w:rFonts w:hint="eastAsia" w:ascii="仿宋_GB2312" w:hAnsi="仿宋_GB2312" w:eastAsia="仿宋_GB2312" w:cs="仿宋_GB2312"/>
          <w:b w:val="0"/>
          <w:bCs w:val="0"/>
          <w:kern w:val="44"/>
          <w:sz w:val="32"/>
          <w:szCs w:val="32"/>
          <w:highlight w:val="none"/>
        </w:rPr>
        <w:fldChar w:fldCharType="end"/>
      </w:r>
    </w:p>
    <w:p w14:paraId="66A8D2FB">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_Toc23323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统筹重点领域规划</w:t>
      </w:r>
      <w:r>
        <w:rPr>
          <w:rFonts w:hint="eastAsia" w:ascii="仿宋_GB2312" w:hAnsi="仿宋_GB2312" w:eastAsia="仿宋_GB2312" w:cs="仿宋_GB2312"/>
          <w:b w:val="0"/>
          <w:bCs w:val="0"/>
          <w:kern w:val="44"/>
          <w:sz w:val="32"/>
          <w:szCs w:val="32"/>
          <w:highlight w:val="none"/>
        </w:rPr>
        <w:fldChar w:fldCharType="end"/>
      </w:r>
    </w:p>
    <w:p w14:paraId="539D1BB2">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_Toc11892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第三章  完善规划实施机制</w:t>
      </w:r>
      <w:r>
        <w:rPr>
          <w:rFonts w:hint="eastAsia" w:ascii="仿宋_GB2312" w:hAnsi="仿宋_GB2312" w:eastAsia="仿宋_GB2312" w:cs="仿宋_GB2312"/>
          <w:b w:val="0"/>
          <w:bCs w:val="0"/>
          <w:kern w:val="44"/>
          <w:sz w:val="32"/>
          <w:szCs w:val="32"/>
          <w:highlight w:val="none"/>
        </w:rPr>
        <w:fldChar w:fldCharType="end"/>
      </w:r>
    </w:p>
    <w:p w14:paraId="631666DB">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_Toc8248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落实规划实施责任</w:t>
      </w:r>
      <w:r>
        <w:rPr>
          <w:rFonts w:hint="eastAsia" w:ascii="仿宋_GB2312" w:hAnsi="仿宋_GB2312" w:eastAsia="仿宋_GB2312" w:cs="仿宋_GB2312"/>
          <w:b w:val="0"/>
          <w:bCs w:val="0"/>
          <w:kern w:val="44"/>
          <w:sz w:val="32"/>
          <w:szCs w:val="32"/>
          <w:highlight w:val="none"/>
        </w:rPr>
        <w:fldChar w:fldCharType="end"/>
      </w:r>
    </w:p>
    <w:p w14:paraId="65B81CD4">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_Toc16943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加强规划实施监测评估</w:t>
      </w:r>
      <w:r>
        <w:rPr>
          <w:rFonts w:hint="eastAsia" w:ascii="仿宋_GB2312" w:hAnsi="仿宋_GB2312" w:eastAsia="仿宋_GB2312" w:cs="仿宋_GB2312"/>
          <w:b w:val="0"/>
          <w:bCs w:val="0"/>
          <w:kern w:val="44"/>
          <w:sz w:val="32"/>
          <w:szCs w:val="32"/>
          <w:highlight w:val="none"/>
        </w:rPr>
        <w:fldChar w:fldCharType="end"/>
      </w:r>
    </w:p>
    <w:p w14:paraId="2CB84875">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_Toc1649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强化政策协同保障</w:t>
      </w:r>
      <w:r>
        <w:rPr>
          <w:rFonts w:hint="eastAsia" w:ascii="仿宋_GB2312" w:hAnsi="仿宋_GB2312" w:eastAsia="仿宋_GB2312" w:cs="仿宋_GB2312"/>
          <w:b w:val="0"/>
          <w:bCs w:val="0"/>
          <w:kern w:val="44"/>
          <w:sz w:val="32"/>
          <w:szCs w:val="32"/>
          <w:highlight w:val="none"/>
        </w:rPr>
        <w:fldChar w:fldCharType="end"/>
      </w:r>
    </w:p>
    <w:p w14:paraId="24C0BC48">
      <w:pPr>
        <w:pStyle w:val="35"/>
        <w:pageBreakBefore w:val="0"/>
        <w:widowControl w:val="0"/>
        <w:tabs>
          <w:tab w:val="right" w:pos="8844"/>
          <w:tab w:val="clear" w:pos="8296"/>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_Toc19305 </w:instrText>
      </w:r>
      <w:r>
        <w:rPr>
          <w:rFonts w:hint="eastAsia" w:ascii="仿宋_GB2312" w:hAnsi="仿宋_GB2312" w:eastAsia="仿宋_GB2312" w:cs="仿宋_GB2312"/>
          <w:b w:val="0"/>
          <w:bCs w:val="0"/>
          <w:kern w:val="44"/>
          <w:sz w:val="32"/>
          <w:szCs w:val="32"/>
          <w:highlight w:val="none"/>
        </w:rPr>
        <w:fldChar w:fldCharType="separate"/>
      </w:r>
      <w:r>
        <w:rPr>
          <w:rFonts w:hint="eastAsia" w:ascii="黑体" w:hAnsi="黑体" w:eastAsia="黑体"/>
          <w:b w:val="0"/>
          <w:bCs w:val="0"/>
          <w:sz w:val="32"/>
          <w:szCs w:val="32"/>
          <w:highlight w:val="none"/>
        </w:rPr>
        <w:t>第四章  加强规划组织实施</w:t>
      </w:r>
      <w:r>
        <w:rPr>
          <w:rFonts w:hint="eastAsia" w:ascii="仿宋_GB2312" w:hAnsi="仿宋_GB2312" w:eastAsia="仿宋_GB2312" w:cs="仿宋_GB2312"/>
          <w:b w:val="0"/>
          <w:bCs w:val="0"/>
          <w:kern w:val="44"/>
          <w:sz w:val="32"/>
          <w:szCs w:val="32"/>
          <w:highlight w:val="none"/>
        </w:rPr>
        <w:fldChar w:fldCharType="end"/>
      </w:r>
    </w:p>
    <w:p w14:paraId="2EA90C1D">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_Toc22202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第一节  健全分解落实机制</w:t>
      </w:r>
      <w:r>
        <w:rPr>
          <w:rFonts w:hint="eastAsia" w:ascii="仿宋_GB2312" w:hAnsi="仿宋_GB2312" w:eastAsia="仿宋_GB2312" w:cs="仿宋_GB2312"/>
          <w:b w:val="0"/>
          <w:bCs w:val="0"/>
          <w:kern w:val="44"/>
          <w:sz w:val="32"/>
          <w:szCs w:val="32"/>
          <w:highlight w:val="none"/>
        </w:rPr>
        <w:fldChar w:fldCharType="end"/>
      </w:r>
    </w:p>
    <w:p w14:paraId="3AF50260">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_Toc14286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第二节  强化重大项目支撑</w:t>
      </w:r>
      <w:r>
        <w:rPr>
          <w:rFonts w:hint="eastAsia" w:ascii="仿宋_GB2312" w:hAnsi="仿宋_GB2312" w:eastAsia="仿宋_GB2312" w:cs="仿宋_GB2312"/>
          <w:b w:val="0"/>
          <w:bCs w:val="0"/>
          <w:kern w:val="44"/>
          <w:sz w:val="32"/>
          <w:szCs w:val="32"/>
          <w:highlight w:val="none"/>
        </w:rPr>
        <w:fldChar w:fldCharType="end"/>
      </w:r>
    </w:p>
    <w:p w14:paraId="5DD3504A">
      <w:pPr>
        <w:pStyle w:val="22"/>
        <w:pageBreakBefore w:val="0"/>
        <w:widowControl w:val="0"/>
        <w:tabs>
          <w:tab w:val="right" w:pos="8844"/>
        </w:tabs>
        <w:kinsoku/>
        <w:wordWrap/>
        <w:overflowPunct/>
        <w:topLinePunct w:val="0"/>
        <w:autoSpaceDE/>
        <w:autoSpaceDN/>
        <w:bidi w:val="0"/>
        <w:adjustRightInd w:val="0"/>
        <w:snapToGrid w:val="0"/>
        <w:spacing w:after="0" w:afterLines="0" w:line="600" w:lineRule="exact"/>
        <w:textAlignment w:val="auto"/>
        <w:rPr>
          <w:b w:val="0"/>
          <w:bCs w:val="0"/>
          <w:sz w:val="32"/>
          <w:szCs w:val="32"/>
        </w:rPr>
      </w:pPr>
      <w:r>
        <w:rPr>
          <w:rFonts w:hint="eastAsia" w:ascii="仿宋_GB2312" w:hAnsi="仿宋_GB2312" w:eastAsia="仿宋_GB2312" w:cs="仿宋_GB2312"/>
          <w:b w:val="0"/>
          <w:bCs w:val="0"/>
          <w:kern w:val="44"/>
          <w:sz w:val="32"/>
          <w:szCs w:val="32"/>
          <w:highlight w:val="none"/>
        </w:rPr>
        <w:fldChar w:fldCharType="begin"/>
      </w:r>
      <w:r>
        <w:rPr>
          <w:rFonts w:hint="eastAsia" w:ascii="仿宋_GB2312" w:hAnsi="仿宋_GB2312" w:eastAsia="仿宋_GB2312" w:cs="仿宋_GB2312"/>
          <w:b w:val="0"/>
          <w:bCs w:val="0"/>
          <w:kern w:val="44"/>
          <w:sz w:val="32"/>
          <w:szCs w:val="32"/>
          <w:highlight w:val="none"/>
        </w:rPr>
        <w:instrText xml:space="preserve"> HYPERLINK \l _Toc5151 </w:instrText>
      </w:r>
      <w:r>
        <w:rPr>
          <w:rFonts w:hint="eastAsia" w:ascii="仿宋_GB2312" w:hAnsi="仿宋_GB2312" w:eastAsia="仿宋_GB2312" w:cs="仿宋_GB2312"/>
          <w:b w:val="0"/>
          <w:bCs w:val="0"/>
          <w:kern w:val="44"/>
          <w:sz w:val="32"/>
          <w:szCs w:val="32"/>
          <w:highlight w:val="none"/>
        </w:rPr>
        <w:fldChar w:fldCharType="separate"/>
      </w:r>
      <w:r>
        <w:rPr>
          <w:rFonts w:hint="eastAsia" w:ascii="楷体_GB2312" w:hAnsi="楷体_GB2312" w:eastAsia="楷体_GB2312" w:cs="楷体_GB2312"/>
          <w:b w:val="0"/>
          <w:bCs w:val="0"/>
          <w:sz w:val="32"/>
          <w:szCs w:val="32"/>
          <w:highlight w:val="none"/>
        </w:rPr>
        <w:t>第三节  严格实施监督评估</w:t>
      </w:r>
      <w:r>
        <w:rPr>
          <w:rFonts w:hint="eastAsia" w:ascii="仿宋_GB2312" w:hAnsi="仿宋_GB2312" w:eastAsia="仿宋_GB2312" w:cs="仿宋_GB2312"/>
          <w:b w:val="0"/>
          <w:bCs w:val="0"/>
          <w:kern w:val="44"/>
          <w:sz w:val="32"/>
          <w:szCs w:val="32"/>
          <w:highlight w:val="none"/>
        </w:rPr>
        <w:fldChar w:fldCharType="end"/>
      </w:r>
    </w:p>
    <w:p w14:paraId="106D150D">
      <w:pPr>
        <w:keepNext/>
        <w:keepLines/>
        <w:pageBreakBefore w:val="0"/>
        <w:widowControl w:val="0"/>
        <w:kinsoku/>
        <w:wordWrap/>
        <w:overflowPunct/>
        <w:topLinePunct w:val="0"/>
        <w:autoSpaceDE/>
        <w:autoSpaceDN/>
        <w:bidi w:val="0"/>
        <w:adjustRightInd w:val="0"/>
        <w:snapToGrid w:val="0"/>
        <w:spacing w:after="0" w:afterLines="0" w:line="600" w:lineRule="exact"/>
        <w:textAlignment w:val="auto"/>
        <w:rPr>
          <w:rFonts w:hint="eastAsia" w:ascii="仿宋_GB2312" w:hAnsi="仿宋_GB2312" w:eastAsia="仿宋_GB2312" w:cs="仿宋_GB2312"/>
          <w:kern w:val="44"/>
          <w:sz w:val="32"/>
          <w:szCs w:val="32"/>
          <w:highlight w:val="none"/>
        </w:rPr>
        <w:sectPr>
          <w:footerReference r:id="rId5" w:type="default"/>
          <w:pgSz w:w="11906" w:h="16838"/>
          <w:pgMar w:top="2098" w:right="1474" w:bottom="1984" w:left="1588" w:header="851" w:footer="1134" w:gutter="0"/>
          <w:pgNumType w:fmt="decimal" w:start="1"/>
          <w:cols w:space="720" w:num="1"/>
          <w:docGrid w:type="lines" w:linePitch="312" w:charSpace="0"/>
        </w:sectPr>
      </w:pPr>
      <w:r>
        <w:rPr>
          <w:rFonts w:hint="eastAsia" w:ascii="仿宋_GB2312" w:hAnsi="仿宋_GB2312" w:eastAsia="仿宋_GB2312" w:cs="仿宋_GB2312"/>
          <w:b w:val="0"/>
          <w:bCs w:val="0"/>
          <w:kern w:val="44"/>
          <w:sz w:val="32"/>
          <w:szCs w:val="32"/>
          <w:highlight w:val="none"/>
        </w:rPr>
        <w:fldChar w:fldCharType="end"/>
      </w:r>
    </w:p>
    <w:p w14:paraId="6178CEBD">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十五五”时期（2026—2030年），是我国迈向2035年基本实现社会主义现代化目标的重要时期，也是江西深入贯彻“走在前、勇争先、善作为”目标要求、加快打造“三个高地”的关键阶段。面对新形势新任务，昌江区将全面落实习近平总书记考察江西重要讲话精神和对景德镇的重要指示</w:t>
      </w:r>
      <w:r>
        <w:rPr>
          <w:rFonts w:hint="eastAsia" w:ascii="仿宋_GB2312" w:hAnsi="仿宋_GB2312" w:eastAsia="仿宋_GB2312" w:cs="仿宋_GB2312"/>
          <w:sz w:val="32"/>
          <w:szCs w:val="32"/>
          <w:highlight w:val="none"/>
          <w:lang w:val="en-US" w:eastAsia="zh-CN"/>
        </w:rPr>
        <w:t>批示</w:t>
      </w:r>
      <w:r>
        <w:rPr>
          <w:rFonts w:hint="eastAsia" w:ascii="仿宋_GB2312" w:hAnsi="仿宋_GB2312" w:eastAsia="仿宋_GB2312" w:cs="仿宋_GB2312"/>
          <w:sz w:val="32"/>
          <w:szCs w:val="32"/>
          <w:highlight w:val="none"/>
        </w:rPr>
        <w:t>精神，主动融入国家陶瓷文化传承创新试验区建设大局，不断提升区域综合实力和城市影响力，奋力把“千年瓷都”这张靓丽的名片擦得更亮。本纲要根据《中共昌江区委关于制定国民经济和社会发展第十五个五年规划的建议》编制，主要明确</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十五五</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时期昌江区经济社会发展的思路目标、主要任务和重大举措，是指导全区未来五年发展的宏伟蓝图，是政府履行法定职责的重要依据，是全区人民共同奋斗的行动纲领。</w:t>
      </w:r>
    </w:p>
    <w:p w14:paraId="4D9292E9">
      <w:pPr>
        <w:keepNext w:val="0"/>
        <w:keepLines w:val="0"/>
        <w:pageBreakBefore w:val="0"/>
        <w:widowControl w:val="0"/>
        <w:kinsoku/>
        <w:wordWrap/>
        <w:overflowPunct/>
        <w:topLinePunct w:val="0"/>
        <w:autoSpaceDE/>
        <w:autoSpaceDN/>
        <w:bidi w:val="0"/>
        <w:adjustRightInd w:val="0"/>
        <w:snapToGrid w:val="0"/>
        <w:spacing w:after="0" w:afterLines="0" w:line="560" w:lineRule="exact"/>
        <w:jc w:val="center"/>
        <w:textAlignment w:val="auto"/>
        <w:outlineLvl w:val="0"/>
        <w:rPr>
          <w:rFonts w:hint="eastAsia" w:ascii="方正小标宋简体" w:eastAsia="方正小标宋简体"/>
          <w:sz w:val="40"/>
          <w:szCs w:val="40"/>
          <w:highlight w:val="none"/>
        </w:rPr>
      </w:pPr>
      <w:bookmarkStart w:id="0" w:name="_Toc2075"/>
      <w:bookmarkStart w:id="1" w:name="_Toc215695182"/>
      <w:bookmarkStart w:id="2" w:name="_Toc6188"/>
      <w:bookmarkStart w:id="3" w:name="_Toc427"/>
      <w:bookmarkStart w:id="4" w:name="_Toc4656"/>
      <w:bookmarkStart w:id="5" w:name="_Toc26332"/>
      <w:bookmarkStart w:id="6" w:name="_Toc3304"/>
      <w:bookmarkStart w:id="7" w:name="_Toc15169"/>
      <w:bookmarkStart w:id="8" w:name="_Toc29927"/>
      <w:bookmarkStart w:id="9" w:name="_Toc29225"/>
      <w:bookmarkStart w:id="10" w:name="_Toc28653"/>
      <w:bookmarkStart w:id="11" w:name="_Toc25723"/>
      <w:bookmarkStart w:id="12" w:name="_Toc13163"/>
      <w:bookmarkStart w:id="13" w:name="_Toc5121"/>
      <w:bookmarkStart w:id="14" w:name="_Toc25866"/>
      <w:bookmarkStart w:id="15" w:name="_Toc17641"/>
      <w:bookmarkStart w:id="16" w:name="_Toc18373"/>
      <w:bookmarkStart w:id="17" w:name="_Toc3559"/>
      <w:bookmarkStart w:id="18" w:name="_Toc9384"/>
      <w:bookmarkStart w:id="19" w:name="_Toc9090"/>
      <w:bookmarkStart w:id="20" w:name="_Toc231562013"/>
      <w:bookmarkStart w:id="21" w:name="_Toc7514"/>
      <w:bookmarkStart w:id="22" w:name="_Toc22818"/>
      <w:bookmarkStart w:id="23" w:name="_Toc3355"/>
      <w:bookmarkStart w:id="24" w:name="_Toc14206"/>
      <w:bookmarkStart w:id="25" w:name="_Toc2895"/>
      <w:bookmarkStart w:id="26" w:name="_Toc12201"/>
      <w:bookmarkStart w:id="27" w:name="_Toc14692"/>
      <w:bookmarkStart w:id="28" w:name="_Toc214611189"/>
      <w:bookmarkStart w:id="29" w:name="_Toc3068"/>
      <w:bookmarkStart w:id="30" w:name="_Toc1990"/>
      <w:bookmarkStart w:id="31" w:name="_Toc19088"/>
      <w:bookmarkStart w:id="32" w:name="_Toc7531"/>
    </w:p>
    <w:p w14:paraId="72A01767">
      <w:pPr>
        <w:keepNext w:val="0"/>
        <w:keepLines w:val="0"/>
        <w:pageBreakBefore w:val="0"/>
        <w:widowControl w:val="0"/>
        <w:kinsoku/>
        <w:wordWrap/>
        <w:overflowPunct/>
        <w:topLinePunct w:val="0"/>
        <w:autoSpaceDE/>
        <w:autoSpaceDN/>
        <w:bidi w:val="0"/>
        <w:adjustRightInd w:val="0"/>
        <w:snapToGrid w:val="0"/>
        <w:spacing w:after="0" w:afterLines="0" w:line="560" w:lineRule="exact"/>
        <w:jc w:val="center"/>
        <w:textAlignment w:val="auto"/>
        <w:outlineLvl w:val="0"/>
        <w:rPr>
          <w:rFonts w:hint="eastAsia" w:ascii="方正小标宋简体" w:eastAsia="方正小标宋简体"/>
          <w:sz w:val="36"/>
          <w:szCs w:val="36"/>
          <w:highlight w:val="none"/>
        </w:rPr>
      </w:pPr>
      <w:bookmarkStart w:id="33" w:name="_Toc27179"/>
      <w:r>
        <w:rPr>
          <w:rFonts w:hint="eastAsia" w:ascii="方正小标宋简体" w:eastAsia="方正小标宋简体"/>
          <w:sz w:val="36"/>
          <w:szCs w:val="36"/>
          <w:highlight w:val="none"/>
        </w:rPr>
        <w:t>第一篇</w:t>
      </w:r>
      <w:bookmarkEnd w:id="0"/>
      <w:r>
        <w:rPr>
          <w:rFonts w:hint="eastAsia" w:ascii="方正小标宋简体" w:eastAsia="方正小标宋简体"/>
          <w:sz w:val="36"/>
          <w:szCs w:val="36"/>
          <w:highlight w:val="none"/>
        </w:rPr>
        <w:t xml:space="preserve">  奋力谱写中国式现代化昌江实践新篇章</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5035B7CA">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p>
    <w:p w14:paraId="02AEB61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十五五”时期，是我国基本实现社会主义现代化的关键阶段，也是昌江区在新的历史起点上奋力建设“产城协同示范区、文旅融合创新区、政务金融核心区、生态宜居样板区、社会治理标杆区，形成数字经济集聚的开放活力中心”的重要五年。立足新时代新征程，昌江区肩负着传承千年陶瓷文明、探索区域高质量发展新路径的重要使命。面对时代大势和发展大局，必须更加精准领会中国式现代化的丰富内涵与实践要求，全面贯彻落实习近平总书记关于景德镇的重要指示批示</w:t>
      </w:r>
      <w:bookmarkStart w:id="5803" w:name="_GoBack"/>
      <w:bookmarkEnd w:id="5803"/>
      <w:r>
        <w:rPr>
          <w:rFonts w:hint="eastAsia" w:ascii="仿宋_GB2312" w:hAnsi="仿宋_GB2312" w:eastAsia="仿宋_GB2312" w:cs="仿宋_GB2312"/>
          <w:sz w:val="32"/>
          <w:szCs w:val="32"/>
          <w:highlight w:val="none"/>
        </w:rPr>
        <w:t>精神，紧扣“千年瓷都”战略定位，坚定不移推进产业升级、城市更新、文化创新与生态共融，奋力把昌江打造成为展示中国式现代化基层实践的生动样板。</w:t>
      </w:r>
    </w:p>
    <w:p w14:paraId="038C6AF3">
      <w:pPr>
        <w:pageBreakBefore w:val="0"/>
        <w:kinsoku/>
        <w:wordWrap/>
        <w:overflowPunct/>
        <w:topLinePunct w:val="0"/>
        <w:autoSpaceDE/>
        <w:autoSpaceDN/>
        <w:bidi w:val="0"/>
        <w:spacing w:after="0" w:afterLines="0" w:line="560" w:lineRule="exact"/>
        <w:jc w:val="center"/>
        <w:outlineLvl w:val="1"/>
        <w:rPr>
          <w:rFonts w:hint="eastAsia" w:ascii="黑体" w:hAnsi="黑体" w:eastAsia="黑体"/>
          <w:sz w:val="32"/>
          <w:szCs w:val="32"/>
          <w:highlight w:val="none"/>
        </w:rPr>
      </w:pPr>
      <w:bookmarkStart w:id="34" w:name="_Toc15122"/>
      <w:bookmarkStart w:id="35" w:name="_Toc215695183"/>
      <w:bookmarkStart w:id="36" w:name="_Toc27092"/>
      <w:bookmarkStart w:id="37" w:name="_Toc231562014"/>
      <w:bookmarkStart w:id="38" w:name="_Toc4573"/>
      <w:bookmarkStart w:id="39" w:name="_Toc16546"/>
      <w:bookmarkStart w:id="40" w:name="_Toc8909"/>
      <w:bookmarkStart w:id="41" w:name="_Toc27351"/>
      <w:bookmarkStart w:id="42" w:name="_Toc19155"/>
      <w:bookmarkStart w:id="43" w:name="_Toc11178"/>
      <w:bookmarkStart w:id="44" w:name="_Toc25960"/>
      <w:bookmarkStart w:id="45" w:name="_Toc21695"/>
      <w:bookmarkStart w:id="46" w:name="_Toc214611190"/>
      <w:bookmarkStart w:id="47" w:name="_Toc8724"/>
      <w:bookmarkStart w:id="48" w:name="_Toc1922"/>
      <w:bookmarkStart w:id="49" w:name="_Toc27599"/>
      <w:bookmarkStart w:id="50" w:name="_Toc17141"/>
      <w:bookmarkStart w:id="51" w:name="_Toc9881"/>
      <w:bookmarkStart w:id="52" w:name="_Toc26030"/>
      <w:bookmarkStart w:id="53" w:name="_Toc1499"/>
      <w:bookmarkStart w:id="54" w:name="_Toc27336"/>
      <w:bookmarkStart w:id="55" w:name="_Toc9641"/>
      <w:bookmarkStart w:id="56" w:name="_Toc26631"/>
      <w:bookmarkStart w:id="57" w:name="_Toc18784"/>
      <w:bookmarkStart w:id="58" w:name="_Toc26709"/>
      <w:bookmarkStart w:id="59" w:name="_Toc32220"/>
      <w:bookmarkStart w:id="60" w:name="_Toc20658"/>
      <w:bookmarkStart w:id="61" w:name="_Toc32329"/>
      <w:bookmarkStart w:id="62" w:name="_Toc4339"/>
      <w:bookmarkStart w:id="63" w:name="_Toc4966"/>
      <w:bookmarkStart w:id="64" w:name="_Toc25611"/>
      <w:bookmarkStart w:id="65" w:name="_Toc25946"/>
      <w:bookmarkStart w:id="66" w:name="_Toc28602"/>
      <w:bookmarkStart w:id="67" w:name="_Toc25609"/>
      <w:r>
        <w:rPr>
          <w:rFonts w:hint="eastAsia" w:ascii="黑体" w:hAnsi="黑体" w:eastAsia="黑体"/>
          <w:sz w:val="32"/>
          <w:szCs w:val="32"/>
          <w:highlight w:val="none"/>
        </w:rPr>
        <w:t>第一章  发展基础</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3CEF908C">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十四五”时期，在以习近平同志为核心的党中央坚强领导下，在市委、市政府的正确指导和区委、区政府的统筹推动下，昌江区坚持以习近平新时代中国特色社会主义思想为指导，全面贯彻习近平总书记考察江西重要讲话精神及对景德镇的重要指示批示精神，深入落实省委、省政府和市委、市政府决策部署，以国家陶瓷文化传承创新试验区建设为总牵引，统筹推进稳增长、促改革、调结构、惠民生、优生态、防风险、保稳定等重点工作。面对经济下行压力与外部环境变化，昌江区坚持稳中求进、以进促稳，陶瓷产业传承创新取得新突破，先进制造、文旅融合、数字经济等新动能加快成长，城乡面貌持续改善，生态环境显著优化，民生福祉稳步提升，社会大局和谐稳定。全区“十四五”规划确定的主要目标任务基本完成，为“十五五”时期加快建设现代化新昌江奠定了坚实根基。</w:t>
      </w:r>
    </w:p>
    <w:p w14:paraId="60C725BE">
      <w:pPr>
        <w:keepNext w:val="0"/>
        <w:keepLines w:val="0"/>
        <w:pageBreakBefore w:val="0"/>
        <w:widowControl w:val="0"/>
        <w:kinsoku/>
        <w:wordWrap/>
        <w:overflowPunct/>
        <w:topLinePunct w:val="0"/>
        <w:autoSpaceDE/>
        <w:autoSpaceDN/>
        <w:bidi w:val="0"/>
        <w:adjustRightInd w:val="0"/>
        <w:snapToGrid w:val="0"/>
        <w:spacing w:after="0" w:afterLines="0"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经济社会发展呈现稳中有进、进中向好态势。</w:t>
      </w:r>
      <w:r>
        <w:rPr>
          <w:rFonts w:hint="eastAsia" w:ascii="仿宋_GB2312" w:hAnsi="仿宋_GB2312" w:eastAsia="仿宋_GB2312" w:cs="仿宋_GB2312"/>
          <w:sz w:val="32"/>
          <w:szCs w:val="32"/>
          <w:highlight w:val="none"/>
        </w:rPr>
        <w:t>全区地区生产总值（GDP）运行稳健，2025年达310.2亿元，“十四五”以来年均增长约4.8%，占全市比重提升至26.08%，历史性取得全省综合考核第一等次。固定资产投资增速保持全市领先，外贸出口额稳居全市第一，发展韧性和综合竞争力持续增强。</w:t>
      </w:r>
    </w:p>
    <w:p w14:paraId="4D49FC67">
      <w:pPr>
        <w:pageBreakBefore w:val="0"/>
        <w:kinsoku/>
        <w:wordWrap/>
        <w:overflowPunct/>
        <w:topLinePunct w:val="0"/>
        <w:autoSpaceDE/>
        <w:autoSpaceDN/>
        <w:bidi w:val="0"/>
        <w:spacing w:after="0" w:afterLines="0" w:line="560" w:lineRule="exact"/>
        <w:jc w:val="center"/>
        <w:rPr>
          <w:rFonts w:hint="eastAsia" w:ascii="黑体" w:hAnsi="黑体" w:eastAsia="黑体" w:cs="黑体"/>
          <w:color w:val="000000" w:themeColor="text1"/>
          <w:sz w:val="28"/>
          <w:szCs w:val="28"/>
          <w:highlight w:val="none"/>
          <w14:textFill>
            <w14:solidFill>
              <w14:schemeClr w14:val="tx1"/>
            </w14:solidFill>
          </w14:textFill>
        </w:rPr>
      </w:pPr>
    </w:p>
    <w:p w14:paraId="5CFDA5B4">
      <w:pPr>
        <w:pageBreakBefore w:val="0"/>
        <w:kinsoku/>
        <w:wordWrap/>
        <w:overflowPunct/>
        <w:topLinePunct w:val="0"/>
        <w:autoSpaceDE/>
        <w:autoSpaceDN/>
        <w:bidi w:val="0"/>
        <w:spacing w:after="0" w:afterLines="0" w:line="560" w:lineRule="exact"/>
        <w:jc w:val="center"/>
        <w:rPr>
          <w:rFonts w:hint="eastAsia" w:ascii="仿宋_GB2312" w:hAnsi="仿宋_GB2312" w:eastAsia="仿宋_GB2312" w:cs="仿宋_GB2312"/>
          <w:sz w:val="32"/>
          <w:szCs w:val="32"/>
          <w:highlight w:val="none"/>
        </w:rPr>
      </w:pPr>
      <w:r>
        <w:rPr>
          <w:rFonts w:hint="eastAsia" w:ascii="黑体" w:hAnsi="黑体" w:eastAsia="黑体" w:cs="黑体"/>
          <w:color w:val="000000" w:themeColor="text1"/>
          <w:sz w:val="28"/>
          <w:szCs w:val="28"/>
          <w:highlight w:val="none"/>
          <w14:textFill>
            <w14:solidFill>
              <w14:schemeClr w14:val="tx1"/>
            </w14:solidFill>
          </w14:textFill>
        </w:rPr>
        <w:t>三次产业比例</w:t>
      </w:r>
    </w:p>
    <w:p w14:paraId="20DBA08F">
      <w:pPr>
        <w:pStyle w:val="7"/>
        <w:pageBreakBefore w:val="0"/>
        <w:kinsoku/>
        <w:wordWrap/>
        <w:overflowPunct/>
        <w:topLinePunct w:val="0"/>
        <w:autoSpaceDE/>
        <w:autoSpaceDN/>
        <w:bidi w:val="0"/>
        <w:spacing w:after="0" w:afterLines="0" w:line="240" w:lineRule="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drawing>
          <wp:inline distT="0" distB="0" distL="114300" distR="114300">
            <wp:extent cx="2676525" cy="2383790"/>
            <wp:effectExtent l="0" t="0" r="5715" b="8890"/>
            <wp:docPr id="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hint="eastAsia" w:ascii="仿宋_GB2312" w:hAnsi="仿宋_GB2312" w:eastAsia="仿宋_GB2312" w:cs="仿宋_GB2312"/>
          <w:sz w:val="32"/>
          <w:szCs w:val="32"/>
          <w:highlight w:val="none"/>
        </w:rPr>
        <w:drawing>
          <wp:inline distT="0" distB="0" distL="114300" distR="114300">
            <wp:extent cx="2731770" cy="2378075"/>
            <wp:effectExtent l="0" t="0" r="11430" b="3175"/>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307DE8E">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陶瓷文化传承、创新与文旅融合成果丰硕，有力支撑国家试验区建设。</w:t>
      </w:r>
      <w:r>
        <w:rPr>
          <w:rFonts w:hint="eastAsia" w:ascii="仿宋_GB2312" w:hAnsi="仿宋_GB2312" w:eastAsia="仿宋_GB2312" w:cs="仿宋_GB2312"/>
          <w:sz w:val="32"/>
          <w:szCs w:val="32"/>
          <w:highlight w:val="none"/>
        </w:rPr>
        <w:t>文物保护与活化利用水平实现双提升，三闾庙码头入选国保后备库，丽阳窑址通过国家文物保护利用示范区验收，105家文化场馆入选“千馆之城”。文旅融合持续深化，旅游消费和旅游人数大幅增长，“瓷都原乡，画里昌江”品牌影响力扩大，陶玩里文创街区集聚效应显现，“大碗”“昌南仔”等原创IP走红，“无语佛”成功出圈，直播基地营收突破2亿元。文化交流广泛深入，成功举办国际潮玩设计大赛等系列活动。先进陶瓷产业集群加速壮大，2025年总产值增长38.6%，达37亿元。</w:t>
      </w:r>
    </w:p>
    <w:p w14:paraId="56960DF4">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现代化产业体系加速构建，发展动能更加强劲。</w:t>
      </w:r>
      <w:r>
        <w:rPr>
          <w:rFonts w:hint="eastAsia" w:ascii="仿宋_GB2312" w:hAnsi="仿宋_GB2312" w:eastAsia="仿宋_GB2312" w:cs="仿宋_GB2312"/>
          <w:sz w:val="32"/>
          <w:szCs w:val="32"/>
          <w:highlight w:val="none"/>
        </w:rPr>
        <w:t>三产结构优化为1.8：53.4：44.8，呈现多元均衡、协调发展新格局。特色工业体系不断壮大，电子信息、生物医药、先进陶瓷、新材料、未来生物等产业集聚发展，规上工业企业数量较2020年翻番，两个省级产业园区获批建成。现代服务业提质增效，2025年社会消费品零售总额达85.32亿元。昌南里世界陶瓷潮玩小镇开园，文旅消费持续活跃。现代农业加快升级，粮食生产保持稳定，“得雨”“昌江菜籽油”等品牌影响力提升。数字经济蓬勃发展，核心产业营收达26.68亿元，产业数字化转型步伐加快。</w:t>
      </w:r>
    </w:p>
    <w:p w14:paraId="2534118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创新驱动能力显著提升，发展活力持续迸发。</w:t>
      </w:r>
      <w:r>
        <w:rPr>
          <w:rFonts w:hint="eastAsia" w:ascii="仿宋_GB2312" w:hAnsi="仿宋_GB2312" w:eastAsia="仿宋_GB2312" w:cs="仿宋_GB2312"/>
          <w:sz w:val="32"/>
          <w:szCs w:val="32"/>
          <w:highlight w:val="none"/>
        </w:rPr>
        <w:t>成功获评江西省创新型县（市、区），研发投入占GDP比重持续提高。产学研用深度融合，组建微生物蛋白产业联盟，蛇科技小院获评国家级荣誉。创新主体加快培育，国家高新技术企业、科技型中小企业数量大幅增长，龙头企业创新成果丰硕。人才引育成效显著，省级高层次人才和市级产业人才加速集聚。区域科技协作深化，深度融入长三角G60科创走廊。</w:t>
      </w:r>
    </w:p>
    <w:p w14:paraId="4013CDD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城乡发展更趋协调，功能面貌焕然一新。</w:t>
      </w:r>
      <w:r>
        <w:rPr>
          <w:rFonts w:hint="eastAsia" w:ascii="仿宋_GB2312" w:hAnsi="仿宋_GB2312" w:eastAsia="仿宋_GB2312" w:cs="仿宋_GB2312"/>
          <w:sz w:val="32"/>
          <w:szCs w:val="32"/>
          <w:highlight w:val="none"/>
        </w:rPr>
        <w:t>城市更新有序推进，历史性解决城市内涝难题，累计改造老旧小区6000余户，城市管理更加精细高效。乡村建设扎实推进，荣获江西省“四好农村路”示范县称号，城乡公交、供水一体化水平提升。城乡治理融合推进，基础设施和公共服务持续向农村延伸，多村镇获评国家和省级示范案例，城乡共美格局逐步确立。</w:t>
      </w:r>
    </w:p>
    <w:p w14:paraId="2B1FCACB">
      <w:pPr>
        <w:pStyle w:val="7"/>
        <w:pageBreakBefore w:val="0"/>
        <w:kinsoku/>
        <w:wordWrap/>
        <w:overflowPunct/>
        <w:topLinePunct w:val="0"/>
        <w:autoSpaceDE/>
        <w:autoSpaceDN/>
        <w:bidi w:val="0"/>
        <w:spacing w:after="0" w:afterLines="0" w:line="240" w:lineRule="auto"/>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drawing>
          <wp:inline distT="0" distB="0" distL="114300" distR="114300">
            <wp:extent cx="4528820" cy="2994025"/>
            <wp:effectExtent l="0" t="0" r="5080" b="3175"/>
            <wp:docPr id="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DE82CC">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改革开放纵深推进，发展动能有效激发。</w:t>
      </w:r>
      <w:r>
        <w:rPr>
          <w:rFonts w:hint="eastAsia" w:ascii="仿宋_GB2312" w:hAnsi="仿宋_GB2312" w:eastAsia="仿宋_GB2312" w:cs="仿宋_GB2312"/>
          <w:sz w:val="32"/>
          <w:szCs w:val="32"/>
          <w:highlight w:val="none"/>
        </w:rPr>
        <w:t>国资改革取得突破，区国资公司资产规模超200亿元并获AA信用评级。治理能力持续提升，政务服务“一窗受理、集成服务”深化，12345热线办结率达100%。营商环境持续优化，“畅快办”品牌擦亮，市场主体突破4万户。区域协同改革深化，“两区融合”和“一区多园”模式成效显著。</w:t>
      </w:r>
    </w:p>
    <w:p w14:paraId="503CF1EF">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生态建设扎实推进，绿色底蕴更加厚植。</w:t>
      </w:r>
      <w:r>
        <w:rPr>
          <w:rFonts w:hint="eastAsia" w:ascii="仿宋_GB2312" w:hAnsi="仿宋_GB2312" w:eastAsia="仿宋_GB2312" w:cs="仿宋_GB2312"/>
          <w:sz w:val="32"/>
          <w:szCs w:val="32"/>
          <w:highlight w:val="none"/>
        </w:rPr>
        <w:t>生态本底持续夯实，超额完成“十四五”造林目标，森林资源有效管护。环境污染防治深入，PM2.5浓度、空气质量优良率位居全省前列，水环境质量稳定达标。生态治理体系更加健全，“河湖长制”等责任机制压实，农村环境整治成效显著。绿色转型加速推进，生态与产业协同发展。</w:t>
      </w:r>
    </w:p>
    <w:p w14:paraId="52966BA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民生福祉持续增进，社会大局和谐稳定。</w:t>
      </w:r>
      <w:r>
        <w:rPr>
          <w:rFonts w:hint="eastAsia" w:ascii="仿宋_GB2312" w:hAnsi="仿宋_GB2312" w:eastAsia="仿宋_GB2312" w:cs="仿宋_GB2312"/>
          <w:sz w:val="32"/>
          <w:szCs w:val="32"/>
          <w:highlight w:val="none"/>
        </w:rPr>
        <w:t>相较2020年，城镇人均可支配收入增长25.95%，农村人均可支配收入增长36.78%。就业创业支持有力，城镇新增就业持续增长，创业贷款发放超2亿元。社会保障体系完善，民生支出占比达70%，“一老一小”服务能力增强。教育资源均衡优化，学位供给持续扩充，教育质量稳步提升。社会治理能力显著提升，连续获评市平安建设先进县（区），矛盾纠纷化解高效，群众安全感满意度位居全省前列。</w:t>
      </w:r>
    </w:p>
    <w:p w14:paraId="77382E9D">
      <w:pPr>
        <w:pStyle w:val="7"/>
        <w:pageBreakBefore w:val="0"/>
        <w:kinsoku/>
        <w:wordWrap/>
        <w:overflowPunct/>
        <w:topLinePunct w:val="0"/>
        <w:autoSpaceDE/>
        <w:autoSpaceDN/>
        <w:bidi w:val="0"/>
        <w:spacing w:after="0" w:afterLines="0" w:line="240" w:lineRule="auto"/>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drawing>
          <wp:inline distT="0" distB="0" distL="114300" distR="114300">
            <wp:extent cx="5504180" cy="3007995"/>
            <wp:effectExtent l="0" t="0" r="7620" b="1905"/>
            <wp:docPr id="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C2D545">
      <w:pPr>
        <w:pageBreakBefore w:val="0"/>
        <w:kinsoku/>
        <w:wordWrap/>
        <w:overflowPunct/>
        <w:topLinePunct w:val="0"/>
        <w:autoSpaceDE/>
        <w:autoSpaceDN/>
        <w:bidi w:val="0"/>
        <w:spacing w:after="0" w:afterLines="0" w:line="560" w:lineRule="exact"/>
        <w:jc w:val="center"/>
        <w:outlineLvl w:val="1"/>
        <w:rPr>
          <w:rFonts w:hint="eastAsia" w:ascii="黑体" w:hAnsi="黑体" w:eastAsia="黑体"/>
          <w:sz w:val="32"/>
          <w:szCs w:val="32"/>
          <w:highlight w:val="none"/>
        </w:rPr>
      </w:pPr>
      <w:bookmarkStart w:id="68" w:name="_Toc21598"/>
      <w:bookmarkStart w:id="69" w:name="_Toc6322"/>
      <w:bookmarkStart w:id="70" w:name="_Toc30132"/>
      <w:bookmarkStart w:id="71" w:name="_Toc16755"/>
      <w:bookmarkStart w:id="72" w:name="_Toc23340"/>
      <w:bookmarkStart w:id="73" w:name="_Toc10751"/>
      <w:bookmarkStart w:id="74" w:name="_Toc21691"/>
      <w:bookmarkStart w:id="75" w:name="_Toc4666"/>
      <w:bookmarkStart w:id="76" w:name="_Toc17161"/>
      <w:bookmarkStart w:id="77" w:name="_Toc15629"/>
      <w:bookmarkStart w:id="78" w:name="_Toc22462"/>
      <w:bookmarkStart w:id="79" w:name="_Toc3401"/>
      <w:bookmarkStart w:id="80" w:name="_Toc2329"/>
      <w:bookmarkStart w:id="81" w:name="_Toc523"/>
      <w:bookmarkStart w:id="82" w:name="_Toc20337"/>
      <w:bookmarkStart w:id="83" w:name="_Toc215695184"/>
      <w:bookmarkStart w:id="84" w:name="_Toc28084"/>
      <w:bookmarkStart w:id="85" w:name="_Toc32656"/>
      <w:bookmarkStart w:id="86" w:name="_Toc28160"/>
      <w:bookmarkStart w:id="87" w:name="_Toc231562015"/>
      <w:bookmarkStart w:id="88" w:name="_Toc21792"/>
      <w:bookmarkStart w:id="89" w:name="_Toc11377"/>
      <w:bookmarkStart w:id="90" w:name="_Toc11064"/>
      <w:bookmarkStart w:id="91" w:name="_Toc10371"/>
      <w:bookmarkStart w:id="92" w:name="_Toc214611191"/>
      <w:bookmarkStart w:id="93" w:name="_Toc12500"/>
      <w:bookmarkStart w:id="94" w:name="_Toc10355"/>
      <w:bookmarkStart w:id="95" w:name="_Toc12690"/>
      <w:bookmarkStart w:id="96" w:name="_Toc3007"/>
      <w:bookmarkStart w:id="97" w:name="_Toc26214"/>
      <w:bookmarkStart w:id="98" w:name="_Toc23922"/>
      <w:bookmarkStart w:id="99" w:name="_Toc8624"/>
      <w:bookmarkStart w:id="100" w:name="_Toc18673"/>
      <w:bookmarkStart w:id="101" w:name="_Toc16548"/>
      <w:r>
        <w:rPr>
          <w:rFonts w:hint="eastAsia" w:ascii="黑体" w:hAnsi="黑体" w:eastAsia="黑体"/>
          <w:sz w:val="32"/>
          <w:szCs w:val="32"/>
          <w:highlight w:val="none"/>
        </w:rPr>
        <w:t>第二章  发展环境</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71F3CF89">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十五五”时期，昌江区发展环境深刻变化，经济社会发展进入机遇与挑战并存的新阶段。从国内外看，世界百年变局加速演进，外部不稳定不确定因素增多，但我国经济长期向好的基本面没有改变，新质生产力培育和高质量发展为区域转型升级提供重要支撑。从省域看，江西加快推进重大战略和产业协同，交通和产业配套持续完善，为昌江区承接功能外溢、培育新动能创造有利条件。从市域看，景德镇国家陶瓷文化传承创新试验区建设深入推进，多重政策叠加释放效应，城市能级和要素集聚能力不断增强。从自身看，昌江区陶瓷文化优势突出，文旅消费活跃，产业和园区基础逐步夯实，在集聚新业态、拓展发展空间方面具备较好条件。</w:t>
      </w:r>
    </w:p>
    <w:p w14:paraId="36401EFF">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同时，我区仍存在引领带动能力不足、产业动能转换不充分、城乡融合和公共服务水平不均等短板。科技创新和新质生产力发展滞后，陶瓷产业及新兴产业链竞争力不足，城乡产业、收入和公共服务差距明显，基础设施和民生保障仍待提升，亟需以系统思维和务实举措加快破解。</w:t>
      </w:r>
    </w:p>
    <w:p w14:paraId="1ABF44AD">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总体而言，昌江区正处于转型升级的重要时期。进入新时代，面对国内外形势新变化和实践新要求，全区应深刻领悟“两个确立”的决定性意义，增强“四个意识”、坚定“四个自信”、做到“两个维护”，坚定不移沿着习近平新时代中国特色社会主义思想指引的方向前进，立足区域实际，发挥特色优势，以融入国家试验区建设为核心，以产业为根基，以创新驱动为引擎，以绿色发展为底色，以民生改善为根本，统筹发展和安全，真抓实干、锐意进取，奋力谱写昌江区现代化建设新篇章，为与全国、全省、全市同步基本实现社会主义现代化而奋斗。</w:t>
      </w:r>
    </w:p>
    <w:p w14:paraId="2FC14DD6">
      <w:pPr>
        <w:pageBreakBefore w:val="0"/>
        <w:kinsoku/>
        <w:wordWrap/>
        <w:overflowPunct/>
        <w:topLinePunct w:val="0"/>
        <w:autoSpaceDE/>
        <w:autoSpaceDN/>
        <w:bidi w:val="0"/>
        <w:spacing w:after="0" w:afterLines="0" w:line="560" w:lineRule="exact"/>
        <w:jc w:val="center"/>
        <w:outlineLvl w:val="1"/>
        <w:rPr>
          <w:rFonts w:hint="eastAsia" w:ascii="黑体" w:hAnsi="黑体" w:eastAsia="黑体"/>
          <w:sz w:val="32"/>
          <w:szCs w:val="32"/>
          <w:highlight w:val="none"/>
        </w:rPr>
      </w:pPr>
      <w:bookmarkStart w:id="102" w:name="_Toc215695185"/>
      <w:bookmarkStart w:id="103" w:name="_Toc9864"/>
      <w:bookmarkStart w:id="104" w:name="_Toc214611192"/>
      <w:bookmarkStart w:id="105" w:name="_Toc31591"/>
      <w:bookmarkStart w:id="106" w:name="_Toc207791367"/>
      <w:bookmarkStart w:id="107" w:name="_Toc19999"/>
      <w:bookmarkStart w:id="108" w:name="_Toc11890"/>
      <w:bookmarkStart w:id="109" w:name="_Toc14543"/>
      <w:bookmarkStart w:id="110" w:name="_Toc30913"/>
      <w:bookmarkStart w:id="111" w:name="_Toc23230"/>
      <w:bookmarkStart w:id="112" w:name="_Toc9567"/>
      <w:bookmarkStart w:id="113" w:name="_Toc820"/>
      <w:bookmarkStart w:id="114" w:name="_Toc6351"/>
      <w:bookmarkStart w:id="115" w:name="_Toc25635"/>
      <w:bookmarkStart w:id="116" w:name="_Toc24350"/>
      <w:bookmarkStart w:id="117" w:name="_Toc10503"/>
      <w:bookmarkStart w:id="118" w:name="_Toc5190"/>
      <w:bookmarkStart w:id="119" w:name="_Toc9807"/>
      <w:bookmarkStart w:id="120" w:name="_Toc6593"/>
      <w:bookmarkStart w:id="121" w:name="_Toc1105"/>
      <w:bookmarkStart w:id="122" w:name="_Toc20517"/>
      <w:bookmarkStart w:id="123" w:name="_Toc23387"/>
      <w:bookmarkStart w:id="124" w:name="_Toc231562016"/>
      <w:bookmarkStart w:id="125" w:name="_Toc23314"/>
      <w:bookmarkStart w:id="126" w:name="_Toc9317"/>
      <w:bookmarkStart w:id="127" w:name="_Toc20178"/>
      <w:bookmarkStart w:id="128" w:name="_Toc14700"/>
      <w:bookmarkStart w:id="129" w:name="_Toc2209"/>
      <w:bookmarkStart w:id="130" w:name="_Toc24277"/>
      <w:bookmarkStart w:id="131" w:name="_Toc2643"/>
      <w:bookmarkStart w:id="132" w:name="_Toc15117"/>
      <w:bookmarkStart w:id="133" w:name="_Toc22240"/>
      <w:bookmarkStart w:id="134" w:name="_Toc5949"/>
      <w:bookmarkStart w:id="135" w:name="_Toc24536"/>
      <w:bookmarkStart w:id="136" w:name="_Toc12012"/>
      <w:r>
        <w:rPr>
          <w:rFonts w:hint="eastAsia" w:ascii="黑体" w:hAnsi="黑体" w:eastAsia="黑体"/>
          <w:sz w:val="32"/>
          <w:szCs w:val="32"/>
          <w:highlight w:val="none"/>
        </w:rPr>
        <w:t xml:space="preserve">第三章  </w:t>
      </w:r>
      <w:bookmarkEnd w:id="102"/>
      <w:bookmarkEnd w:id="103"/>
      <w:bookmarkEnd w:id="104"/>
      <w:bookmarkEnd w:id="105"/>
      <w:bookmarkEnd w:id="106"/>
      <w:bookmarkEnd w:id="107"/>
      <w:r>
        <w:rPr>
          <w:rFonts w:hint="eastAsia" w:ascii="黑体" w:hAnsi="黑体" w:eastAsia="黑体"/>
          <w:sz w:val="32"/>
          <w:szCs w:val="32"/>
          <w:highlight w:val="none"/>
        </w:rPr>
        <w:t>指导思想</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4AF270F3">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坚持马克思列宁主义、毛泽东思想、邓小平理论、“三个代表”重要思想、科学发展观，全面贯彻习近平新时代中国特色社会主义思想，深入贯彻党的二十大和二十届历次全会精神，深化落实习近平总书记考察江西重要讲话精神，聚焦“走在前、勇争先、善作为”的目标要求，统筹推进“五位一体”总体布局，协调推进“四个全面”战略布局，完整准确全面贯彻新发展理念，服务和融入构建新发展格局，坚持稳中求进工作总基调，坚持以经济建设为中心，以推动高质量发展为主题，以改革创新为根本动力，以满足人民日益增长的美好生活需要为根本目的，以全面从严治党为根本保障。坚持以服务中心大局为核心，推动昌江做优做强，打造产城协同示范区、文旅融合创新区、政务金融核心区、生态宜居样板区、社会治理标杆区，构建数字经济集聚的开放活力中心。打造具有昌江特色的现代化产业体系，不断提升区域治理能力和治理水平，确保经济稳健、社会和谐。努力开创昌江社会主义现代化建设新局面，为推动全市高质量发展贡献独特价值。</w:t>
      </w:r>
    </w:p>
    <w:p w14:paraId="5213AAA3">
      <w:pPr>
        <w:pageBreakBefore w:val="0"/>
        <w:kinsoku/>
        <w:wordWrap/>
        <w:overflowPunct/>
        <w:topLinePunct w:val="0"/>
        <w:autoSpaceDE/>
        <w:autoSpaceDN/>
        <w:bidi w:val="0"/>
        <w:spacing w:after="0" w:afterLines="0" w:line="560" w:lineRule="exact"/>
        <w:jc w:val="center"/>
        <w:outlineLvl w:val="1"/>
        <w:rPr>
          <w:rFonts w:hint="eastAsia" w:ascii="黑体" w:hAnsi="黑体" w:eastAsia="黑体"/>
          <w:sz w:val="32"/>
          <w:szCs w:val="32"/>
          <w:highlight w:val="none"/>
        </w:rPr>
      </w:pPr>
      <w:bookmarkStart w:id="137" w:name="_Toc13284"/>
      <w:bookmarkStart w:id="138" w:name="_Toc29606"/>
      <w:bookmarkStart w:id="139" w:name="_Toc25837"/>
      <w:bookmarkStart w:id="140" w:name="_Toc15198"/>
      <w:bookmarkStart w:id="141" w:name="_Toc6174"/>
      <w:bookmarkStart w:id="142" w:name="_Toc4013"/>
      <w:bookmarkStart w:id="143" w:name="_Toc11144"/>
      <w:bookmarkStart w:id="144" w:name="_Toc26943"/>
      <w:bookmarkStart w:id="145" w:name="_Toc22963"/>
      <w:bookmarkStart w:id="146" w:name="_Toc23322"/>
      <w:bookmarkStart w:id="147" w:name="_Toc21059"/>
      <w:bookmarkStart w:id="148" w:name="_Toc18388"/>
      <w:bookmarkStart w:id="149" w:name="_Toc15541"/>
      <w:bookmarkStart w:id="150" w:name="_Toc215695193"/>
      <w:bookmarkStart w:id="151" w:name="_Toc14097"/>
      <w:bookmarkStart w:id="152" w:name="_Toc5883"/>
      <w:bookmarkStart w:id="153" w:name="_Toc25467"/>
      <w:bookmarkStart w:id="154" w:name="_Toc207791371"/>
      <w:bookmarkStart w:id="155" w:name="_Toc24236"/>
      <w:bookmarkStart w:id="156" w:name="_Toc31147"/>
      <w:bookmarkStart w:id="157" w:name="_Toc24327"/>
      <w:bookmarkStart w:id="158" w:name="_Toc25365"/>
      <w:bookmarkStart w:id="159" w:name="_Toc29863"/>
      <w:bookmarkStart w:id="160" w:name="_Toc214611200"/>
      <w:bookmarkStart w:id="161" w:name="_Toc12493"/>
      <w:bookmarkStart w:id="162" w:name="_Toc4989"/>
      <w:bookmarkStart w:id="163" w:name="_Toc10893"/>
      <w:bookmarkStart w:id="164" w:name="_Toc2578"/>
      <w:bookmarkStart w:id="165" w:name="_Toc1142"/>
      <w:bookmarkStart w:id="166" w:name="_Toc31088"/>
      <w:bookmarkStart w:id="167" w:name="_Toc7389"/>
      <w:bookmarkStart w:id="168" w:name="_Toc1733"/>
      <w:bookmarkStart w:id="169" w:name="_Toc231562017"/>
      <w:bookmarkStart w:id="170" w:name="_Toc8362"/>
      <w:bookmarkStart w:id="171" w:name="_Toc5071"/>
      <w:r>
        <w:rPr>
          <w:rFonts w:hint="eastAsia" w:ascii="黑体" w:hAnsi="黑体" w:eastAsia="黑体"/>
          <w:sz w:val="32"/>
          <w:szCs w:val="32"/>
          <w:highlight w:val="none"/>
        </w:rPr>
        <w:t>第四章  发展目标</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4E7EC60F">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——服务融入国家试验区第二阶段建设取得扎实成效。</w:t>
      </w:r>
      <w:r>
        <w:rPr>
          <w:rFonts w:hint="eastAsia" w:ascii="仿宋_GB2312" w:hAnsi="仿宋_GB2312" w:eastAsia="仿宋_GB2312" w:cs="仿宋_GB2312"/>
          <w:sz w:val="32"/>
          <w:szCs w:val="32"/>
          <w:highlight w:val="none"/>
        </w:rPr>
        <w:t>以陶瓷文化为核心引擎的创新发展新路子基本形成，文化传承保护与数智转化全链条协同发力，文旅深度融合的体制机制更加完善。消费新场景、新业态持续涌现，对外文化交流和数字出海渠道全面拓宽，“昌江故事”的全球影响力显著提升。</w:t>
      </w:r>
    </w:p>
    <w:p w14:paraId="4F327916">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——综合经济实力迈上新台阶。</w:t>
      </w:r>
      <w:r>
        <w:rPr>
          <w:rFonts w:hint="eastAsia" w:ascii="仿宋_GB2312" w:hAnsi="仿宋_GB2312" w:eastAsia="仿宋_GB2312" w:cs="仿宋_GB2312"/>
          <w:sz w:val="32"/>
          <w:szCs w:val="32"/>
          <w:highlight w:val="none"/>
        </w:rPr>
        <w:t>经济持续健康发展，主要经济指标规模与增速持续位居全市前列，经济总量在全市占比稳步提升，人均地区生产总值保持全省领先水平。区域发展能级和综合竞争力显著增强，在全市综合考评中保持前列。</w:t>
      </w:r>
    </w:p>
    <w:p w14:paraId="6F710012">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——发展质量效益实现新突破。</w:t>
      </w:r>
      <w:r>
        <w:rPr>
          <w:rFonts w:hint="eastAsia" w:ascii="仿宋_GB2312" w:hAnsi="仿宋_GB2312" w:eastAsia="仿宋_GB2312" w:cs="仿宋_GB2312"/>
          <w:sz w:val="32"/>
          <w:szCs w:val="32"/>
          <w:highlight w:val="none"/>
        </w:rPr>
        <w:t>陶瓷文化保护传承体系更趋完善，文化遗产数字化、智能化保护利用水平大幅提高，申遗“后半篇文章”取得标志性成果。文旅融合新格局加速形成，创意设计产业能级显著提升，形成一批具有全国影响力的文化IP和文旅品牌，陶瓷文化国际传播力、影响力持续增强。现代化产业体系建设取得重大进展，产业结构持续优化，先进制造业的支撑作用和数字经济的引领作用更加凸显。</w:t>
      </w:r>
    </w:p>
    <w:p w14:paraId="65111BE4">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——科技创新引领新跨越。</w:t>
      </w:r>
      <w:r>
        <w:rPr>
          <w:rFonts w:hint="eastAsia" w:ascii="仿宋_GB2312" w:hAnsi="仿宋_GB2312" w:eastAsia="仿宋_GB2312" w:cs="仿宋_GB2312"/>
          <w:sz w:val="32"/>
          <w:szCs w:val="32"/>
          <w:highlight w:val="none"/>
        </w:rPr>
        <w:t>产业链、创新链、人才链深度融合，全社会研发投入显著提升，以未来生物为核心，以电子信息、生物医药为主导的产业创新动能增强，区域创新能力稳居全省第一方阵。</w:t>
      </w:r>
    </w:p>
    <w:p w14:paraId="55C5C10D">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——改革开放达到新高度。</w:t>
      </w:r>
      <w:r>
        <w:rPr>
          <w:rFonts w:hint="eastAsia" w:ascii="仿宋_GB2312" w:hAnsi="仿宋_GB2312" w:eastAsia="仿宋_GB2312" w:cs="仿宋_GB2312"/>
          <w:sz w:val="32"/>
          <w:szCs w:val="32"/>
          <w:highlight w:val="none"/>
        </w:rPr>
        <w:t>“放管服”改革持续深化，“畅快办”营商品牌更加响亮。园区改革激发的市场主体活力充分释放，依托鱼山码头等高能级开放平台，深度融入长三角、粤港澳大湾区等国家战略。陶瓷文化出海和产业链全球化布局取得重要进展，在“引进来”和“走出去”中彰显昌江特色，更高水平的开放型经济新格局基本形成。</w:t>
      </w:r>
    </w:p>
    <w:p w14:paraId="53B1C3CC">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——生态文明建设取得新进展。</w:t>
      </w:r>
      <w:r>
        <w:rPr>
          <w:rFonts w:hint="eastAsia" w:ascii="仿宋_GB2312" w:hAnsi="仿宋_GB2312" w:eastAsia="仿宋_GB2312" w:cs="仿宋_GB2312"/>
          <w:sz w:val="32"/>
          <w:szCs w:val="32"/>
          <w:highlight w:val="none"/>
        </w:rPr>
        <w:t>“治山理水、显山露水”的生态格局更加彰显。昌江流域“河道—湿地—水体”生态系统得到系统性修复，绿色建筑、绿色生产、绿色生活方式广泛普及，碳达峰工作机制健全有效。产业生态化与生态产业化协同并进，“绿水青山”向“金山银山”的转化通道更为畅通。</w:t>
      </w:r>
    </w:p>
    <w:p w14:paraId="673AEFED">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——区域城乡融合展现新面貌。</w:t>
      </w:r>
      <w:r>
        <w:rPr>
          <w:rFonts w:hint="eastAsia" w:ascii="仿宋_GB2312" w:hAnsi="仿宋_GB2312" w:eastAsia="仿宋_GB2312" w:cs="仿宋_GB2312"/>
          <w:sz w:val="32"/>
          <w:szCs w:val="32"/>
          <w:highlight w:val="none"/>
        </w:rPr>
        <w:t>城乡空间布局持续优化，“一核引领、两轴联动、三组团协作”的城市发展格局基本成型，中心城区辐射带动能力和功能品质全面提升。城乡融合发展体制机制更趋完善，要素流动、基础设施、公共服务一体化水平显著提高。乡村治理效能和产业振兴、生态宜居融合发展水平持续提升，建成一批具有昌江特色的宜居宜业和美乡村示范样板，城乡融合发展示范区建设成效卓著。</w:t>
      </w:r>
    </w:p>
    <w:p w14:paraId="6EFD9B7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——社会文明实现新提升。</w:t>
      </w:r>
      <w:r>
        <w:rPr>
          <w:rFonts w:hint="eastAsia" w:ascii="仿宋_GB2312" w:hAnsi="仿宋_GB2312" w:eastAsia="仿宋_GB2312" w:cs="仿宋_GB2312"/>
          <w:sz w:val="32"/>
          <w:szCs w:val="32"/>
          <w:highlight w:val="none"/>
        </w:rPr>
        <w:t>社会主义核心价值观广泛践行，红色基因与“荷塘作风”深入人心。以中国陶瓷博物馆为龙头的“千馆之城”博物馆集群能级提升，特色文化IP的软实力和社会影响力显著增强。普惠共享的现代公共文化服务体系更加完善，为社会文明进步注入强大精神动力。</w:t>
      </w:r>
    </w:p>
    <w:p w14:paraId="733EFC15">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——民生福祉改善达到新水平。</w:t>
      </w:r>
      <w:r>
        <w:rPr>
          <w:rFonts w:hint="eastAsia" w:ascii="仿宋_GB2312" w:hAnsi="仿宋_GB2312" w:eastAsia="仿宋_GB2312" w:cs="仿宋_GB2312"/>
          <w:sz w:val="32"/>
          <w:szCs w:val="32"/>
          <w:highlight w:val="none"/>
        </w:rPr>
        <w:t>实现更高质量充分就业，居民收入与经济增长基本同步。优质均衡的义务教育、覆盖全民的多层次社会保障、普惠可及的养老托育和医疗卫生服务体系更加健全。“健康昌江”建设深入推进，群众急难愁盼问题得到有效解决，人民群众的获得感、幸福感、安全感在昌江现代化建设进程中更加充实、更有保障、更可持续。</w:t>
      </w:r>
    </w:p>
    <w:p w14:paraId="0371D914">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highlight w:val="none"/>
        </w:rPr>
        <w:t>——安全根基筑牢新防线。</w:t>
      </w:r>
      <w:r>
        <w:rPr>
          <w:rFonts w:hint="eastAsia" w:ascii="仿宋_GB2312" w:hAnsi="仿宋_GB2312" w:eastAsia="仿宋_GB2312" w:cs="仿宋_GB2312"/>
          <w:b w:val="0"/>
          <w:bCs w:val="0"/>
          <w:sz w:val="32"/>
          <w:szCs w:val="32"/>
          <w:highlight w:val="none"/>
        </w:rPr>
        <w:t>区域</w:t>
      </w:r>
      <w:r>
        <w:rPr>
          <w:rFonts w:hint="eastAsia" w:ascii="仿宋_GB2312" w:hAnsi="仿宋_GB2312" w:eastAsia="仿宋_GB2312" w:cs="仿宋_GB2312"/>
          <w:sz w:val="32"/>
          <w:szCs w:val="32"/>
          <w:highlight w:val="none"/>
        </w:rPr>
        <w:t>安全体系持续完善，重点领域风险有力有效防范化解，经济安全得到有效保护，社会治安防控水平显著提高，本质安全水平持续提升，新时代“枫桥经验”与“综合查一次”等法治实践走深走实，更高水平平安昌江、韧性昌江、法治昌江建设成效显著，维持区域安定有序、和谐稳定。</w:t>
      </w:r>
    </w:p>
    <w:p w14:paraId="74DE29F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到二〇三五年，昌江将与全国、全省、全市同步基本实现社会主义现代化。全区经济实力、综合竞争力大幅跃升，经济总量迈上新台阶。现代化经济体系基本建成，区域治理现代化基本实现，法治昌江基本建成，人民平等参与、平等发展权利得到充分保障。景德镇国家陶瓷文化传承创新试验区主战场优势愈发凸显。文化事业、教育事业、医疗卫生事业和社会保障及公共服务事业取得巨大进步。生态优势进一步巩固，乡村振兴战略目标基本实现，居民收入较大提升，人均地区生产总值位列全省第一方阵。人民生活更加美好，民生福祉、幸福指数显著提高。</w:t>
      </w:r>
    </w:p>
    <w:p w14:paraId="2DFB7603">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实现上述目标，昌江区必须坚持党的全面领导，始终把人民群众对美好生活的向往作为发展出发点和落脚点。持续深化重点领域改革，优化政府治理和服务效能。统筹发展和安全，因地制宜推进各项工作，把习近平总书记对景德镇的重要指示要求转化为推动昌江区高质量发展的具体行动和务实举措。</w:t>
      </w:r>
    </w:p>
    <w:tbl>
      <w:tblPr>
        <w:tblStyle w:val="42"/>
        <w:tblW w:w="10112" w:type="dxa"/>
        <w:jc w:val="center"/>
        <w:tblLayout w:type="autofit"/>
        <w:tblCellMar>
          <w:top w:w="0" w:type="dxa"/>
          <w:left w:w="108" w:type="dxa"/>
          <w:bottom w:w="0" w:type="dxa"/>
          <w:right w:w="108" w:type="dxa"/>
        </w:tblCellMar>
      </w:tblPr>
      <w:tblGrid>
        <w:gridCol w:w="491"/>
        <w:gridCol w:w="1658"/>
        <w:gridCol w:w="2200"/>
        <w:gridCol w:w="1905"/>
        <w:gridCol w:w="1650"/>
        <w:gridCol w:w="1252"/>
        <w:gridCol w:w="956"/>
      </w:tblGrid>
      <w:tr w14:paraId="284B1209">
        <w:tblPrEx>
          <w:tblCellMar>
            <w:top w:w="0" w:type="dxa"/>
            <w:left w:w="108" w:type="dxa"/>
            <w:bottom w:w="0" w:type="dxa"/>
            <w:right w:w="108" w:type="dxa"/>
          </w:tblCellMar>
        </w:tblPrEx>
        <w:trPr>
          <w:trHeight w:val="351" w:hRule="atLeast"/>
          <w:tblHeader/>
          <w:jc w:val="center"/>
        </w:trPr>
        <w:tc>
          <w:tcPr>
            <w:tcW w:w="10112" w:type="dxa"/>
            <w:gridSpan w:val="7"/>
            <w:tcBorders>
              <w:top w:val="single" w:color="000000" w:sz="8" w:space="0"/>
              <w:left w:val="single" w:color="000000" w:sz="8" w:space="0"/>
              <w:bottom w:val="single" w:color="000000" w:sz="8" w:space="0"/>
              <w:right w:val="single" w:color="000000" w:sz="8" w:space="0"/>
            </w:tcBorders>
            <w:vAlign w:val="center"/>
          </w:tcPr>
          <w:p w14:paraId="0A952846">
            <w:pPr>
              <w:pageBreakBefore w:val="0"/>
              <w:tabs>
                <w:tab w:val="left" w:pos="6725"/>
              </w:tabs>
              <w:kinsoku/>
              <w:wordWrap/>
              <w:overflowPunct/>
              <w:topLinePunct w:val="0"/>
              <w:autoSpaceDE/>
              <w:autoSpaceDN/>
              <w:bidi w:val="0"/>
              <w:spacing w:after="0" w:afterLines="0" w:line="240" w:lineRule="auto"/>
              <w:jc w:val="center"/>
              <w:rPr>
                <w:rFonts w:hint="eastAsia" w:ascii="仿宋_GB2312" w:hAnsi="仿宋_GB2312" w:eastAsia="仿宋_GB2312" w:cs="仿宋_GB2312"/>
                <w:b/>
                <w:bCs/>
                <w:sz w:val="32"/>
                <w:szCs w:val="32"/>
                <w:highlight w:val="none"/>
              </w:rPr>
            </w:pPr>
            <w:r>
              <w:rPr>
                <w:rFonts w:hint="eastAsia" w:ascii="黑体" w:hAnsi="黑体" w:eastAsia="黑体" w:cs="黑体"/>
                <w:b w:val="0"/>
                <w:bCs w:val="0"/>
                <w:sz w:val="24"/>
                <w:highlight w:val="none"/>
                <w:lang w:bidi="ar"/>
              </w:rPr>
              <w:t>专栏1  “十五五”经济社会发展主要指标</w:t>
            </w:r>
          </w:p>
        </w:tc>
      </w:tr>
      <w:tr w14:paraId="74BC952A">
        <w:tblPrEx>
          <w:tblCellMar>
            <w:top w:w="0" w:type="dxa"/>
            <w:left w:w="108" w:type="dxa"/>
            <w:bottom w:w="0" w:type="dxa"/>
            <w:right w:w="108" w:type="dxa"/>
          </w:tblCellMar>
        </w:tblPrEx>
        <w:trPr>
          <w:trHeight w:val="351" w:hRule="atLeast"/>
          <w:jc w:val="center"/>
        </w:trPr>
        <w:tc>
          <w:tcPr>
            <w:tcW w:w="491" w:type="dxa"/>
            <w:tcBorders>
              <w:top w:val="nil"/>
              <w:left w:val="single" w:color="000000" w:sz="8" w:space="0"/>
              <w:bottom w:val="single" w:color="000000" w:sz="8" w:space="0"/>
              <w:right w:val="single" w:color="000000" w:sz="8" w:space="0"/>
            </w:tcBorders>
            <w:vAlign w:val="center"/>
          </w:tcPr>
          <w:p w14:paraId="1DB8E4C7">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b/>
                <w:kern w:val="0"/>
                <w:sz w:val="22"/>
                <w:szCs w:val="22"/>
                <w:highlight w:val="none"/>
                <w:lang w:eastAsia="zh-CN" w:bidi="ar"/>
              </w:rPr>
            </w:pPr>
            <w:r>
              <w:rPr>
                <w:rFonts w:hint="eastAsia" w:ascii="仿宋_GB2312" w:hAnsi="仿宋_GB2312" w:eastAsia="仿宋_GB2312" w:cs="仿宋_GB2312"/>
                <w:b/>
                <w:kern w:val="0"/>
                <w:sz w:val="22"/>
                <w:szCs w:val="22"/>
                <w:highlight w:val="none"/>
                <w:lang w:val="en-US" w:eastAsia="zh-CN" w:bidi="ar"/>
              </w:rPr>
              <w:t>类别</w:t>
            </w:r>
          </w:p>
        </w:tc>
        <w:tc>
          <w:tcPr>
            <w:tcW w:w="3858" w:type="dxa"/>
            <w:gridSpan w:val="2"/>
            <w:tcBorders>
              <w:top w:val="single" w:color="000000" w:sz="8" w:space="0"/>
              <w:left w:val="single" w:color="000000" w:sz="8" w:space="0"/>
              <w:bottom w:val="single" w:color="000000" w:sz="8" w:space="0"/>
              <w:right w:val="single" w:color="auto" w:sz="4" w:space="0"/>
            </w:tcBorders>
            <w:vAlign w:val="center"/>
          </w:tcPr>
          <w:p w14:paraId="595E1FA3">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b/>
                <w:kern w:val="0"/>
                <w:sz w:val="22"/>
                <w:szCs w:val="22"/>
                <w:highlight w:val="none"/>
                <w:lang w:bidi="ar"/>
              </w:rPr>
            </w:pPr>
            <w:r>
              <w:rPr>
                <w:rFonts w:hint="eastAsia" w:ascii="仿宋_GB2312" w:hAnsi="仿宋_GB2312" w:eastAsia="仿宋_GB2312" w:cs="仿宋_GB2312"/>
                <w:b/>
                <w:kern w:val="0"/>
                <w:sz w:val="22"/>
                <w:szCs w:val="22"/>
                <w:highlight w:val="none"/>
                <w:lang w:bidi="ar"/>
              </w:rPr>
              <w:t>指标</w:t>
            </w:r>
          </w:p>
        </w:tc>
        <w:tc>
          <w:tcPr>
            <w:tcW w:w="1905" w:type="dxa"/>
            <w:tcBorders>
              <w:top w:val="single" w:color="auto" w:sz="4" w:space="0"/>
              <w:left w:val="single" w:color="auto" w:sz="4" w:space="0"/>
              <w:bottom w:val="single" w:color="auto" w:sz="4" w:space="0"/>
              <w:right w:val="single" w:color="auto" w:sz="4" w:space="0"/>
            </w:tcBorders>
            <w:vAlign w:val="center"/>
          </w:tcPr>
          <w:p w14:paraId="5F8D9878">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b/>
                <w:kern w:val="0"/>
                <w:sz w:val="22"/>
                <w:szCs w:val="22"/>
                <w:highlight w:val="none"/>
                <w:lang w:bidi="ar"/>
              </w:rPr>
            </w:pPr>
            <w:r>
              <w:rPr>
                <w:rFonts w:hint="eastAsia" w:ascii="仿宋_GB2312" w:hAnsi="仿宋_GB2312" w:eastAsia="仿宋_GB2312" w:cs="仿宋_GB2312"/>
                <w:b/>
                <w:kern w:val="0"/>
                <w:sz w:val="22"/>
                <w:szCs w:val="22"/>
                <w:highlight w:val="none"/>
                <w:lang w:bidi="ar"/>
              </w:rPr>
              <w:t>2025年</w:t>
            </w:r>
          </w:p>
        </w:tc>
        <w:tc>
          <w:tcPr>
            <w:tcW w:w="1650" w:type="dxa"/>
            <w:tcBorders>
              <w:top w:val="single" w:color="auto" w:sz="4" w:space="0"/>
              <w:left w:val="single" w:color="auto" w:sz="4" w:space="0"/>
              <w:bottom w:val="single" w:color="auto" w:sz="4" w:space="0"/>
              <w:right w:val="single" w:color="auto" w:sz="4" w:space="0"/>
            </w:tcBorders>
            <w:vAlign w:val="center"/>
          </w:tcPr>
          <w:p w14:paraId="0B1440C1">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b/>
                <w:kern w:val="0"/>
                <w:sz w:val="22"/>
                <w:szCs w:val="22"/>
                <w:highlight w:val="none"/>
                <w:lang w:bidi="ar"/>
              </w:rPr>
            </w:pPr>
            <w:r>
              <w:rPr>
                <w:rFonts w:hint="eastAsia" w:ascii="仿宋_GB2312" w:hAnsi="仿宋_GB2312" w:eastAsia="仿宋_GB2312" w:cs="仿宋_GB2312"/>
                <w:b/>
                <w:kern w:val="0"/>
                <w:sz w:val="22"/>
                <w:szCs w:val="22"/>
                <w:highlight w:val="none"/>
                <w:lang w:bidi="ar"/>
              </w:rPr>
              <w:t>2030年</w:t>
            </w:r>
          </w:p>
        </w:tc>
        <w:tc>
          <w:tcPr>
            <w:tcW w:w="1252" w:type="dxa"/>
            <w:tcBorders>
              <w:top w:val="single" w:color="auto" w:sz="4" w:space="0"/>
              <w:left w:val="single" w:color="auto" w:sz="4" w:space="0"/>
              <w:bottom w:val="single" w:color="auto" w:sz="4" w:space="0"/>
              <w:right w:val="single" w:color="auto" w:sz="4" w:space="0"/>
            </w:tcBorders>
            <w:vAlign w:val="center"/>
          </w:tcPr>
          <w:p w14:paraId="7FEF9C57">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b/>
                <w:kern w:val="0"/>
                <w:sz w:val="22"/>
                <w:szCs w:val="22"/>
                <w:highlight w:val="none"/>
                <w:lang w:bidi="ar"/>
              </w:rPr>
            </w:pPr>
            <w:r>
              <w:rPr>
                <w:rFonts w:hint="eastAsia" w:ascii="仿宋_GB2312" w:hAnsi="仿宋_GB2312" w:eastAsia="仿宋_GB2312" w:cs="仿宋_GB2312"/>
                <w:b/>
                <w:kern w:val="0"/>
                <w:sz w:val="22"/>
                <w:szCs w:val="22"/>
                <w:highlight w:val="none"/>
                <w:lang w:bidi="ar"/>
              </w:rPr>
              <w:t>年均</w:t>
            </w:r>
          </w:p>
        </w:tc>
        <w:tc>
          <w:tcPr>
            <w:tcW w:w="956" w:type="dxa"/>
            <w:tcBorders>
              <w:top w:val="single" w:color="auto" w:sz="4" w:space="0"/>
              <w:left w:val="single" w:color="auto" w:sz="4" w:space="0"/>
              <w:bottom w:val="single" w:color="auto" w:sz="4" w:space="0"/>
              <w:right w:val="single" w:color="auto" w:sz="4" w:space="0"/>
            </w:tcBorders>
            <w:vAlign w:val="center"/>
          </w:tcPr>
          <w:p w14:paraId="4A84FD5C">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b/>
                <w:kern w:val="0"/>
                <w:sz w:val="22"/>
                <w:szCs w:val="22"/>
                <w:highlight w:val="none"/>
                <w:lang w:bidi="ar"/>
              </w:rPr>
            </w:pPr>
            <w:r>
              <w:rPr>
                <w:rFonts w:hint="eastAsia" w:ascii="仿宋_GB2312" w:hAnsi="仿宋_GB2312" w:eastAsia="仿宋_GB2312" w:cs="仿宋_GB2312"/>
                <w:b/>
                <w:kern w:val="0"/>
                <w:sz w:val="22"/>
                <w:szCs w:val="22"/>
                <w:highlight w:val="none"/>
                <w:lang w:bidi="ar"/>
              </w:rPr>
              <w:t>指标</w:t>
            </w:r>
          </w:p>
          <w:p w14:paraId="779EC37B">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b/>
                <w:kern w:val="0"/>
                <w:sz w:val="22"/>
                <w:szCs w:val="22"/>
                <w:highlight w:val="none"/>
                <w:lang w:bidi="ar"/>
              </w:rPr>
            </w:pPr>
            <w:r>
              <w:rPr>
                <w:rFonts w:hint="eastAsia" w:ascii="仿宋_GB2312" w:hAnsi="仿宋_GB2312" w:eastAsia="仿宋_GB2312" w:cs="仿宋_GB2312"/>
                <w:b/>
                <w:kern w:val="0"/>
                <w:sz w:val="22"/>
                <w:szCs w:val="22"/>
                <w:highlight w:val="none"/>
                <w:lang w:bidi="ar"/>
              </w:rPr>
              <w:t>属性</w:t>
            </w:r>
          </w:p>
        </w:tc>
      </w:tr>
      <w:tr w14:paraId="22B02B8C">
        <w:tblPrEx>
          <w:tblCellMar>
            <w:top w:w="0" w:type="dxa"/>
            <w:left w:w="108" w:type="dxa"/>
            <w:bottom w:w="0" w:type="dxa"/>
            <w:right w:w="108" w:type="dxa"/>
          </w:tblCellMar>
        </w:tblPrEx>
        <w:trPr>
          <w:trHeight w:val="351" w:hRule="atLeast"/>
          <w:jc w:val="center"/>
        </w:trPr>
        <w:tc>
          <w:tcPr>
            <w:tcW w:w="491" w:type="dxa"/>
            <w:vMerge w:val="restart"/>
            <w:tcBorders>
              <w:top w:val="nil"/>
              <w:left w:val="single" w:color="000000" w:sz="8" w:space="0"/>
              <w:bottom w:val="single" w:color="000000" w:sz="8" w:space="0"/>
              <w:right w:val="single" w:color="000000" w:sz="8" w:space="0"/>
            </w:tcBorders>
            <w:vAlign w:val="center"/>
          </w:tcPr>
          <w:p w14:paraId="32806899">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kern w:val="0"/>
                <w:sz w:val="22"/>
                <w:szCs w:val="22"/>
                <w:highlight w:val="none"/>
                <w:lang w:bidi="ar"/>
              </w:rPr>
              <w:t>经济发展</w:t>
            </w:r>
          </w:p>
        </w:tc>
        <w:tc>
          <w:tcPr>
            <w:tcW w:w="3858" w:type="dxa"/>
            <w:gridSpan w:val="2"/>
            <w:tcBorders>
              <w:top w:val="nil"/>
              <w:left w:val="single" w:color="000000" w:sz="8" w:space="0"/>
              <w:bottom w:val="single" w:color="000000" w:sz="8" w:space="0"/>
              <w:right w:val="single" w:color="000000" w:sz="8" w:space="0"/>
            </w:tcBorders>
            <w:vAlign w:val="center"/>
          </w:tcPr>
          <w:p w14:paraId="036353C1">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1.地区生产总值增长（%）</w:t>
            </w:r>
          </w:p>
        </w:tc>
        <w:tc>
          <w:tcPr>
            <w:tcW w:w="1905" w:type="dxa"/>
            <w:tcBorders>
              <w:top w:val="single" w:color="auto" w:sz="4" w:space="0"/>
              <w:left w:val="single" w:color="000000" w:sz="8" w:space="0"/>
              <w:bottom w:val="single" w:color="000000" w:sz="8" w:space="0"/>
              <w:right w:val="single" w:color="000000" w:sz="8" w:space="0"/>
            </w:tcBorders>
            <w:vAlign w:val="center"/>
          </w:tcPr>
          <w:p w14:paraId="790FD78E">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3.8</w:t>
            </w:r>
          </w:p>
        </w:tc>
        <w:tc>
          <w:tcPr>
            <w:tcW w:w="1650" w:type="dxa"/>
            <w:tcBorders>
              <w:top w:val="single" w:color="auto" w:sz="4" w:space="0"/>
              <w:left w:val="single" w:color="000000" w:sz="8" w:space="0"/>
              <w:bottom w:val="single" w:color="000000" w:sz="8" w:space="0"/>
              <w:right w:val="single" w:color="000000" w:sz="8" w:space="0"/>
            </w:tcBorders>
            <w:vAlign w:val="center"/>
          </w:tcPr>
          <w:p w14:paraId="53915977">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1252" w:type="dxa"/>
            <w:tcBorders>
              <w:top w:val="single" w:color="auto" w:sz="4" w:space="0"/>
              <w:left w:val="single" w:color="000000" w:sz="8" w:space="0"/>
              <w:bottom w:val="single" w:color="000000" w:sz="8" w:space="0"/>
              <w:right w:val="single" w:color="000000" w:sz="8" w:space="0"/>
            </w:tcBorders>
            <w:vAlign w:val="center"/>
          </w:tcPr>
          <w:p w14:paraId="41E45519">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5左右</w:t>
            </w:r>
          </w:p>
        </w:tc>
        <w:tc>
          <w:tcPr>
            <w:tcW w:w="956" w:type="dxa"/>
            <w:tcBorders>
              <w:top w:val="single" w:color="auto" w:sz="4" w:space="0"/>
              <w:left w:val="single" w:color="000000" w:sz="8" w:space="0"/>
              <w:bottom w:val="single" w:color="000000" w:sz="8" w:space="0"/>
              <w:right w:val="single" w:color="000000" w:sz="8" w:space="0"/>
            </w:tcBorders>
            <w:vAlign w:val="center"/>
          </w:tcPr>
          <w:p w14:paraId="10386DBA">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1400F192">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2419E6C8">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310B393B">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2.全员劳动生产率增长（%）</w:t>
            </w:r>
          </w:p>
        </w:tc>
        <w:tc>
          <w:tcPr>
            <w:tcW w:w="1905" w:type="dxa"/>
            <w:tcBorders>
              <w:top w:val="nil"/>
              <w:left w:val="single" w:color="000000" w:sz="8" w:space="0"/>
              <w:bottom w:val="single" w:color="000000" w:sz="8" w:space="0"/>
              <w:right w:val="single" w:color="000000" w:sz="8" w:space="0"/>
            </w:tcBorders>
            <w:vAlign w:val="center"/>
          </w:tcPr>
          <w:p w14:paraId="2690AC51">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3.8</w:t>
            </w:r>
          </w:p>
        </w:tc>
        <w:tc>
          <w:tcPr>
            <w:tcW w:w="1650" w:type="dxa"/>
            <w:tcBorders>
              <w:top w:val="nil"/>
              <w:left w:val="single" w:color="000000" w:sz="8" w:space="0"/>
              <w:bottom w:val="single" w:color="000000" w:sz="8" w:space="0"/>
              <w:right w:val="single" w:color="000000" w:sz="8" w:space="0"/>
            </w:tcBorders>
            <w:vAlign w:val="center"/>
          </w:tcPr>
          <w:p w14:paraId="29E9FFAD">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1252" w:type="dxa"/>
            <w:tcBorders>
              <w:top w:val="nil"/>
              <w:left w:val="single" w:color="000000" w:sz="8" w:space="0"/>
              <w:bottom w:val="single" w:color="000000" w:sz="8" w:space="0"/>
              <w:right w:val="single" w:color="000000" w:sz="8" w:space="0"/>
            </w:tcBorders>
            <w:vAlign w:val="center"/>
          </w:tcPr>
          <w:p w14:paraId="34063FE1">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5左右</w:t>
            </w:r>
          </w:p>
        </w:tc>
        <w:tc>
          <w:tcPr>
            <w:tcW w:w="956" w:type="dxa"/>
            <w:tcBorders>
              <w:top w:val="nil"/>
              <w:left w:val="single" w:color="000000" w:sz="8" w:space="0"/>
              <w:bottom w:val="single" w:color="000000" w:sz="8" w:space="0"/>
              <w:right w:val="single" w:color="000000" w:sz="8" w:space="0"/>
            </w:tcBorders>
            <w:vAlign w:val="center"/>
          </w:tcPr>
          <w:p w14:paraId="3565FF7F">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06ECA121">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13F9BA3A">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2DA6F265">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3.三次产业结构（%）</w:t>
            </w:r>
          </w:p>
        </w:tc>
        <w:tc>
          <w:tcPr>
            <w:tcW w:w="1905" w:type="dxa"/>
            <w:tcBorders>
              <w:top w:val="nil"/>
              <w:left w:val="single" w:color="000000" w:sz="8" w:space="0"/>
              <w:bottom w:val="single" w:color="000000" w:sz="8" w:space="0"/>
              <w:right w:val="single" w:color="000000" w:sz="8" w:space="0"/>
            </w:tcBorders>
            <w:vAlign w:val="center"/>
          </w:tcPr>
          <w:p w14:paraId="5A6A3583">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1.8:53.4:44.8</w:t>
            </w:r>
          </w:p>
        </w:tc>
        <w:tc>
          <w:tcPr>
            <w:tcW w:w="1650" w:type="dxa"/>
            <w:tcBorders>
              <w:top w:val="nil"/>
              <w:left w:val="single" w:color="000000" w:sz="8" w:space="0"/>
              <w:bottom w:val="single" w:color="000000" w:sz="8" w:space="0"/>
              <w:right w:val="single" w:color="000000" w:sz="8" w:space="0"/>
            </w:tcBorders>
            <w:vAlign w:val="center"/>
          </w:tcPr>
          <w:p w14:paraId="2C978581">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1.5:50.5:48</w:t>
            </w:r>
          </w:p>
        </w:tc>
        <w:tc>
          <w:tcPr>
            <w:tcW w:w="1252" w:type="dxa"/>
            <w:tcBorders>
              <w:top w:val="nil"/>
              <w:left w:val="single" w:color="000000" w:sz="8" w:space="0"/>
              <w:bottom w:val="single" w:color="000000" w:sz="8" w:space="0"/>
              <w:right w:val="single" w:color="000000" w:sz="8" w:space="0"/>
            </w:tcBorders>
            <w:vAlign w:val="center"/>
          </w:tcPr>
          <w:p w14:paraId="7AED0B94">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38DCFC88">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5B05E0C8">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51613146">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5CD29D30">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4.规模以上工业增加值增长（%）</w:t>
            </w:r>
          </w:p>
        </w:tc>
        <w:tc>
          <w:tcPr>
            <w:tcW w:w="1905" w:type="dxa"/>
            <w:tcBorders>
              <w:top w:val="nil"/>
              <w:left w:val="single" w:color="000000" w:sz="8" w:space="0"/>
              <w:bottom w:val="single" w:color="000000" w:sz="8" w:space="0"/>
              <w:right w:val="single" w:color="000000" w:sz="8" w:space="0"/>
            </w:tcBorders>
            <w:vAlign w:val="center"/>
          </w:tcPr>
          <w:p w14:paraId="3ECC9236">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6.9</w:t>
            </w:r>
          </w:p>
        </w:tc>
        <w:tc>
          <w:tcPr>
            <w:tcW w:w="1650" w:type="dxa"/>
            <w:tcBorders>
              <w:top w:val="nil"/>
              <w:left w:val="single" w:color="000000" w:sz="8" w:space="0"/>
              <w:bottom w:val="single" w:color="000000" w:sz="8" w:space="0"/>
              <w:right w:val="single" w:color="000000" w:sz="8" w:space="0"/>
            </w:tcBorders>
            <w:vAlign w:val="center"/>
          </w:tcPr>
          <w:p w14:paraId="4FDAF055">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1252" w:type="dxa"/>
            <w:tcBorders>
              <w:top w:val="nil"/>
              <w:left w:val="single" w:color="000000" w:sz="8" w:space="0"/>
              <w:bottom w:val="single" w:color="000000" w:sz="8" w:space="0"/>
              <w:right w:val="single" w:color="000000" w:sz="8" w:space="0"/>
            </w:tcBorders>
            <w:vAlign w:val="center"/>
          </w:tcPr>
          <w:p w14:paraId="1434BD72">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7左右</w:t>
            </w:r>
          </w:p>
        </w:tc>
        <w:tc>
          <w:tcPr>
            <w:tcW w:w="956" w:type="dxa"/>
            <w:tcBorders>
              <w:top w:val="nil"/>
              <w:left w:val="single" w:color="000000" w:sz="8" w:space="0"/>
              <w:bottom w:val="single" w:color="000000" w:sz="8" w:space="0"/>
              <w:right w:val="single" w:color="000000" w:sz="8" w:space="0"/>
            </w:tcBorders>
            <w:vAlign w:val="center"/>
          </w:tcPr>
          <w:p w14:paraId="1FD553F3">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62A8F18D">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6C9BC430">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single" w:color="000000" w:sz="8" w:space="0"/>
              <w:left w:val="single" w:color="000000" w:sz="8" w:space="0"/>
              <w:bottom w:val="single" w:color="000000" w:sz="8" w:space="0"/>
              <w:right w:val="single" w:color="000000" w:sz="8" w:space="0"/>
            </w:tcBorders>
            <w:vAlign w:val="center"/>
          </w:tcPr>
          <w:p w14:paraId="5EE7F982">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5.固定资产投资增长（%）</w:t>
            </w:r>
          </w:p>
        </w:tc>
        <w:tc>
          <w:tcPr>
            <w:tcW w:w="1905" w:type="dxa"/>
            <w:tcBorders>
              <w:top w:val="nil"/>
              <w:left w:val="single" w:color="000000" w:sz="8" w:space="0"/>
              <w:bottom w:val="single" w:color="000000" w:sz="8" w:space="0"/>
              <w:right w:val="single" w:color="000000" w:sz="8" w:space="0"/>
            </w:tcBorders>
            <w:vAlign w:val="center"/>
          </w:tcPr>
          <w:p w14:paraId="2D055E5D">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5.9</w:t>
            </w:r>
          </w:p>
        </w:tc>
        <w:tc>
          <w:tcPr>
            <w:tcW w:w="1650" w:type="dxa"/>
            <w:tcBorders>
              <w:top w:val="nil"/>
              <w:left w:val="single" w:color="000000" w:sz="8" w:space="0"/>
              <w:bottom w:val="single" w:color="000000" w:sz="8" w:space="0"/>
              <w:right w:val="single" w:color="000000" w:sz="8" w:space="0"/>
            </w:tcBorders>
            <w:vAlign w:val="center"/>
          </w:tcPr>
          <w:p w14:paraId="05BCF0DD">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1252" w:type="dxa"/>
            <w:tcBorders>
              <w:top w:val="nil"/>
              <w:left w:val="single" w:color="000000" w:sz="8" w:space="0"/>
              <w:bottom w:val="single" w:color="000000" w:sz="8" w:space="0"/>
              <w:right w:val="single" w:color="000000" w:sz="8" w:space="0"/>
            </w:tcBorders>
            <w:vAlign w:val="center"/>
          </w:tcPr>
          <w:p w14:paraId="20354251">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4左右</w:t>
            </w:r>
          </w:p>
        </w:tc>
        <w:tc>
          <w:tcPr>
            <w:tcW w:w="956" w:type="dxa"/>
            <w:tcBorders>
              <w:top w:val="nil"/>
              <w:left w:val="single" w:color="000000" w:sz="8" w:space="0"/>
              <w:bottom w:val="single" w:color="000000" w:sz="8" w:space="0"/>
              <w:right w:val="single" w:color="000000" w:sz="8" w:space="0"/>
            </w:tcBorders>
            <w:vAlign w:val="center"/>
          </w:tcPr>
          <w:p w14:paraId="0CD4936F">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011F7ED2">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25485BD2">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3C26962E">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6.社会消费品零售总额增长（%）</w:t>
            </w:r>
          </w:p>
        </w:tc>
        <w:tc>
          <w:tcPr>
            <w:tcW w:w="1905" w:type="dxa"/>
            <w:tcBorders>
              <w:top w:val="single" w:color="000000" w:sz="8" w:space="0"/>
              <w:left w:val="single" w:color="000000" w:sz="8" w:space="0"/>
              <w:bottom w:val="single" w:color="000000" w:sz="8" w:space="0"/>
              <w:right w:val="single" w:color="000000" w:sz="8" w:space="0"/>
            </w:tcBorders>
            <w:vAlign w:val="center"/>
          </w:tcPr>
          <w:p w14:paraId="0BBD7028">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5.6</w:t>
            </w:r>
          </w:p>
        </w:tc>
        <w:tc>
          <w:tcPr>
            <w:tcW w:w="1650" w:type="dxa"/>
            <w:tcBorders>
              <w:top w:val="single" w:color="000000" w:sz="8" w:space="0"/>
              <w:left w:val="single" w:color="000000" w:sz="8" w:space="0"/>
              <w:bottom w:val="single" w:color="000000" w:sz="8" w:space="0"/>
              <w:right w:val="single" w:color="000000" w:sz="8" w:space="0"/>
            </w:tcBorders>
            <w:vAlign w:val="center"/>
          </w:tcPr>
          <w:p w14:paraId="2458D6EB">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1252" w:type="dxa"/>
            <w:tcBorders>
              <w:top w:val="nil"/>
              <w:left w:val="single" w:color="000000" w:sz="8" w:space="0"/>
              <w:bottom w:val="single" w:color="000000" w:sz="8" w:space="0"/>
              <w:right w:val="single" w:color="000000" w:sz="8" w:space="0"/>
            </w:tcBorders>
            <w:vAlign w:val="center"/>
          </w:tcPr>
          <w:p w14:paraId="2922772E">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4.5左右</w:t>
            </w:r>
          </w:p>
        </w:tc>
        <w:tc>
          <w:tcPr>
            <w:tcW w:w="956" w:type="dxa"/>
            <w:tcBorders>
              <w:top w:val="single" w:color="000000" w:sz="8" w:space="0"/>
              <w:left w:val="single" w:color="000000" w:sz="8" w:space="0"/>
              <w:bottom w:val="single" w:color="000000" w:sz="8" w:space="0"/>
              <w:right w:val="single" w:color="000000" w:sz="8" w:space="0"/>
            </w:tcBorders>
            <w:vAlign w:val="center"/>
          </w:tcPr>
          <w:p w14:paraId="5855AE71">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463D2AC0">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1B593F53">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1E3F4128">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7.进出口总额（亿元）</w:t>
            </w:r>
          </w:p>
        </w:tc>
        <w:tc>
          <w:tcPr>
            <w:tcW w:w="1905" w:type="dxa"/>
            <w:tcBorders>
              <w:top w:val="nil"/>
              <w:left w:val="single" w:color="000000" w:sz="8" w:space="0"/>
              <w:bottom w:val="single" w:color="000000" w:sz="8" w:space="0"/>
              <w:right w:val="single" w:color="000000" w:sz="8" w:space="0"/>
            </w:tcBorders>
            <w:vAlign w:val="center"/>
          </w:tcPr>
          <w:p w14:paraId="03C50840">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14.37</w:t>
            </w:r>
          </w:p>
        </w:tc>
        <w:tc>
          <w:tcPr>
            <w:tcW w:w="1650" w:type="dxa"/>
            <w:tcBorders>
              <w:top w:val="nil"/>
              <w:left w:val="single" w:color="000000" w:sz="8" w:space="0"/>
              <w:bottom w:val="single" w:color="000000" w:sz="8" w:space="0"/>
              <w:right w:val="single" w:color="000000" w:sz="8" w:space="0"/>
            </w:tcBorders>
            <w:vAlign w:val="center"/>
          </w:tcPr>
          <w:p w14:paraId="7A2DB641">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highlight w:val="none"/>
                <w:lang w:bidi="ar"/>
              </w:rPr>
              <w:t>促稳提质</w:t>
            </w:r>
          </w:p>
        </w:tc>
        <w:tc>
          <w:tcPr>
            <w:tcW w:w="1252" w:type="dxa"/>
            <w:tcBorders>
              <w:top w:val="nil"/>
              <w:left w:val="single" w:color="000000" w:sz="8" w:space="0"/>
              <w:bottom w:val="single" w:color="000000" w:sz="8" w:space="0"/>
              <w:right w:val="single" w:color="000000" w:sz="8" w:space="0"/>
            </w:tcBorders>
            <w:vAlign w:val="center"/>
          </w:tcPr>
          <w:p w14:paraId="25C71421">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59B71B33">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62EB0A6B">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35676666">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297977F1">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8.实际利用外资（亿美元）</w:t>
            </w:r>
          </w:p>
        </w:tc>
        <w:tc>
          <w:tcPr>
            <w:tcW w:w="1905" w:type="dxa"/>
            <w:tcBorders>
              <w:top w:val="nil"/>
              <w:left w:val="single" w:color="000000" w:sz="8" w:space="0"/>
              <w:bottom w:val="single" w:color="000000" w:sz="8" w:space="0"/>
              <w:right w:val="single" w:color="000000" w:sz="8" w:space="0"/>
            </w:tcBorders>
            <w:vAlign w:val="center"/>
          </w:tcPr>
          <w:p w14:paraId="645D7945">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0.0921</w:t>
            </w:r>
          </w:p>
        </w:tc>
        <w:tc>
          <w:tcPr>
            <w:tcW w:w="1650" w:type="dxa"/>
            <w:tcBorders>
              <w:top w:val="nil"/>
              <w:left w:val="single" w:color="000000" w:sz="8" w:space="0"/>
              <w:bottom w:val="single" w:color="000000" w:sz="8" w:space="0"/>
              <w:right w:val="single" w:color="000000" w:sz="8" w:space="0"/>
            </w:tcBorders>
            <w:vAlign w:val="center"/>
          </w:tcPr>
          <w:p w14:paraId="0E662A72">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highlight w:val="none"/>
                <w:lang w:bidi="ar"/>
              </w:rPr>
              <w:t>促稳提质</w:t>
            </w:r>
          </w:p>
        </w:tc>
        <w:tc>
          <w:tcPr>
            <w:tcW w:w="1252" w:type="dxa"/>
            <w:tcBorders>
              <w:top w:val="nil"/>
              <w:left w:val="single" w:color="000000" w:sz="8" w:space="0"/>
              <w:bottom w:val="single" w:color="000000" w:sz="8" w:space="0"/>
              <w:right w:val="single" w:color="000000" w:sz="8" w:space="0"/>
            </w:tcBorders>
            <w:vAlign w:val="center"/>
          </w:tcPr>
          <w:p w14:paraId="4EC88B5C">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6A922E19">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44092C66">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1777AB3E">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700A0882">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9.常住人口城镇化率（%）</w:t>
            </w:r>
          </w:p>
        </w:tc>
        <w:tc>
          <w:tcPr>
            <w:tcW w:w="1905" w:type="dxa"/>
            <w:tcBorders>
              <w:top w:val="nil"/>
              <w:left w:val="single" w:color="000000" w:sz="8" w:space="0"/>
              <w:bottom w:val="single" w:color="000000" w:sz="8" w:space="0"/>
              <w:right w:val="single" w:color="000000" w:sz="8" w:space="0"/>
            </w:tcBorders>
            <w:vAlign w:val="center"/>
          </w:tcPr>
          <w:p w14:paraId="08226695">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84.45</w:t>
            </w:r>
          </w:p>
        </w:tc>
        <w:tc>
          <w:tcPr>
            <w:tcW w:w="1650" w:type="dxa"/>
            <w:tcBorders>
              <w:top w:val="nil"/>
              <w:left w:val="single" w:color="000000" w:sz="8" w:space="0"/>
              <w:bottom w:val="single" w:color="000000" w:sz="8" w:space="0"/>
              <w:right w:val="single" w:color="000000" w:sz="8" w:space="0"/>
            </w:tcBorders>
            <w:vAlign w:val="center"/>
          </w:tcPr>
          <w:p w14:paraId="5EAC3A48">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85</w:t>
            </w:r>
          </w:p>
        </w:tc>
        <w:tc>
          <w:tcPr>
            <w:tcW w:w="1252" w:type="dxa"/>
            <w:tcBorders>
              <w:top w:val="nil"/>
              <w:left w:val="single" w:color="000000" w:sz="8" w:space="0"/>
              <w:bottom w:val="single" w:color="000000" w:sz="8" w:space="0"/>
              <w:right w:val="single" w:color="000000" w:sz="8" w:space="0"/>
            </w:tcBorders>
            <w:vAlign w:val="center"/>
          </w:tcPr>
          <w:p w14:paraId="10B13992">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4CC20B01">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7C93D64F">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3A7145A7">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68FC44A6">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10.陶瓷产业总产值（亿元）</w:t>
            </w:r>
          </w:p>
        </w:tc>
        <w:tc>
          <w:tcPr>
            <w:tcW w:w="1905" w:type="dxa"/>
            <w:tcBorders>
              <w:top w:val="nil"/>
              <w:left w:val="single" w:color="000000" w:sz="8" w:space="0"/>
              <w:bottom w:val="single" w:color="000000" w:sz="8" w:space="0"/>
              <w:right w:val="single" w:color="000000" w:sz="8" w:space="0"/>
            </w:tcBorders>
            <w:vAlign w:val="center"/>
          </w:tcPr>
          <w:p w14:paraId="44113376">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103</w:t>
            </w:r>
          </w:p>
        </w:tc>
        <w:tc>
          <w:tcPr>
            <w:tcW w:w="1650" w:type="dxa"/>
            <w:tcBorders>
              <w:top w:val="nil"/>
              <w:left w:val="single" w:color="000000" w:sz="8" w:space="0"/>
              <w:bottom w:val="single" w:color="000000" w:sz="8" w:space="0"/>
              <w:right w:val="single" w:color="000000" w:sz="8" w:space="0"/>
            </w:tcBorders>
            <w:vAlign w:val="center"/>
          </w:tcPr>
          <w:p w14:paraId="49EDEC27">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200左右</w:t>
            </w:r>
          </w:p>
        </w:tc>
        <w:tc>
          <w:tcPr>
            <w:tcW w:w="1252" w:type="dxa"/>
            <w:tcBorders>
              <w:top w:val="nil"/>
              <w:left w:val="single" w:color="000000" w:sz="8" w:space="0"/>
              <w:bottom w:val="single" w:color="000000" w:sz="8" w:space="0"/>
              <w:right w:val="single" w:color="000000" w:sz="8" w:space="0"/>
            </w:tcBorders>
            <w:vAlign w:val="center"/>
          </w:tcPr>
          <w:p w14:paraId="0595C3DD">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07B45B59">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46320B82">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56C1487A">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07E6C842">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11.电子信息产业总产值（亿元）</w:t>
            </w:r>
          </w:p>
        </w:tc>
        <w:tc>
          <w:tcPr>
            <w:tcW w:w="1905" w:type="dxa"/>
            <w:tcBorders>
              <w:top w:val="nil"/>
              <w:left w:val="single" w:color="000000" w:sz="8" w:space="0"/>
              <w:bottom w:val="single" w:color="000000" w:sz="8" w:space="0"/>
              <w:right w:val="single" w:color="000000" w:sz="8" w:space="0"/>
            </w:tcBorders>
            <w:vAlign w:val="center"/>
          </w:tcPr>
          <w:p w14:paraId="3354088C">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14.5</w:t>
            </w:r>
          </w:p>
        </w:tc>
        <w:tc>
          <w:tcPr>
            <w:tcW w:w="1650" w:type="dxa"/>
            <w:tcBorders>
              <w:top w:val="nil"/>
              <w:left w:val="single" w:color="000000" w:sz="8" w:space="0"/>
              <w:bottom w:val="single" w:color="000000" w:sz="8" w:space="0"/>
              <w:right w:val="single" w:color="000000" w:sz="8" w:space="0"/>
            </w:tcBorders>
            <w:vAlign w:val="center"/>
          </w:tcPr>
          <w:p w14:paraId="7E0045A8">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100左右</w:t>
            </w:r>
          </w:p>
        </w:tc>
        <w:tc>
          <w:tcPr>
            <w:tcW w:w="1252" w:type="dxa"/>
            <w:tcBorders>
              <w:top w:val="nil"/>
              <w:left w:val="single" w:color="000000" w:sz="8" w:space="0"/>
              <w:bottom w:val="single" w:color="000000" w:sz="8" w:space="0"/>
              <w:right w:val="single" w:color="000000" w:sz="8" w:space="0"/>
            </w:tcBorders>
            <w:vAlign w:val="center"/>
          </w:tcPr>
          <w:p w14:paraId="584B59B9">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1EF5C47D">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71E25338">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2C7FDC66">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5A4C242B">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12.生物医药产业总产值（亿元）</w:t>
            </w:r>
          </w:p>
        </w:tc>
        <w:tc>
          <w:tcPr>
            <w:tcW w:w="1905" w:type="dxa"/>
            <w:tcBorders>
              <w:top w:val="nil"/>
              <w:left w:val="single" w:color="000000" w:sz="8" w:space="0"/>
              <w:bottom w:val="single" w:color="000000" w:sz="8" w:space="0"/>
              <w:right w:val="single" w:color="000000" w:sz="8" w:space="0"/>
            </w:tcBorders>
            <w:vAlign w:val="center"/>
          </w:tcPr>
          <w:p w14:paraId="2AD2A666">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10.5</w:t>
            </w:r>
          </w:p>
        </w:tc>
        <w:tc>
          <w:tcPr>
            <w:tcW w:w="1650" w:type="dxa"/>
            <w:tcBorders>
              <w:top w:val="nil"/>
              <w:left w:val="single" w:color="000000" w:sz="8" w:space="0"/>
              <w:bottom w:val="single" w:color="000000" w:sz="8" w:space="0"/>
              <w:right w:val="single" w:color="000000" w:sz="8" w:space="0"/>
            </w:tcBorders>
            <w:vAlign w:val="center"/>
          </w:tcPr>
          <w:p w14:paraId="7F51667F">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50左右</w:t>
            </w:r>
          </w:p>
        </w:tc>
        <w:tc>
          <w:tcPr>
            <w:tcW w:w="1252" w:type="dxa"/>
            <w:tcBorders>
              <w:top w:val="nil"/>
              <w:left w:val="single" w:color="000000" w:sz="8" w:space="0"/>
              <w:bottom w:val="single" w:color="000000" w:sz="8" w:space="0"/>
              <w:right w:val="single" w:color="000000" w:sz="8" w:space="0"/>
            </w:tcBorders>
            <w:vAlign w:val="center"/>
          </w:tcPr>
          <w:p w14:paraId="45343C00">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35700E48">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1A771994">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14E10BE9">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38653DEF">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13.新材料产业总产值（亿元）</w:t>
            </w:r>
          </w:p>
        </w:tc>
        <w:tc>
          <w:tcPr>
            <w:tcW w:w="1905" w:type="dxa"/>
            <w:tcBorders>
              <w:top w:val="nil"/>
              <w:left w:val="single" w:color="000000" w:sz="8" w:space="0"/>
              <w:bottom w:val="single" w:color="000000" w:sz="8" w:space="0"/>
              <w:right w:val="single" w:color="000000" w:sz="8" w:space="0"/>
            </w:tcBorders>
            <w:vAlign w:val="center"/>
          </w:tcPr>
          <w:p w14:paraId="7496A094">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50</w:t>
            </w:r>
          </w:p>
        </w:tc>
        <w:tc>
          <w:tcPr>
            <w:tcW w:w="1650" w:type="dxa"/>
            <w:tcBorders>
              <w:top w:val="nil"/>
              <w:left w:val="single" w:color="000000" w:sz="8" w:space="0"/>
              <w:bottom w:val="single" w:color="000000" w:sz="8" w:space="0"/>
              <w:right w:val="single" w:color="000000" w:sz="8" w:space="0"/>
            </w:tcBorders>
            <w:vAlign w:val="center"/>
          </w:tcPr>
          <w:p w14:paraId="513C7E68">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80左右</w:t>
            </w:r>
          </w:p>
        </w:tc>
        <w:tc>
          <w:tcPr>
            <w:tcW w:w="1252" w:type="dxa"/>
            <w:tcBorders>
              <w:top w:val="nil"/>
              <w:left w:val="single" w:color="000000" w:sz="8" w:space="0"/>
              <w:bottom w:val="single" w:color="000000" w:sz="8" w:space="0"/>
              <w:right w:val="single" w:color="000000" w:sz="8" w:space="0"/>
            </w:tcBorders>
            <w:vAlign w:val="center"/>
          </w:tcPr>
          <w:p w14:paraId="1A65801B">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62012876">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411A94A7">
        <w:tblPrEx>
          <w:tblCellMar>
            <w:top w:w="0" w:type="dxa"/>
            <w:left w:w="108" w:type="dxa"/>
            <w:bottom w:w="0" w:type="dxa"/>
            <w:right w:w="108" w:type="dxa"/>
          </w:tblCellMar>
        </w:tblPrEx>
        <w:trPr>
          <w:trHeight w:val="351" w:hRule="atLeast"/>
          <w:jc w:val="center"/>
        </w:trPr>
        <w:tc>
          <w:tcPr>
            <w:tcW w:w="491" w:type="dxa"/>
            <w:vMerge w:val="restart"/>
            <w:tcBorders>
              <w:top w:val="nil"/>
              <w:left w:val="single" w:color="000000" w:sz="8" w:space="0"/>
              <w:bottom w:val="single" w:color="000000" w:sz="8" w:space="0"/>
              <w:right w:val="single" w:color="000000" w:sz="8" w:space="0"/>
            </w:tcBorders>
            <w:vAlign w:val="center"/>
          </w:tcPr>
          <w:p w14:paraId="2ADBA33A">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kern w:val="0"/>
                <w:sz w:val="22"/>
                <w:szCs w:val="22"/>
                <w:highlight w:val="none"/>
                <w:lang w:bidi="ar"/>
              </w:rPr>
              <w:t>创新驱动</w:t>
            </w:r>
          </w:p>
        </w:tc>
        <w:tc>
          <w:tcPr>
            <w:tcW w:w="3858" w:type="dxa"/>
            <w:gridSpan w:val="2"/>
            <w:tcBorders>
              <w:top w:val="nil"/>
              <w:left w:val="single" w:color="000000" w:sz="8" w:space="0"/>
              <w:bottom w:val="single" w:color="000000" w:sz="8" w:space="0"/>
              <w:right w:val="single" w:color="000000" w:sz="8" w:space="0"/>
            </w:tcBorders>
            <w:vAlign w:val="center"/>
          </w:tcPr>
          <w:p w14:paraId="6942E8C1">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14.全社会研发经费投入增长（%）</w:t>
            </w:r>
          </w:p>
        </w:tc>
        <w:tc>
          <w:tcPr>
            <w:tcW w:w="1905" w:type="dxa"/>
            <w:tcBorders>
              <w:top w:val="nil"/>
              <w:left w:val="single" w:color="000000" w:sz="8" w:space="0"/>
              <w:bottom w:val="single" w:color="000000" w:sz="8" w:space="0"/>
              <w:right w:val="single" w:color="000000" w:sz="8" w:space="0"/>
            </w:tcBorders>
            <w:vAlign w:val="center"/>
          </w:tcPr>
          <w:p w14:paraId="672CEA27">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5</w:t>
            </w:r>
          </w:p>
        </w:tc>
        <w:tc>
          <w:tcPr>
            <w:tcW w:w="1650" w:type="dxa"/>
            <w:tcBorders>
              <w:top w:val="nil"/>
              <w:left w:val="single" w:color="000000" w:sz="8" w:space="0"/>
              <w:bottom w:val="single" w:color="000000" w:sz="8" w:space="0"/>
              <w:right w:val="single" w:color="000000" w:sz="8" w:space="0"/>
            </w:tcBorders>
            <w:vAlign w:val="center"/>
          </w:tcPr>
          <w:p w14:paraId="6AB23F43">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1252" w:type="dxa"/>
            <w:tcBorders>
              <w:top w:val="nil"/>
              <w:left w:val="single" w:color="000000" w:sz="8" w:space="0"/>
              <w:bottom w:val="single" w:color="000000" w:sz="8" w:space="0"/>
              <w:right w:val="single" w:color="000000" w:sz="8" w:space="0"/>
            </w:tcBorders>
            <w:vAlign w:val="center"/>
          </w:tcPr>
          <w:p w14:paraId="237E9ECE">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8</w:t>
            </w:r>
          </w:p>
        </w:tc>
        <w:tc>
          <w:tcPr>
            <w:tcW w:w="956" w:type="dxa"/>
            <w:tcBorders>
              <w:top w:val="nil"/>
              <w:left w:val="single" w:color="000000" w:sz="8" w:space="0"/>
              <w:bottom w:val="single" w:color="000000" w:sz="8" w:space="0"/>
              <w:right w:val="single" w:color="000000" w:sz="8" w:space="0"/>
            </w:tcBorders>
            <w:vAlign w:val="center"/>
          </w:tcPr>
          <w:p w14:paraId="285822C8">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69015F0C">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789FABD9">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2FB72A35">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15.每万人口高价值发明专利拥有量（件）</w:t>
            </w:r>
          </w:p>
        </w:tc>
        <w:tc>
          <w:tcPr>
            <w:tcW w:w="1905" w:type="dxa"/>
            <w:tcBorders>
              <w:top w:val="nil"/>
              <w:left w:val="single" w:color="000000" w:sz="8" w:space="0"/>
              <w:bottom w:val="single" w:color="000000" w:sz="8" w:space="0"/>
              <w:right w:val="single" w:color="000000" w:sz="8" w:space="0"/>
            </w:tcBorders>
            <w:vAlign w:val="center"/>
          </w:tcPr>
          <w:p w14:paraId="37E3F53F">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2.23</w:t>
            </w:r>
          </w:p>
        </w:tc>
        <w:tc>
          <w:tcPr>
            <w:tcW w:w="1650" w:type="dxa"/>
            <w:tcBorders>
              <w:top w:val="nil"/>
              <w:left w:val="single" w:color="000000" w:sz="8" w:space="0"/>
              <w:bottom w:val="single" w:color="000000" w:sz="8" w:space="0"/>
              <w:right w:val="single" w:color="000000" w:sz="8" w:space="0"/>
            </w:tcBorders>
            <w:vAlign w:val="center"/>
          </w:tcPr>
          <w:p w14:paraId="56AE9F90">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2.3</w:t>
            </w:r>
          </w:p>
        </w:tc>
        <w:tc>
          <w:tcPr>
            <w:tcW w:w="1252" w:type="dxa"/>
            <w:tcBorders>
              <w:top w:val="nil"/>
              <w:left w:val="single" w:color="000000" w:sz="8" w:space="0"/>
              <w:bottom w:val="single" w:color="000000" w:sz="8" w:space="0"/>
              <w:right w:val="single" w:color="000000" w:sz="8" w:space="0"/>
            </w:tcBorders>
            <w:vAlign w:val="center"/>
          </w:tcPr>
          <w:p w14:paraId="0568D5B2">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14F4A38A">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5B3CD11A">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67B36D8A">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67019574">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16.数字经济核心产业增加值占GDP比重（%）</w:t>
            </w:r>
          </w:p>
        </w:tc>
        <w:tc>
          <w:tcPr>
            <w:tcW w:w="1905" w:type="dxa"/>
            <w:tcBorders>
              <w:top w:val="nil"/>
              <w:left w:val="single" w:color="000000" w:sz="8" w:space="0"/>
              <w:bottom w:val="single" w:color="000000" w:sz="8" w:space="0"/>
              <w:right w:val="single" w:color="000000" w:sz="8" w:space="0"/>
            </w:tcBorders>
            <w:vAlign w:val="center"/>
          </w:tcPr>
          <w:p w14:paraId="66AB3589">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7.6</w:t>
            </w:r>
          </w:p>
        </w:tc>
        <w:tc>
          <w:tcPr>
            <w:tcW w:w="1650" w:type="dxa"/>
            <w:tcBorders>
              <w:top w:val="nil"/>
              <w:left w:val="single" w:color="000000" w:sz="8" w:space="0"/>
              <w:bottom w:val="single" w:color="000000" w:sz="8" w:space="0"/>
              <w:right w:val="single" w:color="000000" w:sz="8" w:space="0"/>
            </w:tcBorders>
            <w:vAlign w:val="center"/>
          </w:tcPr>
          <w:p w14:paraId="2B4A9A7F">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9</w:t>
            </w:r>
          </w:p>
        </w:tc>
        <w:tc>
          <w:tcPr>
            <w:tcW w:w="1252" w:type="dxa"/>
            <w:tcBorders>
              <w:top w:val="nil"/>
              <w:left w:val="single" w:color="000000" w:sz="8" w:space="0"/>
              <w:bottom w:val="single" w:color="000000" w:sz="8" w:space="0"/>
              <w:right w:val="single" w:color="000000" w:sz="8" w:space="0"/>
            </w:tcBorders>
            <w:vAlign w:val="center"/>
          </w:tcPr>
          <w:p w14:paraId="3251B3B9">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4CEB8D49">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2E6B1C14">
        <w:tblPrEx>
          <w:tblCellMar>
            <w:top w:w="0" w:type="dxa"/>
            <w:left w:w="108" w:type="dxa"/>
            <w:bottom w:w="0" w:type="dxa"/>
            <w:right w:w="108" w:type="dxa"/>
          </w:tblCellMar>
        </w:tblPrEx>
        <w:trPr>
          <w:trHeight w:val="351" w:hRule="atLeast"/>
          <w:jc w:val="center"/>
        </w:trPr>
        <w:tc>
          <w:tcPr>
            <w:tcW w:w="491" w:type="dxa"/>
            <w:vMerge w:val="restart"/>
            <w:tcBorders>
              <w:top w:val="nil"/>
              <w:left w:val="single" w:color="000000" w:sz="8" w:space="0"/>
              <w:bottom w:val="single" w:color="000000" w:sz="8" w:space="0"/>
              <w:right w:val="single" w:color="000000" w:sz="8" w:space="0"/>
            </w:tcBorders>
            <w:vAlign w:val="center"/>
          </w:tcPr>
          <w:p w14:paraId="378B713F">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kern w:val="0"/>
                <w:sz w:val="22"/>
                <w:szCs w:val="22"/>
                <w:highlight w:val="none"/>
                <w:lang w:bidi="ar"/>
              </w:rPr>
              <w:t>民生福祉</w:t>
            </w:r>
          </w:p>
        </w:tc>
        <w:tc>
          <w:tcPr>
            <w:tcW w:w="3858" w:type="dxa"/>
            <w:gridSpan w:val="2"/>
            <w:tcBorders>
              <w:top w:val="nil"/>
              <w:left w:val="single" w:color="000000" w:sz="8" w:space="0"/>
              <w:bottom w:val="single" w:color="000000" w:sz="8" w:space="0"/>
              <w:right w:val="single" w:color="000000" w:sz="8" w:space="0"/>
            </w:tcBorders>
            <w:vAlign w:val="center"/>
          </w:tcPr>
          <w:p w14:paraId="6C3375AF">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strike/>
                <w:kern w:val="0"/>
                <w:sz w:val="22"/>
                <w:szCs w:val="22"/>
                <w:highlight w:val="none"/>
                <w:lang w:bidi="ar"/>
              </w:rPr>
            </w:pPr>
            <w:r>
              <w:rPr>
                <w:rFonts w:hint="eastAsia" w:ascii="仿宋_GB2312" w:hAnsi="仿宋_GB2312" w:eastAsia="仿宋_GB2312" w:cs="仿宋_GB2312"/>
                <w:kern w:val="0"/>
                <w:sz w:val="22"/>
                <w:szCs w:val="22"/>
                <w:highlight w:val="none"/>
                <w:lang w:bidi="ar"/>
              </w:rPr>
              <w:t>17.城镇居民人均可支配收入增长（%）</w:t>
            </w:r>
          </w:p>
        </w:tc>
        <w:tc>
          <w:tcPr>
            <w:tcW w:w="1905" w:type="dxa"/>
            <w:tcBorders>
              <w:top w:val="nil"/>
              <w:left w:val="single" w:color="000000" w:sz="8" w:space="0"/>
              <w:bottom w:val="single" w:color="000000" w:sz="8" w:space="0"/>
              <w:right w:val="single" w:color="000000" w:sz="8" w:space="0"/>
            </w:tcBorders>
            <w:vAlign w:val="center"/>
          </w:tcPr>
          <w:p w14:paraId="658E9FB3">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strike/>
                <w:kern w:val="0"/>
                <w:sz w:val="22"/>
                <w:szCs w:val="22"/>
                <w:highlight w:val="none"/>
                <w:lang w:bidi="ar"/>
              </w:rPr>
            </w:pPr>
            <w:r>
              <w:rPr>
                <w:rFonts w:hint="eastAsia" w:ascii="仿宋_GB2312" w:hAnsi="仿宋_GB2312" w:eastAsia="仿宋_GB2312" w:cs="仿宋_GB2312"/>
                <w:kern w:val="0"/>
                <w:sz w:val="22"/>
                <w:szCs w:val="22"/>
                <w:highlight w:val="none"/>
                <w:lang w:bidi="ar"/>
              </w:rPr>
              <w:t>3.8</w:t>
            </w:r>
          </w:p>
        </w:tc>
        <w:tc>
          <w:tcPr>
            <w:tcW w:w="1650" w:type="dxa"/>
            <w:tcBorders>
              <w:top w:val="nil"/>
              <w:left w:val="single" w:color="000000" w:sz="8" w:space="0"/>
              <w:bottom w:val="single" w:color="000000" w:sz="8" w:space="0"/>
              <w:right w:val="single" w:color="000000" w:sz="8" w:space="0"/>
            </w:tcBorders>
            <w:vAlign w:val="center"/>
          </w:tcPr>
          <w:p w14:paraId="12840739">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strike/>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1252" w:type="dxa"/>
            <w:tcBorders>
              <w:top w:val="nil"/>
              <w:left w:val="single" w:color="000000" w:sz="8" w:space="0"/>
              <w:bottom w:val="single" w:color="000000" w:sz="8" w:space="0"/>
              <w:right w:val="single" w:color="000000" w:sz="8" w:space="0"/>
            </w:tcBorders>
            <w:vAlign w:val="center"/>
          </w:tcPr>
          <w:p w14:paraId="6A62D310">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strike/>
                <w:kern w:val="0"/>
                <w:sz w:val="22"/>
                <w:szCs w:val="22"/>
                <w:highlight w:val="none"/>
                <w:lang w:bidi="ar"/>
              </w:rPr>
            </w:pPr>
            <w:r>
              <w:rPr>
                <w:rFonts w:hint="eastAsia" w:ascii="仿宋_GB2312" w:hAnsi="仿宋_GB2312" w:eastAsia="仿宋_GB2312" w:cs="仿宋_GB2312"/>
                <w:kern w:val="0"/>
                <w:sz w:val="22"/>
                <w:szCs w:val="22"/>
                <w:highlight w:val="none"/>
                <w:lang w:bidi="ar"/>
              </w:rPr>
              <w:t>5左右</w:t>
            </w:r>
          </w:p>
        </w:tc>
        <w:tc>
          <w:tcPr>
            <w:tcW w:w="956" w:type="dxa"/>
            <w:tcBorders>
              <w:top w:val="nil"/>
              <w:left w:val="single" w:color="000000" w:sz="8" w:space="0"/>
              <w:bottom w:val="single" w:color="000000" w:sz="8" w:space="0"/>
              <w:right w:val="single" w:color="000000" w:sz="8" w:space="0"/>
            </w:tcBorders>
            <w:vAlign w:val="center"/>
          </w:tcPr>
          <w:p w14:paraId="07279749">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0811F4C3">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078AD9FC">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61C543D7">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18.农村居民人均可支配收入增长（%）</w:t>
            </w:r>
          </w:p>
        </w:tc>
        <w:tc>
          <w:tcPr>
            <w:tcW w:w="1905" w:type="dxa"/>
            <w:tcBorders>
              <w:top w:val="nil"/>
              <w:left w:val="single" w:color="000000" w:sz="8" w:space="0"/>
              <w:bottom w:val="single" w:color="000000" w:sz="8" w:space="0"/>
              <w:right w:val="single" w:color="000000" w:sz="8" w:space="0"/>
            </w:tcBorders>
            <w:vAlign w:val="center"/>
          </w:tcPr>
          <w:p w14:paraId="1BFEBDB4">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5.2</w:t>
            </w:r>
          </w:p>
        </w:tc>
        <w:tc>
          <w:tcPr>
            <w:tcW w:w="1650" w:type="dxa"/>
            <w:tcBorders>
              <w:top w:val="nil"/>
              <w:left w:val="single" w:color="000000" w:sz="8" w:space="0"/>
              <w:bottom w:val="single" w:color="000000" w:sz="8" w:space="0"/>
              <w:right w:val="single" w:color="000000" w:sz="8" w:space="0"/>
            </w:tcBorders>
            <w:vAlign w:val="center"/>
          </w:tcPr>
          <w:p w14:paraId="058A683F">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1252" w:type="dxa"/>
            <w:tcBorders>
              <w:top w:val="nil"/>
              <w:left w:val="single" w:color="000000" w:sz="8" w:space="0"/>
              <w:bottom w:val="single" w:color="000000" w:sz="8" w:space="0"/>
              <w:right w:val="single" w:color="000000" w:sz="8" w:space="0"/>
            </w:tcBorders>
            <w:vAlign w:val="center"/>
          </w:tcPr>
          <w:p w14:paraId="5A6180BC">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5.3左右</w:t>
            </w:r>
          </w:p>
        </w:tc>
        <w:tc>
          <w:tcPr>
            <w:tcW w:w="956" w:type="dxa"/>
            <w:tcBorders>
              <w:top w:val="nil"/>
              <w:left w:val="single" w:color="000000" w:sz="8" w:space="0"/>
              <w:bottom w:val="single" w:color="000000" w:sz="8" w:space="0"/>
              <w:right w:val="single" w:color="000000" w:sz="8" w:space="0"/>
            </w:tcBorders>
            <w:vAlign w:val="center"/>
          </w:tcPr>
          <w:p w14:paraId="625CD79F">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1360B485">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54C83DD6">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687E2C5E">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19.劳动年龄人口平均受教育年限（年）</w:t>
            </w:r>
          </w:p>
        </w:tc>
        <w:tc>
          <w:tcPr>
            <w:tcW w:w="1905" w:type="dxa"/>
            <w:tcBorders>
              <w:top w:val="nil"/>
              <w:left w:val="single" w:color="000000" w:sz="8" w:space="0"/>
              <w:bottom w:val="single" w:color="000000" w:sz="8" w:space="0"/>
              <w:right w:val="single" w:color="000000" w:sz="8" w:space="0"/>
            </w:tcBorders>
            <w:vAlign w:val="center"/>
          </w:tcPr>
          <w:p w14:paraId="762B891F">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1650" w:type="dxa"/>
            <w:tcBorders>
              <w:top w:val="nil"/>
              <w:left w:val="single" w:color="000000" w:sz="8" w:space="0"/>
              <w:bottom w:val="single" w:color="000000" w:sz="8" w:space="0"/>
              <w:right w:val="single" w:color="000000" w:sz="8" w:space="0"/>
            </w:tcBorders>
            <w:vAlign w:val="center"/>
          </w:tcPr>
          <w:p w14:paraId="5BEBE4B2">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12.0</w:t>
            </w:r>
          </w:p>
        </w:tc>
        <w:tc>
          <w:tcPr>
            <w:tcW w:w="1252" w:type="dxa"/>
            <w:tcBorders>
              <w:top w:val="nil"/>
              <w:left w:val="single" w:color="000000" w:sz="8" w:space="0"/>
              <w:bottom w:val="single" w:color="000000" w:sz="8" w:space="0"/>
              <w:right w:val="single" w:color="000000" w:sz="8" w:space="0"/>
            </w:tcBorders>
            <w:vAlign w:val="center"/>
          </w:tcPr>
          <w:p w14:paraId="0D1E7E2B">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42DF93AB">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约束性</w:t>
            </w:r>
          </w:p>
        </w:tc>
      </w:tr>
      <w:tr w14:paraId="5A9BB344">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65D4E8DE">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5F189A63">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20.人均预期寿命（岁）</w:t>
            </w:r>
          </w:p>
        </w:tc>
        <w:tc>
          <w:tcPr>
            <w:tcW w:w="1905" w:type="dxa"/>
            <w:tcBorders>
              <w:top w:val="nil"/>
              <w:left w:val="single" w:color="000000" w:sz="8" w:space="0"/>
              <w:bottom w:val="single" w:color="000000" w:sz="8" w:space="0"/>
              <w:right w:val="single" w:color="000000" w:sz="8" w:space="0"/>
            </w:tcBorders>
            <w:vAlign w:val="center"/>
          </w:tcPr>
          <w:p w14:paraId="48764BF7">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80.73</w:t>
            </w:r>
          </w:p>
        </w:tc>
        <w:tc>
          <w:tcPr>
            <w:tcW w:w="1650" w:type="dxa"/>
            <w:tcBorders>
              <w:top w:val="nil"/>
              <w:left w:val="single" w:color="000000" w:sz="8" w:space="0"/>
              <w:bottom w:val="single" w:color="000000" w:sz="8" w:space="0"/>
              <w:right w:val="single" w:color="000000" w:sz="8" w:space="0"/>
            </w:tcBorders>
            <w:vAlign w:val="center"/>
          </w:tcPr>
          <w:p w14:paraId="5437BD3A">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81左右</w:t>
            </w:r>
          </w:p>
        </w:tc>
        <w:tc>
          <w:tcPr>
            <w:tcW w:w="1252" w:type="dxa"/>
            <w:tcBorders>
              <w:top w:val="nil"/>
              <w:left w:val="single" w:color="000000" w:sz="8" w:space="0"/>
              <w:bottom w:val="single" w:color="000000" w:sz="8" w:space="0"/>
              <w:right w:val="single" w:color="000000" w:sz="8" w:space="0"/>
            </w:tcBorders>
            <w:vAlign w:val="center"/>
          </w:tcPr>
          <w:p w14:paraId="128D8667">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5FEBA0B2">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4BB3ACF5">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17D81E3D">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1658" w:type="dxa"/>
            <w:vMerge w:val="restart"/>
            <w:tcBorders>
              <w:top w:val="nil"/>
              <w:left w:val="single" w:color="000000" w:sz="8" w:space="0"/>
              <w:bottom w:val="single" w:color="000000" w:sz="8" w:space="0"/>
              <w:right w:val="single" w:color="000000" w:sz="8" w:space="0"/>
            </w:tcBorders>
            <w:vAlign w:val="center"/>
          </w:tcPr>
          <w:p w14:paraId="4A10214A">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21.每千人口拥有医护人员数</w:t>
            </w:r>
          </w:p>
        </w:tc>
        <w:tc>
          <w:tcPr>
            <w:tcW w:w="2200" w:type="dxa"/>
            <w:tcBorders>
              <w:top w:val="nil"/>
              <w:left w:val="single" w:color="000000" w:sz="8" w:space="0"/>
              <w:bottom w:val="single" w:color="000000" w:sz="8" w:space="0"/>
              <w:right w:val="single" w:color="000000" w:sz="8" w:space="0"/>
            </w:tcBorders>
            <w:vAlign w:val="center"/>
          </w:tcPr>
          <w:p w14:paraId="388141BB">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执业医师数（人）</w:t>
            </w:r>
          </w:p>
        </w:tc>
        <w:tc>
          <w:tcPr>
            <w:tcW w:w="1905" w:type="dxa"/>
            <w:tcBorders>
              <w:top w:val="nil"/>
              <w:left w:val="single" w:color="000000" w:sz="8" w:space="0"/>
              <w:bottom w:val="single" w:color="000000" w:sz="8" w:space="0"/>
              <w:right w:val="single" w:color="000000" w:sz="8" w:space="0"/>
            </w:tcBorders>
            <w:vAlign w:val="center"/>
          </w:tcPr>
          <w:p w14:paraId="7A8A54A5">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1.89</w:t>
            </w:r>
          </w:p>
        </w:tc>
        <w:tc>
          <w:tcPr>
            <w:tcW w:w="1650" w:type="dxa"/>
            <w:tcBorders>
              <w:top w:val="nil"/>
              <w:left w:val="single" w:color="000000" w:sz="8" w:space="0"/>
              <w:bottom w:val="single" w:color="000000" w:sz="8" w:space="0"/>
              <w:right w:val="single" w:color="000000" w:sz="8" w:space="0"/>
            </w:tcBorders>
            <w:vAlign w:val="center"/>
          </w:tcPr>
          <w:p w14:paraId="5D2584CE">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2.5</w:t>
            </w:r>
          </w:p>
        </w:tc>
        <w:tc>
          <w:tcPr>
            <w:tcW w:w="1252" w:type="dxa"/>
            <w:tcBorders>
              <w:top w:val="nil"/>
              <w:left w:val="single" w:color="000000" w:sz="8" w:space="0"/>
              <w:bottom w:val="single" w:color="000000" w:sz="8" w:space="0"/>
              <w:right w:val="single" w:color="000000" w:sz="8" w:space="0"/>
            </w:tcBorders>
            <w:vAlign w:val="center"/>
          </w:tcPr>
          <w:p w14:paraId="2B76015B">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5C140ADD">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1CEA1DAC">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25704BCB">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1658" w:type="dxa"/>
            <w:vMerge w:val="continue"/>
            <w:tcBorders>
              <w:top w:val="nil"/>
              <w:left w:val="single" w:color="000000" w:sz="8" w:space="0"/>
              <w:bottom w:val="single" w:color="000000" w:sz="8" w:space="0"/>
              <w:right w:val="single" w:color="000000" w:sz="8" w:space="0"/>
            </w:tcBorders>
            <w:vAlign w:val="center"/>
          </w:tcPr>
          <w:p w14:paraId="41F82EA9">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p>
        </w:tc>
        <w:tc>
          <w:tcPr>
            <w:tcW w:w="2200" w:type="dxa"/>
            <w:tcBorders>
              <w:top w:val="nil"/>
              <w:left w:val="single" w:color="000000" w:sz="8" w:space="0"/>
              <w:bottom w:val="single" w:color="000000" w:sz="8" w:space="0"/>
              <w:right w:val="single" w:color="000000" w:sz="8" w:space="0"/>
            </w:tcBorders>
            <w:vAlign w:val="center"/>
          </w:tcPr>
          <w:p w14:paraId="7E06B2D5">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注册护士数（人）</w:t>
            </w:r>
          </w:p>
        </w:tc>
        <w:tc>
          <w:tcPr>
            <w:tcW w:w="1905" w:type="dxa"/>
            <w:tcBorders>
              <w:top w:val="nil"/>
              <w:left w:val="single" w:color="000000" w:sz="8" w:space="0"/>
              <w:bottom w:val="single" w:color="000000" w:sz="8" w:space="0"/>
              <w:right w:val="single" w:color="000000" w:sz="8" w:space="0"/>
            </w:tcBorders>
            <w:vAlign w:val="center"/>
          </w:tcPr>
          <w:p w14:paraId="57F6639C">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4.0</w:t>
            </w:r>
          </w:p>
        </w:tc>
        <w:tc>
          <w:tcPr>
            <w:tcW w:w="1650" w:type="dxa"/>
            <w:tcBorders>
              <w:top w:val="nil"/>
              <w:left w:val="single" w:color="000000" w:sz="8" w:space="0"/>
              <w:bottom w:val="single" w:color="000000" w:sz="8" w:space="0"/>
              <w:right w:val="single" w:color="000000" w:sz="8" w:space="0"/>
            </w:tcBorders>
            <w:vAlign w:val="center"/>
          </w:tcPr>
          <w:p w14:paraId="29B07CBD">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4.5</w:t>
            </w:r>
          </w:p>
        </w:tc>
        <w:tc>
          <w:tcPr>
            <w:tcW w:w="1252" w:type="dxa"/>
            <w:tcBorders>
              <w:top w:val="nil"/>
              <w:left w:val="single" w:color="000000" w:sz="8" w:space="0"/>
              <w:bottom w:val="single" w:color="000000" w:sz="8" w:space="0"/>
              <w:right w:val="single" w:color="000000" w:sz="8" w:space="0"/>
            </w:tcBorders>
            <w:vAlign w:val="center"/>
          </w:tcPr>
          <w:p w14:paraId="197F0108">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71EA8612">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2C9C4943">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26DB66DB">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40B3A11A">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22.养老机构护理型床位占比（%）</w:t>
            </w:r>
          </w:p>
        </w:tc>
        <w:tc>
          <w:tcPr>
            <w:tcW w:w="1905" w:type="dxa"/>
            <w:tcBorders>
              <w:top w:val="nil"/>
              <w:left w:val="single" w:color="000000" w:sz="8" w:space="0"/>
              <w:bottom w:val="single" w:color="000000" w:sz="8" w:space="0"/>
              <w:right w:val="single" w:color="000000" w:sz="8" w:space="0"/>
            </w:tcBorders>
            <w:vAlign w:val="center"/>
          </w:tcPr>
          <w:p w14:paraId="18035E71">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90.52</w:t>
            </w:r>
          </w:p>
        </w:tc>
        <w:tc>
          <w:tcPr>
            <w:tcW w:w="1650" w:type="dxa"/>
            <w:tcBorders>
              <w:top w:val="nil"/>
              <w:left w:val="single" w:color="000000" w:sz="8" w:space="0"/>
              <w:bottom w:val="single" w:color="000000" w:sz="8" w:space="0"/>
              <w:right w:val="single" w:color="000000" w:sz="8" w:space="0"/>
            </w:tcBorders>
            <w:vAlign w:val="center"/>
          </w:tcPr>
          <w:p w14:paraId="400FEE6B">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92</w:t>
            </w:r>
          </w:p>
        </w:tc>
        <w:tc>
          <w:tcPr>
            <w:tcW w:w="1252" w:type="dxa"/>
            <w:tcBorders>
              <w:top w:val="nil"/>
              <w:left w:val="single" w:color="000000" w:sz="8" w:space="0"/>
              <w:bottom w:val="single" w:color="000000" w:sz="8" w:space="0"/>
              <w:right w:val="single" w:color="000000" w:sz="8" w:space="0"/>
            </w:tcBorders>
            <w:vAlign w:val="center"/>
          </w:tcPr>
          <w:p w14:paraId="608E3243">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05A5799D">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648108EF">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4EA4D6E7">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66D8A6F0">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23.1-3岁婴幼儿入托率（%）</w:t>
            </w:r>
          </w:p>
        </w:tc>
        <w:tc>
          <w:tcPr>
            <w:tcW w:w="1905" w:type="dxa"/>
            <w:tcBorders>
              <w:top w:val="nil"/>
              <w:left w:val="single" w:color="000000" w:sz="8" w:space="0"/>
              <w:bottom w:val="single" w:color="000000" w:sz="8" w:space="0"/>
              <w:right w:val="single" w:color="000000" w:sz="8" w:space="0"/>
            </w:tcBorders>
            <w:vAlign w:val="center"/>
          </w:tcPr>
          <w:p w14:paraId="0D4DB902">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10.1</w:t>
            </w:r>
          </w:p>
        </w:tc>
        <w:tc>
          <w:tcPr>
            <w:tcW w:w="1650" w:type="dxa"/>
            <w:tcBorders>
              <w:top w:val="nil"/>
              <w:left w:val="single" w:color="000000" w:sz="8" w:space="0"/>
              <w:bottom w:val="single" w:color="000000" w:sz="8" w:space="0"/>
              <w:right w:val="single" w:color="000000" w:sz="8" w:space="0"/>
            </w:tcBorders>
            <w:vAlign w:val="center"/>
          </w:tcPr>
          <w:p w14:paraId="468042B4">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15</w:t>
            </w:r>
          </w:p>
        </w:tc>
        <w:tc>
          <w:tcPr>
            <w:tcW w:w="1252" w:type="dxa"/>
            <w:tcBorders>
              <w:top w:val="nil"/>
              <w:left w:val="single" w:color="000000" w:sz="8" w:space="0"/>
              <w:bottom w:val="single" w:color="000000" w:sz="8" w:space="0"/>
              <w:right w:val="single" w:color="000000" w:sz="8" w:space="0"/>
            </w:tcBorders>
            <w:vAlign w:val="center"/>
          </w:tcPr>
          <w:p w14:paraId="50C620B8">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44EC91B4">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预期性</w:t>
            </w:r>
          </w:p>
        </w:tc>
      </w:tr>
      <w:tr w14:paraId="0566CAD1">
        <w:tblPrEx>
          <w:tblCellMar>
            <w:top w:w="0" w:type="dxa"/>
            <w:left w:w="108" w:type="dxa"/>
            <w:bottom w:w="0" w:type="dxa"/>
            <w:right w:w="108" w:type="dxa"/>
          </w:tblCellMar>
        </w:tblPrEx>
        <w:trPr>
          <w:trHeight w:val="351" w:hRule="atLeast"/>
          <w:jc w:val="center"/>
        </w:trPr>
        <w:tc>
          <w:tcPr>
            <w:tcW w:w="491" w:type="dxa"/>
            <w:vMerge w:val="restart"/>
            <w:tcBorders>
              <w:top w:val="nil"/>
              <w:left w:val="single" w:color="000000" w:sz="8" w:space="0"/>
              <w:bottom w:val="single" w:color="000000" w:sz="8" w:space="0"/>
              <w:right w:val="single" w:color="000000" w:sz="8" w:space="0"/>
            </w:tcBorders>
            <w:vAlign w:val="center"/>
          </w:tcPr>
          <w:p w14:paraId="2E961002">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kern w:val="0"/>
                <w:sz w:val="22"/>
                <w:szCs w:val="22"/>
                <w:highlight w:val="none"/>
                <w:lang w:bidi="ar"/>
              </w:rPr>
              <w:t>绿色发展</w:t>
            </w:r>
          </w:p>
        </w:tc>
        <w:tc>
          <w:tcPr>
            <w:tcW w:w="3858" w:type="dxa"/>
            <w:gridSpan w:val="2"/>
            <w:tcBorders>
              <w:top w:val="nil"/>
              <w:left w:val="single" w:color="000000" w:sz="8" w:space="0"/>
              <w:bottom w:val="single" w:color="000000" w:sz="8" w:space="0"/>
              <w:right w:val="single" w:color="000000" w:sz="8" w:space="0"/>
            </w:tcBorders>
            <w:vAlign w:val="center"/>
          </w:tcPr>
          <w:p w14:paraId="33C2EF66">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24.单位GDP二氧化碳排放降低（%）</w:t>
            </w:r>
          </w:p>
        </w:tc>
        <w:tc>
          <w:tcPr>
            <w:tcW w:w="1905" w:type="dxa"/>
            <w:tcBorders>
              <w:top w:val="nil"/>
              <w:left w:val="single" w:color="000000" w:sz="8" w:space="0"/>
              <w:bottom w:val="single" w:color="000000" w:sz="8" w:space="0"/>
              <w:right w:val="single" w:color="000000" w:sz="8" w:space="0"/>
            </w:tcBorders>
            <w:vAlign w:val="center"/>
          </w:tcPr>
          <w:p w14:paraId="3F036C97">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1650" w:type="dxa"/>
            <w:tcBorders>
              <w:top w:val="nil"/>
              <w:left w:val="single" w:color="000000" w:sz="8" w:space="0"/>
              <w:bottom w:val="single" w:color="000000" w:sz="8" w:space="0"/>
              <w:right w:val="single" w:color="000000" w:sz="8" w:space="0"/>
            </w:tcBorders>
            <w:vAlign w:val="center"/>
          </w:tcPr>
          <w:p w14:paraId="08B48837">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highlight w:val="none"/>
                <w:lang w:bidi="ar"/>
              </w:rPr>
              <w:t>完成经</w:t>
            </w:r>
            <w:r>
              <w:rPr>
                <w:rFonts w:hint="eastAsia" w:ascii="仿宋_GB2312" w:hAnsi="仿宋_GB2312" w:eastAsia="仿宋_GB2312" w:cs="仿宋_GB2312"/>
                <w:kern w:val="0"/>
                <w:sz w:val="22"/>
                <w:highlight w:val="none"/>
                <w:lang w:val="en-US" w:eastAsia="zh-CN" w:bidi="ar"/>
              </w:rPr>
              <w:t>上级</w:t>
            </w:r>
            <w:r>
              <w:rPr>
                <w:rFonts w:hint="eastAsia" w:ascii="仿宋_GB2312" w:hAnsi="仿宋_GB2312" w:eastAsia="仿宋_GB2312" w:cs="仿宋_GB2312"/>
                <w:kern w:val="0"/>
                <w:sz w:val="22"/>
                <w:highlight w:val="none"/>
                <w:lang w:bidi="ar"/>
              </w:rPr>
              <w:t>审核衔接后确定的目标</w:t>
            </w:r>
          </w:p>
        </w:tc>
        <w:tc>
          <w:tcPr>
            <w:tcW w:w="1252" w:type="dxa"/>
            <w:tcBorders>
              <w:top w:val="nil"/>
              <w:left w:val="single" w:color="000000" w:sz="8" w:space="0"/>
              <w:bottom w:val="single" w:color="000000" w:sz="8" w:space="0"/>
              <w:right w:val="single" w:color="000000" w:sz="8" w:space="0"/>
            </w:tcBorders>
            <w:vAlign w:val="center"/>
          </w:tcPr>
          <w:p w14:paraId="7C47D156">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64C8B9E7">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约束性</w:t>
            </w:r>
          </w:p>
        </w:tc>
      </w:tr>
      <w:tr w14:paraId="0C9EB6A6">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282DC154">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59C96696">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25.非化石能源占能源消费总量比重（%）</w:t>
            </w:r>
          </w:p>
        </w:tc>
        <w:tc>
          <w:tcPr>
            <w:tcW w:w="1905" w:type="dxa"/>
            <w:tcBorders>
              <w:top w:val="nil"/>
              <w:left w:val="single" w:color="000000" w:sz="8" w:space="0"/>
              <w:bottom w:val="single" w:color="000000" w:sz="8" w:space="0"/>
              <w:right w:val="single" w:color="000000" w:sz="8" w:space="0"/>
            </w:tcBorders>
            <w:vAlign w:val="center"/>
          </w:tcPr>
          <w:p w14:paraId="02ECDCBE">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1650" w:type="dxa"/>
            <w:tcBorders>
              <w:top w:val="nil"/>
              <w:left w:val="single" w:color="000000" w:sz="8" w:space="0"/>
              <w:bottom w:val="single" w:color="000000" w:sz="8" w:space="0"/>
              <w:right w:val="single" w:color="000000" w:sz="8" w:space="0"/>
            </w:tcBorders>
            <w:vAlign w:val="center"/>
          </w:tcPr>
          <w:p w14:paraId="63BB46F5">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highlight w:val="none"/>
                <w:lang w:bidi="ar"/>
              </w:rPr>
              <w:t>完成经</w:t>
            </w:r>
            <w:r>
              <w:rPr>
                <w:rFonts w:hint="eastAsia" w:ascii="仿宋_GB2312" w:hAnsi="仿宋_GB2312" w:eastAsia="仿宋_GB2312" w:cs="仿宋_GB2312"/>
                <w:kern w:val="0"/>
                <w:sz w:val="22"/>
                <w:highlight w:val="none"/>
                <w:lang w:val="en-US" w:eastAsia="zh-CN" w:bidi="ar"/>
              </w:rPr>
              <w:t>上级</w:t>
            </w:r>
            <w:r>
              <w:rPr>
                <w:rFonts w:hint="eastAsia" w:ascii="仿宋_GB2312" w:hAnsi="仿宋_GB2312" w:eastAsia="仿宋_GB2312" w:cs="仿宋_GB2312"/>
                <w:kern w:val="0"/>
                <w:sz w:val="22"/>
                <w:highlight w:val="none"/>
                <w:lang w:bidi="ar"/>
              </w:rPr>
              <w:t>审核衔接后确定的目标</w:t>
            </w:r>
          </w:p>
        </w:tc>
        <w:tc>
          <w:tcPr>
            <w:tcW w:w="1252" w:type="dxa"/>
            <w:tcBorders>
              <w:top w:val="nil"/>
              <w:left w:val="single" w:color="000000" w:sz="8" w:space="0"/>
              <w:bottom w:val="single" w:color="000000" w:sz="8" w:space="0"/>
              <w:right w:val="single" w:color="000000" w:sz="8" w:space="0"/>
            </w:tcBorders>
            <w:vAlign w:val="center"/>
          </w:tcPr>
          <w:p w14:paraId="432815EF">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5137F4C5">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约束性</w:t>
            </w:r>
          </w:p>
        </w:tc>
      </w:tr>
      <w:tr w14:paraId="10BB6586">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2290D7AB">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5BD4F406">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26.细颗粒物（PM2.5）年均浓度（微克/立方米）</w:t>
            </w:r>
          </w:p>
        </w:tc>
        <w:tc>
          <w:tcPr>
            <w:tcW w:w="1905" w:type="dxa"/>
            <w:tcBorders>
              <w:top w:val="nil"/>
              <w:left w:val="single" w:color="000000" w:sz="8" w:space="0"/>
              <w:bottom w:val="single" w:color="000000" w:sz="8" w:space="0"/>
              <w:right w:val="single" w:color="000000" w:sz="8" w:space="0"/>
            </w:tcBorders>
            <w:vAlign w:val="center"/>
          </w:tcPr>
          <w:p w14:paraId="04BFA98E">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23</w:t>
            </w:r>
          </w:p>
        </w:tc>
        <w:tc>
          <w:tcPr>
            <w:tcW w:w="1650" w:type="dxa"/>
            <w:tcBorders>
              <w:top w:val="nil"/>
              <w:left w:val="single" w:color="000000" w:sz="8" w:space="0"/>
              <w:bottom w:val="single" w:color="000000" w:sz="8" w:space="0"/>
              <w:right w:val="single" w:color="000000" w:sz="8" w:space="0"/>
            </w:tcBorders>
            <w:vAlign w:val="center"/>
          </w:tcPr>
          <w:p w14:paraId="17E99981">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按</w:t>
            </w:r>
            <w:r>
              <w:rPr>
                <w:rFonts w:hint="eastAsia" w:ascii="仿宋_GB2312" w:hAnsi="仿宋_GB2312" w:eastAsia="仿宋_GB2312" w:cs="仿宋_GB2312"/>
                <w:kern w:val="0"/>
                <w:sz w:val="22"/>
                <w:szCs w:val="22"/>
                <w:highlight w:val="none"/>
                <w:lang w:val="en-US" w:eastAsia="zh-CN" w:bidi="ar"/>
              </w:rPr>
              <w:t>上级</w:t>
            </w:r>
            <w:r>
              <w:rPr>
                <w:rFonts w:hint="eastAsia" w:ascii="仿宋_GB2312" w:hAnsi="仿宋_GB2312" w:eastAsia="仿宋_GB2312" w:cs="仿宋_GB2312"/>
                <w:kern w:val="0"/>
                <w:sz w:val="22"/>
                <w:szCs w:val="22"/>
                <w:highlight w:val="none"/>
                <w:lang w:bidi="ar"/>
              </w:rPr>
              <w:t>下达任务执行</w:t>
            </w:r>
          </w:p>
        </w:tc>
        <w:tc>
          <w:tcPr>
            <w:tcW w:w="1252" w:type="dxa"/>
            <w:tcBorders>
              <w:top w:val="nil"/>
              <w:left w:val="single" w:color="000000" w:sz="8" w:space="0"/>
              <w:bottom w:val="single" w:color="000000" w:sz="8" w:space="0"/>
              <w:right w:val="single" w:color="000000" w:sz="8" w:space="0"/>
            </w:tcBorders>
            <w:vAlign w:val="center"/>
          </w:tcPr>
          <w:p w14:paraId="7228EA61">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0E14C08A">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约束性</w:t>
            </w:r>
          </w:p>
        </w:tc>
      </w:tr>
      <w:tr w14:paraId="418FC237">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3209E6B4">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366BC0E3">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27.优良水体比例（%）</w:t>
            </w:r>
          </w:p>
        </w:tc>
        <w:tc>
          <w:tcPr>
            <w:tcW w:w="1905" w:type="dxa"/>
            <w:tcBorders>
              <w:top w:val="nil"/>
              <w:left w:val="single" w:color="000000" w:sz="8" w:space="0"/>
              <w:bottom w:val="single" w:color="000000" w:sz="8" w:space="0"/>
              <w:right w:val="single" w:color="000000" w:sz="8" w:space="0"/>
            </w:tcBorders>
            <w:vAlign w:val="center"/>
          </w:tcPr>
          <w:p w14:paraId="1B6A65B9">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1650" w:type="dxa"/>
            <w:tcBorders>
              <w:top w:val="nil"/>
              <w:left w:val="single" w:color="000000" w:sz="8" w:space="0"/>
              <w:bottom w:val="single" w:color="000000" w:sz="8" w:space="0"/>
              <w:right w:val="single" w:color="000000" w:sz="8" w:space="0"/>
            </w:tcBorders>
            <w:vAlign w:val="center"/>
          </w:tcPr>
          <w:p w14:paraId="09BEB2C1">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按</w:t>
            </w:r>
            <w:r>
              <w:rPr>
                <w:rFonts w:hint="eastAsia" w:ascii="仿宋_GB2312" w:hAnsi="仿宋_GB2312" w:eastAsia="仿宋_GB2312" w:cs="仿宋_GB2312"/>
                <w:kern w:val="0"/>
                <w:sz w:val="22"/>
                <w:szCs w:val="22"/>
                <w:highlight w:val="none"/>
                <w:lang w:val="en-US" w:eastAsia="zh-CN" w:bidi="ar"/>
              </w:rPr>
              <w:t>上级</w:t>
            </w:r>
            <w:r>
              <w:rPr>
                <w:rFonts w:hint="eastAsia" w:ascii="仿宋_GB2312" w:hAnsi="仿宋_GB2312" w:eastAsia="仿宋_GB2312" w:cs="仿宋_GB2312"/>
                <w:kern w:val="0"/>
                <w:sz w:val="22"/>
                <w:szCs w:val="22"/>
                <w:highlight w:val="none"/>
                <w:lang w:bidi="ar"/>
              </w:rPr>
              <w:t>下达任务执行</w:t>
            </w:r>
          </w:p>
        </w:tc>
        <w:tc>
          <w:tcPr>
            <w:tcW w:w="1252" w:type="dxa"/>
            <w:tcBorders>
              <w:top w:val="nil"/>
              <w:left w:val="single" w:color="000000" w:sz="8" w:space="0"/>
              <w:bottom w:val="single" w:color="000000" w:sz="8" w:space="0"/>
              <w:right w:val="single" w:color="000000" w:sz="8" w:space="0"/>
            </w:tcBorders>
            <w:vAlign w:val="center"/>
          </w:tcPr>
          <w:p w14:paraId="246651FC">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6EEE6840">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约束性</w:t>
            </w:r>
          </w:p>
        </w:tc>
      </w:tr>
      <w:tr w14:paraId="346F7588">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45E9A9C4">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46504828">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28.森林覆盖率（%）</w:t>
            </w:r>
          </w:p>
        </w:tc>
        <w:tc>
          <w:tcPr>
            <w:tcW w:w="1905" w:type="dxa"/>
            <w:tcBorders>
              <w:top w:val="nil"/>
              <w:left w:val="single" w:color="000000" w:sz="8" w:space="0"/>
              <w:bottom w:val="single" w:color="000000" w:sz="8" w:space="0"/>
              <w:right w:val="single" w:color="000000" w:sz="8" w:space="0"/>
            </w:tcBorders>
            <w:vAlign w:val="center"/>
          </w:tcPr>
          <w:p w14:paraId="786B6838">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1650" w:type="dxa"/>
            <w:tcBorders>
              <w:top w:val="nil"/>
              <w:left w:val="single" w:color="000000" w:sz="8" w:space="0"/>
              <w:bottom w:val="single" w:color="000000" w:sz="8" w:space="0"/>
              <w:right w:val="single" w:color="000000" w:sz="8" w:space="0"/>
            </w:tcBorders>
            <w:vAlign w:val="center"/>
          </w:tcPr>
          <w:p w14:paraId="0F62DBEB">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highlight w:val="none"/>
                <w:lang w:bidi="ar"/>
              </w:rPr>
              <w:t>保持稳定</w:t>
            </w:r>
          </w:p>
        </w:tc>
        <w:tc>
          <w:tcPr>
            <w:tcW w:w="1252" w:type="dxa"/>
            <w:tcBorders>
              <w:top w:val="nil"/>
              <w:left w:val="single" w:color="000000" w:sz="8" w:space="0"/>
              <w:bottom w:val="single" w:color="000000" w:sz="8" w:space="0"/>
              <w:right w:val="single" w:color="000000" w:sz="8" w:space="0"/>
            </w:tcBorders>
            <w:vAlign w:val="center"/>
          </w:tcPr>
          <w:p w14:paraId="02C7F0C2">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790808E3">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约束性</w:t>
            </w:r>
          </w:p>
        </w:tc>
      </w:tr>
      <w:tr w14:paraId="003074FE">
        <w:tblPrEx>
          <w:tblCellMar>
            <w:top w:w="0" w:type="dxa"/>
            <w:left w:w="108" w:type="dxa"/>
            <w:bottom w:w="0" w:type="dxa"/>
            <w:right w:w="108" w:type="dxa"/>
          </w:tblCellMar>
        </w:tblPrEx>
        <w:trPr>
          <w:trHeight w:val="351" w:hRule="atLeast"/>
          <w:jc w:val="center"/>
        </w:trPr>
        <w:tc>
          <w:tcPr>
            <w:tcW w:w="491" w:type="dxa"/>
            <w:vMerge w:val="restart"/>
            <w:tcBorders>
              <w:top w:val="nil"/>
              <w:left w:val="single" w:color="000000" w:sz="8" w:space="0"/>
              <w:bottom w:val="single" w:color="000000" w:sz="8" w:space="0"/>
              <w:right w:val="single" w:color="000000" w:sz="8" w:space="0"/>
            </w:tcBorders>
            <w:vAlign w:val="center"/>
          </w:tcPr>
          <w:p w14:paraId="6685D69B">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kern w:val="0"/>
                <w:sz w:val="22"/>
                <w:szCs w:val="22"/>
                <w:highlight w:val="none"/>
                <w:lang w:bidi="ar"/>
              </w:rPr>
              <w:t>安全保障</w:t>
            </w:r>
          </w:p>
        </w:tc>
        <w:tc>
          <w:tcPr>
            <w:tcW w:w="3858" w:type="dxa"/>
            <w:gridSpan w:val="2"/>
            <w:tcBorders>
              <w:top w:val="nil"/>
              <w:left w:val="single" w:color="000000" w:sz="8" w:space="0"/>
              <w:bottom w:val="single" w:color="000000" w:sz="8" w:space="0"/>
              <w:right w:val="single" w:color="000000" w:sz="8" w:space="0"/>
            </w:tcBorders>
            <w:vAlign w:val="center"/>
          </w:tcPr>
          <w:p w14:paraId="5582E494">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29.粮食综合生产能力（亿斤）</w:t>
            </w:r>
          </w:p>
        </w:tc>
        <w:tc>
          <w:tcPr>
            <w:tcW w:w="1905" w:type="dxa"/>
            <w:tcBorders>
              <w:top w:val="nil"/>
              <w:left w:val="single" w:color="000000" w:sz="8" w:space="0"/>
              <w:bottom w:val="single" w:color="000000" w:sz="8" w:space="0"/>
              <w:right w:val="single" w:color="000000" w:sz="8" w:space="0"/>
            </w:tcBorders>
            <w:vAlign w:val="center"/>
          </w:tcPr>
          <w:p w14:paraId="02D60282">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0.5588</w:t>
            </w:r>
          </w:p>
        </w:tc>
        <w:tc>
          <w:tcPr>
            <w:tcW w:w="1650" w:type="dxa"/>
            <w:tcBorders>
              <w:top w:val="nil"/>
              <w:left w:val="single" w:color="000000" w:sz="8" w:space="0"/>
              <w:bottom w:val="single" w:color="000000" w:sz="8" w:space="0"/>
              <w:right w:val="single" w:color="000000" w:sz="8" w:space="0"/>
            </w:tcBorders>
            <w:vAlign w:val="center"/>
          </w:tcPr>
          <w:p w14:paraId="06CA20C6">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0.56左右</w:t>
            </w:r>
          </w:p>
        </w:tc>
        <w:tc>
          <w:tcPr>
            <w:tcW w:w="1252" w:type="dxa"/>
            <w:tcBorders>
              <w:top w:val="nil"/>
              <w:left w:val="single" w:color="000000" w:sz="8" w:space="0"/>
              <w:bottom w:val="single" w:color="000000" w:sz="8" w:space="0"/>
              <w:right w:val="single" w:color="000000" w:sz="8" w:space="0"/>
            </w:tcBorders>
            <w:vAlign w:val="center"/>
          </w:tcPr>
          <w:p w14:paraId="34EF0B30">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保持稳定</w:t>
            </w:r>
          </w:p>
        </w:tc>
        <w:tc>
          <w:tcPr>
            <w:tcW w:w="956" w:type="dxa"/>
            <w:tcBorders>
              <w:top w:val="nil"/>
              <w:left w:val="single" w:color="000000" w:sz="8" w:space="0"/>
              <w:bottom w:val="single" w:color="000000" w:sz="8" w:space="0"/>
              <w:right w:val="single" w:color="000000" w:sz="8" w:space="0"/>
            </w:tcBorders>
            <w:vAlign w:val="center"/>
          </w:tcPr>
          <w:p w14:paraId="31D31FC6">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约束性</w:t>
            </w:r>
          </w:p>
        </w:tc>
      </w:tr>
      <w:tr w14:paraId="1020B1B6">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767860F6">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4AC62540">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30.能源综合生产能力（亿吨标准煤）</w:t>
            </w:r>
          </w:p>
        </w:tc>
        <w:tc>
          <w:tcPr>
            <w:tcW w:w="1905" w:type="dxa"/>
            <w:tcBorders>
              <w:top w:val="nil"/>
              <w:left w:val="single" w:color="000000" w:sz="8" w:space="0"/>
              <w:bottom w:val="single" w:color="000000" w:sz="8" w:space="0"/>
              <w:right w:val="single" w:color="000000" w:sz="8" w:space="0"/>
            </w:tcBorders>
            <w:vAlign w:val="center"/>
          </w:tcPr>
          <w:p w14:paraId="721DD2C7">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1650" w:type="dxa"/>
            <w:tcBorders>
              <w:top w:val="nil"/>
              <w:left w:val="single" w:color="000000" w:sz="8" w:space="0"/>
              <w:bottom w:val="single" w:color="000000" w:sz="8" w:space="0"/>
              <w:right w:val="single" w:color="000000" w:sz="8" w:space="0"/>
            </w:tcBorders>
            <w:vAlign w:val="center"/>
          </w:tcPr>
          <w:p w14:paraId="7966DB8D">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1252" w:type="dxa"/>
            <w:tcBorders>
              <w:top w:val="nil"/>
              <w:left w:val="single" w:color="000000" w:sz="8" w:space="0"/>
              <w:bottom w:val="single" w:color="000000" w:sz="8" w:space="0"/>
              <w:right w:val="single" w:color="000000" w:sz="8" w:space="0"/>
            </w:tcBorders>
            <w:vAlign w:val="center"/>
          </w:tcPr>
          <w:p w14:paraId="0F5E9928">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w:t>
            </w:r>
          </w:p>
        </w:tc>
        <w:tc>
          <w:tcPr>
            <w:tcW w:w="956" w:type="dxa"/>
            <w:tcBorders>
              <w:top w:val="nil"/>
              <w:left w:val="single" w:color="000000" w:sz="8" w:space="0"/>
              <w:bottom w:val="single" w:color="000000" w:sz="8" w:space="0"/>
              <w:right w:val="single" w:color="000000" w:sz="8" w:space="0"/>
            </w:tcBorders>
            <w:vAlign w:val="center"/>
          </w:tcPr>
          <w:p w14:paraId="3C96AE60">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约束性</w:t>
            </w:r>
          </w:p>
        </w:tc>
      </w:tr>
      <w:tr w14:paraId="48F79B52">
        <w:tblPrEx>
          <w:tblCellMar>
            <w:top w:w="0" w:type="dxa"/>
            <w:left w:w="108" w:type="dxa"/>
            <w:bottom w:w="0" w:type="dxa"/>
            <w:right w:w="108" w:type="dxa"/>
          </w:tblCellMar>
        </w:tblPrEx>
        <w:trPr>
          <w:trHeight w:val="351" w:hRule="atLeast"/>
          <w:jc w:val="center"/>
        </w:trPr>
        <w:tc>
          <w:tcPr>
            <w:tcW w:w="491" w:type="dxa"/>
            <w:vMerge w:val="continue"/>
            <w:tcBorders>
              <w:top w:val="nil"/>
              <w:left w:val="single" w:color="000000" w:sz="8" w:space="0"/>
              <w:bottom w:val="single" w:color="000000" w:sz="8" w:space="0"/>
              <w:right w:val="single" w:color="000000" w:sz="8" w:space="0"/>
            </w:tcBorders>
            <w:vAlign w:val="center"/>
          </w:tcPr>
          <w:p w14:paraId="49528C96">
            <w:pPr>
              <w:keepNext w:val="0"/>
              <w:keepLines w:val="0"/>
              <w:pageBreakBefore w:val="0"/>
              <w:widowControl/>
              <w:kinsoku/>
              <w:wordWrap/>
              <w:overflowPunct/>
              <w:topLinePunct w:val="0"/>
              <w:autoSpaceDE/>
              <w:autoSpaceDN/>
              <w:bidi w:val="0"/>
              <w:adjustRightInd w:val="0"/>
              <w:snapToGrid w:val="0"/>
              <w:spacing w:after="0" w:afterLines="0" w:line="400" w:lineRule="exact"/>
              <w:ind w:firstLine="640" w:firstLineChars="200"/>
              <w:jc w:val="center"/>
              <w:rPr>
                <w:rFonts w:hint="eastAsia" w:ascii="仿宋_GB2312" w:hAnsi="仿宋_GB2312" w:eastAsia="仿宋_GB2312" w:cs="仿宋_GB2312"/>
                <w:sz w:val="32"/>
                <w:szCs w:val="32"/>
                <w:highlight w:val="none"/>
              </w:rPr>
            </w:pPr>
          </w:p>
        </w:tc>
        <w:tc>
          <w:tcPr>
            <w:tcW w:w="3858" w:type="dxa"/>
            <w:gridSpan w:val="2"/>
            <w:tcBorders>
              <w:top w:val="nil"/>
              <w:left w:val="single" w:color="000000" w:sz="8" w:space="0"/>
              <w:bottom w:val="single" w:color="000000" w:sz="8" w:space="0"/>
              <w:right w:val="single" w:color="000000" w:sz="8" w:space="0"/>
            </w:tcBorders>
            <w:vAlign w:val="center"/>
          </w:tcPr>
          <w:p w14:paraId="4A20A414">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31.万人违法犯罪率（%）</w:t>
            </w:r>
          </w:p>
        </w:tc>
        <w:tc>
          <w:tcPr>
            <w:tcW w:w="1905" w:type="dxa"/>
            <w:tcBorders>
              <w:top w:val="nil"/>
              <w:left w:val="single" w:color="000000" w:sz="8" w:space="0"/>
              <w:bottom w:val="single" w:color="000000" w:sz="8" w:space="0"/>
              <w:right w:val="single" w:color="000000" w:sz="8" w:space="0"/>
            </w:tcBorders>
            <w:vAlign w:val="center"/>
          </w:tcPr>
          <w:p w14:paraId="6035C32E">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0.34</w:t>
            </w:r>
          </w:p>
        </w:tc>
        <w:tc>
          <w:tcPr>
            <w:tcW w:w="1650" w:type="dxa"/>
            <w:tcBorders>
              <w:top w:val="nil"/>
              <w:left w:val="single" w:color="000000" w:sz="8" w:space="0"/>
              <w:bottom w:val="single" w:color="000000" w:sz="8" w:space="0"/>
              <w:right w:val="single" w:color="000000" w:sz="8" w:space="0"/>
            </w:tcBorders>
            <w:vAlign w:val="center"/>
          </w:tcPr>
          <w:p w14:paraId="3D1EDDBE">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0.328</w:t>
            </w:r>
          </w:p>
        </w:tc>
        <w:tc>
          <w:tcPr>
            <w:tcW w:w="1252" w:type="dxa"/>
            <w:tcBorders>
              <w:top w:val="nil"/>
              <w:left w:val="single" w:color="000000" w:sz="8" w:space="0"/>
              <w:bottom w:val="single" w:color="000000" w:sz="8" w:space="0"/>
              <w:right w:val="single" w:color="000000" w:sz="8" w:space="0"/>
            </w:tcBorders>
            <w:vAlign w:val="center"/>
          </w:tcPr>
          <w:p w14:paraId="2DD9EC97">
            <w:pPr>
              <w:keepNext w:val="0"/>
              <w:keepLines w:val="0"/>
              <w:pageBreakBefore w:val="0"/>
              <w:widowControl/>
              <w:kinsoku/>
              <w:wordWrap/>
              <w:overflowPunct/>
              <w:topLinePunct w:val="0"/>
              <w:autoSpaceDE/>
              <w:autoSpaceDN/>
              <w:bidi w:val="0"/>
              <w:adjustRightInd w:val="0"/>
              <w:snapToGrid w:val="0"/>
              <w:spacing w:after="0" w:afterLines="0" w:line="400" w:lineRule="exact"/>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0.33</w:t>
            </w:r>
          </w:p>
        </w:tc>
        <w:tc>
          <w:tcPr>
            <w:tcW w:w="956" w:type="dxa"/>
            <w:tcBorders>
              <w:top w:val="nil"/>
              <w:left w:val="single" w:color="000000" w:sz="8" w:space="0"/>
              <w:bottom w:val="single" w:color="000000" w:sz="8" w:space="0"/>
              <w:right w:val="single" w:color="000000" w:sz="8" w:space="0"/>
            </w:tcBorders>
            <w:vAlign w:val="center"/>
          </w:tcPr>
          <w:p w14:paraId="63CECC8F">
            <w:pPr>
              <w:keepNext w:val="0"/>
              <w:keepLines w:val="0"/>
              <w:pageBreakBefore w:val="0"/>
              <w:widowControl/>
              <w:kinsoku/>
              <w:wordWrap/>
              <w:overflowPunct/>
              <w:topLinePunct w:val="0"/>
              <w:autoSpaceDE/>
              <w:autoSpaceDN/>
              <w:bidi w:val="0"/>
              <w:adjustRightInd w:val="0"/>
              <w:snapToGrid w:val="0"/>
              <w:spacing w:after="0" w:afterLines="0" w:line="400" w:lineRule="exact"/>
              <w:ind w:left="-105" w:leftChars="-50" w:right="-105" w:rightChars="-50"/>
              <w:jc w:val="center"/>
              <w:textAlignment w:val="center"/>
              <w:rPr>
                <w:rFonts w:hint="eastAsia" w:ascii="仿宋_GB2312" w:hAnsi="仿宋_GB2312" w:eastAsia="仿宋_GB2312" w:cs="仿宋_GB2312"/>
                <w:kern w:val="0"/>
                <w:sz w:val="22"/>
                <w:szCs w:val="22"/>
                <w:highlight w:val="none"/>
                <w:lang w:bidi="ar"/>
              </w:rPr>
            </w:pPr>
            <w:r>
              <w:rPr>
                <w:rFonts w:hint="eastAsia" w:ascii="仿宋_GB2312" w:hAnsi="仿宋_GB2312" w:eastAsia="仿宋_GB2312" w:cs="仿宋_GB2312"/>
                <w:kern w:val="0"/>
                <w:sz w:val="22"/>
                <w:szCs w:val="22"/>
                <w:highlight w:val="none"/>
                <w:lang w:bidi="ar"/>
              </w:rPr>
              <w:t>约束性</w:t>
            </w:r>
          </w:p>
        </w:tc>
      </w:tr>
    </w:tbl>
    <w:p w14:paraId="41EA00AC">
      <w:pPr>
        <w:pageBreakBefore w:val="0"/>
        <w:kinsoku/>
        <w:wordWrap/>
        <w:overflowPunct/>
        <w:topLinePunct w:val="0"/>
        <w:autoSpaceDE/>
        <w:autoSpaceDN/>
        <w:bidi w:val="0"/>
        <w:spacing w:after="0" w:afterLines="0" w:line="560" w:lineRule="exact"/>
        <w:ind w:firstLine="48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24"/>
          <w:szCs w:val="24"/>
          <w:highlight w:val="none"/>
        </w:rPr>
        <w:t>注：约束性指标具体数值按</w:t>
      </w:r>
      <w:r>
        <w:rPr>
          <w:rFonts w:hint="eastAsia" w:ascii="仿宋_GB2312" w:hAnsi="仿宋_GB2312" w:eastAsia="仿宋_GB2312" w:cs="仿宋_GB2312"/>
          <w:sz w:val="24"/>
          <w:szCs w:val="24"/>
          <w:highlight w:val="none"/>
          <w:lang w:val="en-US" w:eastAsia="zh-CN"/>
        </w:rPr>
        <w:t>上级</w:t>
      </w:r>
      <w:r>
        <w:rPr>
          <w:rFonts w:hint="eastAsia" w:ascii="仿宋_GB2312" w:hAnsi="仿宋_GB2312" w:eastAsia="仿宋_GB2312" w:cs="仿宋_GB2312"/>
          <w:sz w:val="24"/>
          <w:szCs w:val="24"/>
          <w:highlight w:val="none"/>
        </w:rPr>
        <w:t>下达任务执行。</w:t>
      </w:r>
      <w:r>
        <w:rPr>
          <w:rFonts w:hint="eastAsia" w:ascii="仿宋_GB2312" w:hAnsi="仿宋_GB2312" w:eastAsia="仿宋_GB2312" w:cs="仿宋_GB2312"/>
          <w:sz w:val="32"/>
          <w:szCs w:val="32"/>
          <w:highlight w:val="none"/>
        </w:rPr>
        <w:br w:type="page"/>
      </w:r>
    </w:p>
    <w:p w14:paraId="16D32B2B">
      <w:pPr>
        <w:keepNext w:val="0"/>
        <w:keepLines w:val="0"/>
        <w:pageBreakBefore w:val="0"/>
        <w:widowControl w:val="0"/>
        <w:kinsoku/>
        <w:wordWrap/>
        <w:overflowPunct/>
        <w:topLinePunct w:val="0"/>
        <w:autoSpaceDE/>
        <w:autoSpaceDN/>
        <w:bidi w:val="0"/>
        <w:adjustRightInd w:val="0"/>
        <w:snapToGrid w:val="0"/>
        <w:spacing w:after="0" w:afterLines="0" w:line="560" w:lineRule="exact"/>
        <w:jc w:val="center"/>
        <w:textAlignment w:val="auto"/>
        <w:outlineLvl w:val="0"/>
        <w:rPr>
          <w:rFonts w:hint="eastAsia" w:ascii="方正小标宋简体" w:eastAsia="方正小标宋简体"/>
          <w:b w:val="0"/>
          <w:bCs w:val="0"/>
          <w:sz w:val="36"/>
          <w:szCs w:val="36"/>
          <w:highlight w:val="none"/>
        </w:rPr>
      </w:pPr>
      <w:bookmarkStart w:id="172" w:name="_Toc215695194"/>
      <w:bookmarkStart w:id="173" w:name="_Toc5898"/>
      <w:bookmarkStart w:id="174" w:name="_Toc7246"/>
      <w:bookmarkStart w:id="175" w:name="_Toc19645"/>
      <w:bookmarkStart w:id="176" w:name="_Toc21815"/>
      <w:bookmarkStart w:id="177" w:name="_Toc17104"/>
      <w:bookmarkStart w:id="178" w:name="_Toc18"/>
      <w:bookmarkStart w:id="179" w:name="_Toc6273"/>
      <w:bookmarkStart w:id="180" w:name="_Toc26463"/>
      <w:bookmarkStart w:id="181" w:name="_Toc26455"/>
      <w:bookmarkStart w:id="182" w:name="_Toc21678"/>
      <w:bookmarkStart w:id="183" w:name="_Toc26850"/>
      <w:bookmarkStart w:id="184" w:name="_Toc16333"/>
      <w:bookmarkStart w:id="185" w:name="_Toc16939"/>
      <w:bookmarkStart w:id="186" w:name="_Toc214611201"/>
      <w:bookmarkStart w:id="187" w:name="_Toc4691"/>
      <w:bookmarkStart w:id="188" w:name="_Toc231562018"/>
      <w:bookmarkStart w:id="189" w:name="_Toc1387"/>
      <w:bookmarkStart w:id="190" w:name="_Toc23487"/>
      <w:r>
        <w:rPr>
          <w:rFonts w:hint="eastAsia" w:ascii="方正小标宋简体" w:eastAsia="方正小标宋简体"/>
          <w:b w:val="0"/>
          <w:bCs w:val="0"/>
          <w:sz w:val="36"/>
          <w:szCs w:val="36"/>
          <w:highlight w:val="none"/>
        </w:rPr>
        <w:t xml:space="preserve">第二篇  </w:t>
      </w:r>
      <w:bookmarkStart w:id="191" w:name="_Toc27185"/>
      <w:bookmarkStart w:id="192" w:name="_Toc6253"/>
      <w:bookmarkStart w:id="193" w:name="_Toc3819"/>
      <w:bookmarkStart w:id="194" w:name="_Toc22992"/>
      <w:bookmarkStart w:id="195" w:name="_Toc32643"/>
      <w:bookmarkStart w:id="196" w:name="_Toc3972"/>
      <w:bookmarkStart w:id="197" w:name="_Toc22089"/>
      <w:bookmarkStart w:id="198" w:name="_Toc25658"/>
      <w:bookmarkStart w:id="199" w:name="_Toc23691"/>
      <w:bookmarkStart w:id="200" w:name="_Toc27432"/>
      <w:bookmarkStart w:id="201" w:name="_Toc3087"/>
      <w:bookmarkStart w:id="202" w:name="_Toc1179"/>
      <w:bookmarkStart w:id="203" w:name="_Toc29094"/>
      <w:bookmarkStart w:id="204" w:name="_Toc14622"/>
      <w:bookmarkStart w:id="205" w:name="_Toc1242"/>
      <w:r>
        <w:rPr>
          <w:rFonts w:hint="eastAsia" w:ascii="方正小标宋简体" w:eastAsia="方正小标宋简体"/>
          <w:b w:val="0"/>
          <w:bCs w:val="0"/>
          <w:sz w:val="36"/>
          <w:szCs w:val="36"/>
          <w:highlight w:val="none"/>
        </w:rPr>
        <w:t>弘扬文化底蕴，融入试验区建设新实践</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1C502DEA">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bookmarkStart w:id="206" w:name="_Toc31453"/>
    </w:p>
    <w:p w14:paraId="3E2BDAE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以景德镇国家陶瓷文化传承创新试验区第二阶段建设为主线，以文化赋能为核心引擎，以遗产保护为重要抓手，做好申遗“后半篇文章”，加快发展文化产业、提升昌江文化传播力与区域影响力。强化文化遗产的系统性保护与创新性转化，夯实文化根基。以文旅深度融合拓展消费新场景、培育产业新业态。依托数智技术驱动陶瓷产业转型升级，强化产业竞争力。</w:t>
      </w:r>
    </w:p>
    <w:p w14:paraId="33789D71">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207" w:name="_Toc18688"/>
      <w:bookmarkStart w:id="208" w:name="_Toc30933"/>
      <w:bookmarkStart w:id="209" w:name="_Toc21299"/>
      <w:bookmarkStart w:id="210" w:name="_Toc23496"/>
      <w:bookmarkStart w:id="211" w:name="_Toc11371"/>
      <w:bookmarkStart w:id="212" w:name="_Toc22510"/>
      <w:bookmarkStart w:id="213" w:name="_Toc10321"/>
      <w:bookmarkStart w:id="214" w:name="_Toc27928"/>
      <w:bookmarkStart w:id="215" w:name="_Toc31587"/>
      <w:bookmarkStart w:id="216" w:name="_Toc25514"/>
      <w:bookmarkStart w:id="217" w:name="_Toc28178"/>
      <w:bookmarkStart w:id="218" w:name="_Toc214611202"/>
      <w:bookmarkStart w:id="219" w:name="_Toc24673"/>
      <w:bookmarkStart w:id="220" w:name="_Toc21337"/>
      <w:bookmarkStart w:id="221" w:name="_Toc11887"/>
      <w:bookmarkStart w:id="222" w:name="_Toc11647"/>
      <w:bookmarkStart w:id="223" w:name="_Toc215695195"/>
      <w:bookmarkStart w:id="224" w:name="_Toc7159"/>
      <w:bookmarkStart w:id="225" w:name="_Toc28841"/>
      <w:bookmarkStart w:id="226" w:name="_Toc7503"/>
      <w:bookmarkStart w:id="227" w:name="_Toc17895"/>
      <w:bookmarkStart w:id="228" w:name="_Toc29858"/>
      <w:bookmarkStart w:id="229" w:name="_Toc9515"/>
      <w:bookmarkStart w:id="230" w:name="_Toc231562019"/>
      <w:bookmarkStart w:id="231" w:name="_Toc24760"/>
      <w:bookmarkStart w:id="232" w:name="_Toc1655"/>
      <w:bookmarkStart w:id="233" w:name="_Toc3489"/>
      <w:bookmarkStart w:id="234" w:name="_Toc26347"/>
      <w:bookmarkStart w:id="235" w:name="_Toc6755"/>
      <w:bookmarkStart w:id="236" w:name="_Toc6966"/>
      <w:bookmarkStart w:id="237" w:name="_Toc12190"/>
      <w:bookmarkStart w:id="238" w:name="_Toc4300"/>
      <w:bookmarkStart w:id="239" w:name="_Toc19892"/>
      <w:bookmarkStart w:id="240" w:name="_Toc28087"/>
      <w:r>
        <w:rPr>
          <w:rFonts w:hint="eastAsia" w:ascii="黑体" w:hAnsi="黑体" w:eastAsia="黑体"/>
          <w:b w:val="0"/>
          <w:bCs w:val="0"/>
          <w:sz w:val="32"/>
          <w:szCs w:val="32"/>
          <w:highlight w:val="none"/>
        </w:rPr>
        <w:t xml:space="preserve">第一章  </w:t>
      </w:r>
      <w:bookmarkEnd w:id="206"/>
      <w:r>
        <w:rPr>
          <w:rFonts w:hint="eastAsia" w:ascii="黑体" w:hAnsi="黑体" w:eastAsia="黑体"/>
          <w:b w:val="0"/>
          <w:bCs w:val="0"/>
          <w:sz w:val="32"/>
          <w:szCs w:val="32"/>
          <w:highlight w:val="none"/>
        </w:rPr>
        <w:t>统筹推进</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Pr>
          <w:rFonts w:hint="eastAsia" w:ascii="黑体" w:hAnsi="黑体" w:eastAsia="黑体"/>
          <w:b w:val="0"/>
          <w:bCs w:val="0"/>
          <w:sz w:val="32"/>
          <w:szCs w:val="32"/>
          <w:highlight w:val="none"/>
        </w:rPr>
        <w:t>陶瓷文化传承与创新</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53F8A339">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41" w:name="_Toc23841"/>
      <w:bookmarkStart w:id="242" w:name="_Toc20553"/>
      <w:bookmarkStart w:id="243" w:name="_Toc1651"/>
      <w:bookmarkStart w:id="244" w:name="_Toc17664"/>
      <w:bookmarkStart w:id="245" w:name="_Toc21510"/>
      <w:bookmarkStart w:id="246" w:name="_Toc16331"/>
      <w:bookmarkStart w:id="247" w:name="_Toc19478"/>
      <w:bookmarkStart w:id="248" w:name="_Toc13896"/>
      <w:bookmarkStart w:id="249" w:name="_Toc26781"/>
      <w:bookmarkStart w:id="250" w:name="_Toc17101"/>
      <w:bookmarkStart w:id="251" w:name="_Toc7475"/>
      <w:bookmarkStart w:id="252" w:name="_Toc25453"/>
      <w:bookmarkStart w:id="253" w:name="_Toc231562020"/>
      <w:bookmarkStart w:id="254" w:name="_Toc17636"/>
      <w:bookmarkStart w:id="255" w:name="_Toc20230"/>
      <w:bookmarkStart w:id="256" w:name="_Toc13897"/>
      <w:bookmarkStart w:id="257" w:name="_Toc4026"/>
      <w:bookmarkStart w:id="258" w:name="_Toc215695196"/>
      <w:bookmarkStart w:id="259" w:name="_Toc25241"/>
      <w:bookmarkStart w:id="260" w:name="_Toc11944"/>
      <w:bookmarkStart w:id="261" w:name="_Toc12904"/>
      <w:bookmarkStart w:id="262" w:name="_Toc21789"/>
      <w:bookmarkStart w:id="263" w:name="_Toc251"/>
      <w:bookmarkStart w:id="264" w:name="_Toc8021"/>
      <w:bookmarkStart w:id="265" w:name="_Toc25934"/>
      <w:bookmarkStart w:id="266" w:name="_Toc22873"/>
      <w:bookmarkStart w:id="267" w:name="_Toc981"/>
      <w:bookmarkStart w:id="268" w:name="_Toc3089"/>
      <w:bookmarkStart w:id="269" w:name="_Toc6390"/>
      <w:bookmarkStart w:id="270" w:name="_Toc13962"/>
      <w:bookmarkStart w:id="271" w:name="_Toc20577"/>
      <w:bookmarkStart w:id="272" w:name="_Toc334"/>
      <w:bookmarkStart w:id="273" w:name="_Toc214611204"/>
      <w:bookmarkStart w:id="274" w:name="_Toc30805"/>
      <w:r>
        <w:rPr>
          <w:rFonts w:hint="eastAsia" w:ascii="楷体_GB2312" w:hAnsi="楷体_GB2312" w:eastAsia="楷体_GB2312" w:cs="楷体_GB2312"/>
          <w:b w:val="0"/>
          <w:bCs w:val="0"/>
          <w:sz w:val="32"/>
          <w:szCs w:val="32"/>
          <w:highlight w:val="none"/>
        </w:rPr>
        <w:t>第一节  加强文化传承</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279CB63C">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ascii="仿宋_GB2312" w:hAnsi="仿宋_GB2312" w:eastAsia="仿宋_GB2312" w:cs="仿宋_GB2312"/>
          <w:b w:val="0"/>
          <w:bCs w:val="0"/>
          <w:sz w:val="32"/>
          <w:szCs w:val="32"/>
          <w:highlight w:val="none"/>
        </w:rPr>
        <w:t>系统推进文化遗产的保护、修复与整合</w:t>
      </w:r>
      <w:r>
        <w:rPr>
          <w:rFonts w:hint="eastAsia" w:ascii="仿宋_GB2312" w:hAnsi="仿宋_GB2312" w:eastAsia="仿宋_GB2312" w:cs="仿宋_GB2312"/>
          <w:b w:val="0"/>
          <w:bCs w:val="0"/>
          <w:sz w:val="32"/>
          <w:szCs w:val="32"/>
          <w:highlight w:val="none"/>
        </w:rPr>
        <w:t>工作。</w:t>
      </w:r>
      <w:r>
        <w:rPr>
          <w:rFonts w:ascii="仿宋_GB2312" w:hAnsi="仿宋_GB2312" w:eastAsia="仿宋_GB2312" w:cs="仿宋_GB2312"/>
          <w:b w:val="0"/>
          <w:bCs w:val="0"/>
          <w:sz w:val="32"/>
          <w:szCs w:val="32"/>
          <w:highlight w:val="none"/>
        </w:rPr>
        <w:t>持续推进历史街区、重要遗产点及近现代陶瓷工业遗产的保护修复与可持续利用，推动其纳入城市紫线保护范围。建立覆盖全域、实时响应的文化遗产动态监测与展示体系。严格对标国际申遗标准，重点推进三闾庙历史文化街区、丽阳窑遗址等片区的深度保护修复与街区环境品质提升工程，并联动锦绣昌南、中国陶瓷城等周边区域，积极探索和引入社会资本实施整体性、可持续的开发运营。依托区内105家场馆入选“千馆之城”的优势，积极谋划新兴主题展览与特色展馆建设，着力打造以中国陶瓷博物馆为龙头、各类专题博物馆和展示空间为支撑的博物馆集群，巩固提升各级文物保护单位的管理与展示利用水平。</w:t>
      </w:r>
    </w:p>
    <w:p w14:paraId="2A201DDE">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ascii="仿宋_GB2312" w:hAnsi="仿宋_GB2312" w:eastAsia="仿宋_GB2312" w:cs="仿宋_GB2312"/>
          <w:b w:val="0"/>
          <w:bCs w:val="0"/>
          <w:sz w:val="32"/>
          <w:szCs w:val="32"/>
          <w:highlight w:val="none"/>
        </w:rPr>
        <w:t>做好申遗“后半篇文章”，着力推动文化遗产的可持续活化与价值创新。持续深化非遗普查，动态完善区级代表性项目名录体系，并加强对荷塘竹编、鱼山根雕、手工制瓷等关键非遗项目的科学保护与活态展示。依托陶瓷非遗协会汇聚的传承人资源，启动建设非遗传承人孵化基地，打造集创作、研习、体验于一体的“非遗聚落”。推进非物质文化遗产研究和传播，深入开展陶瓷材料、工艺、传承等方面的学术研究和技术研发。重点推动非遗资源与创意设计、现代科技、旅游休闲的深度融合，拓展非遗在当代生活中的应用场景，实现从保护传承到创造性转化和创新性发展的跨越，让文化遗产真正成为赋能城市高质量发展的持久动力。</w:t>
      </w:r>
    </w:p>
    <w:p w14:paraId="2B504FC9">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75" w:name="_Toc21182"/>
      <w:bookmarkStart w:id="276" w:name="_Toc16789"/>
      <w:bookmarkStart w:id="277" w:name="_Toc28977"/>
      <w:bookmarkStart w:id="278" w:name="_Toc22360"/>
      <w:bookmarkStart w:id="279" w:name="_Toc24651"/>
      <w:bookmarkStart w:id="280" w:name="_Toc18190"/>
      <w:bookmarkStart w:id="281" w:name="_Toc9164"/>
      <w:bookmarkStart w:id="282" w:name="_Toc4333"/>
      <w:bookmarkStart w:id="283" w:name="_Toc27176"/>
      <w:bookmarkStart w:id="284" w:name="_Toc12168"/>
      <w:bookmarkStart w:id="285" w:name="_Toc32524"/>
      <w:bookmarkStart w:id="286" w:name="_Toc29188"/>
      <w:bookmarkStart w:id="287" w:name="_Toc31136"/>
      <w:bookmarkStart w:id="288" w:name="_Toc26377"/>
      <w:bookmarkStart w:id="289" w:name="_Toc23441"/>
      <w:bookmarkStart w:id="290" w:name="_Toc23123"/>
      <w:bookmarkStart w:id="291" w:name="_Toc14981"/>
      <w:bookmarkStart w:id="292" w:name="_Toc22294"/>
      <w:bookmarkStart w:id="293" w:name="_Toc4076"/>
      <w:bookmarkStart w:id="294" w:name="_Toc26652"/>
      <w:bookmarkStart w:id="295" w:name="_Toc231562021"/>
      <w:bookmarkStart w:id="296" w:name="_Toc215695197"/>
      <w:bookmarkStart w:id="297" w:name="_Toc9744"/>
      <w:bookmarkStart w:id="298" w:name="_Toc10008"/>
      <w:bookmarkStart w:id="299" w:name="_Toc6369"/>
      <w:bookmarkStart w:id="300" w:name="_Toc29934"/>
      <w:bookmarkStart w:id="301" w:name="_Toc11846"/>
      <w:bookmarkStart w:id="302" w:name="_Toc22421"/>
      <w:bookmarkStart w:id="303" w:name="_Toc3461"/>
      <w:bookmarkStart w:id="304" w:name="_Toc26588"/>
      <w:bookmarkStart w:id="305" w:name="_Toc18589"/>
      <w:bookmarkStart w:id="306" w:name="_Toc9601"/>
      <w:r>
        <w:rPr>
          <w:rFonts w:hint="eastAsia" w:ascii="楷体_GB2312" w:hAnsi="楷体_GB2312" w:eastAsia="楷体_GB2312" w:cs="楷体_GB2312"/>
          <w:b w:val="0"/>
          <w:bCs w:val="0"/>
          <w:sz w:val="32"/>
          <w:szCs w:val="32"/>
          <w:highlight w:val="none"/>
        </w:rPr>
        <w:t>第二节  强化科技赋能文化遗产保护利用</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43118D83">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ascii="仿宋_GB2312" w:hAnsi="仿宋_GB2312" w:eastAsia="仿宋_GB2312" w:cs="仿宋_GB2312"/>
          <w:b w:val="0"/>
          <w:bCs w:val="0"/>
          <w:sz w:val="32"/>
          <w:szCs w:val="32"/>
          <w:highlight w:val="none"/>
        </w:rPr>
        <w:t>构建文物保护数字底座，强化文化遗产的预防性保护与精准管理。实施文化遗产数字化战略，着力构建覆盖全区文物与非遗资源的智慧监管平台和统一数据库。贯彻“预防性保护”理念，全面运用三维影像采集、高精度GIS建模及人工智能算法等关键技术，系统性完成对文化遗址、工业遗存、非物质文化遗产的抢救性数字化存录与预防性保护。</w:t>
      </w:r>
    </w:p>
    <w:p w14:paraId="78076DCA">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ascii="仿宋_GB2312" w:hAnsi="仿宋_GB2312" w:eastAsia="仿宋_GB2312" w:cs="仿宋_GB2312"/>
          <w:b w:val="0"/>
          <w:bCs w:val="0"/>
          <w:sz w:val="32"/>
          <w:szCs w:val="32"/>
          <w:highlight w:val="none"/>
        </w:rPr>
        <w:t>推动数字成果转化，激发文化遗产的创新性利用与可持续发展。推动数据资源向文化资产与创新动能转化。开发基于数字档案的文物虚拟复原项目与沉浸式非遗交互体验平台，使文化遗产在数字空间焕发新生。运用数字技术对非遗项目进行创意设计、产品开发与跨界应用，打通从数字存护到创意衍生，再到市场价值的全链条，实现文化遗产在当代社会的创新性利用与可持续发展。</w:t>
      </w:r>
    </w:p>
    <w:p w14:paraId="1F90062C">
      <w:pPr>
        <w:rPr>
          <w:rFonts w:hint="eastAsia" w:ascii="黑体" w:hAnsi="黑体" w:eastAsia="黑体"/>
          <w:b w:val="0"/>
          <w:bCs w:val="0"/>
          <w:sz w:val="32"/>
          <w:szCs w:val="32"/>
          <w:highlight w:val="none"/>
        </w:rPr>
      </w:pPr>
      <w:bookmarkStart w:id="307" w:name="_Toc6355"/>
      <w:bookmarkStart w:id="308" w:name="_Toc7619"/>
      <w:bookmarkStart w:id="309" w:name="_Toc13983"/>
      <w:bookmarkStart w:id="310" w:name="_Toc231562022"/>
      <w:bookmarkStart w:id="311" w:name="_Toc833"/>
      <w:bookmarkStart w:id="312" w:name="_Toc31159"/>
      <w:bookmarkStart w:id="313" w:name="_Toc19431"/>
      <w:bookmarkStart w:id="314" w:name="_Toc15178"/>
      <w:bookmarkStart w:id="315" w:name="_Toc12772"/>
      <w:bookmarkStart w:id="316" w:name="_Toc24923"/>
      <w:bookmarkStart w:id="317" w:name="_Toc375"/>
      <w:bookmarkStart w:id="318" w:name="_Toc17377"/>
      <w:bookmarkStart w:id="319" w:name="_Toc15842"/>
      <w:bookmarkStart w:id="320" w:name="_Toc31421"/>
      <w:r>
        <w:rPr>
          <w:rFonts w:hint="eastAsia" w:ascii="黑体" w:hAnsi="黑体" w:eastAsia="黑体"/>
          <w:b w:val="0"/>
          <w:bCs w:val="0"/>
          <w:sz w:val="32"/>
          <w:szCs w:val="32"/>
          <w:highlight w:val="none"/>
        </w:rPr>
        <w:br w:type="page"/>
      </w:r>
    </w:p>
    <w:p w14:paraId="06B5C101">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321" w:name="_Toc7835"/>
      <w:bookmarkStart w:id="322" w:name="_Toc5654"/>
      <w:bookmarkStart w:id="323" w:name="_Toc19141"/>
      <w:bookmarkStart w:id="324" w:name="_Toc8865"/>
      <w:r>
        <w:rPr>
          <w:rFonts w:hint="eastAsia" w:ascii="黑体" w:hAnsi="黑体" w:eastAsia="黑体"/>
          <w:b w:val="0"/>
          <w:bCs w:val="0"/>
          <w:sz w:val="32"/>
          <w:szCs w:val="32"/>
          <w:highlight w:val="none"/>
        </w:rPr>
        <w:t>第二章  推动陶瓷产业高端化</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654C7E35">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25" w:name="_Toc231562023"/>
      <w:bookmarkStart w:id="326" w:name="_Toc4480"/>
      <w:bookmarkStart w:id="327" w:name="_Toc12489"/>
      <w:bookmarkStart w:id="328" w:name="_Toc14586"/>
      <w:bookmarkStart w:id="329" w:name="_Toc24735"/>
      <w:bookmarkStart w:id="330" w:name="_Toc14627"/>
      <w:bookmarkStart w:id="331" w:name="_Toc5996"/>
      <w:bookmarkStart w:id="332" w:name="_Toc11557"/>
      <w:bookmarkStart w:id="333" w:name="_Toc3978"/>
      <w:bookmarkStart w:id="334" w:name="_Toc30315"/>
      <w:bookmarkStart w:id="335" w:name="_Toc20638"/>
      <w:bookmarkStart w:id="336" w:name="_Toc18712"/>
      <w:bookmarkStart w:id="337" w:name="_Toc4060"/>
      <w:bookmarkStart w:id="338" w:name="_Toc7509"/>
      <w:bookmarkStart w:id="339" w:name="_Toc17234"/>
      <w:bookmarkStart w:id="340" w:name="_Toc23442"/>
      <w:bookmarkStart w:id="341" w:name="_Toc10335"/>
      <w:bookmarkStart w:id="342" w:name="_Toc18864"/>
      <w:bookmarkStart w:id="343" w:name="_Toc28953"/>
      <w:bookmarkStart w:id="344" w:name="_Toc6073"/>
      <w:bookmarkStart w:id="345" w:name="_Toc21968"/>
      <w:bookmarkStart w:id="346" w:name="_Toc18518"/>
      <w:bookmarkStart w:id="347" w:name="_Toc29189"/>
      <w:bookmarkStart w:id="348" w:name="_Toc1217"/>
      <w:bookmarkStart w:id="349" w:name="_Toc9333"/>
      <w:r>
        <w:rPr>
          <w:rFonts w:hint="eastAsia" w:ascii="楷体_GB2312" w:hAnsi="楷体_GB2312" w:eastAsia="楷体_GB2312" w:cs="楷体_GB2312"/>
          <w:b w:val="0"/>
          <w:bCs w:val="0"/>
          <w:sz w:val="32"/>
          <w:szCs w:val="32"/>
          <w:highlight w:val="none"/>
        </w:rPr>
        <w:t>第一节  推动先进陶瓷产业差异化发展</w:t>
      </w:r>
      <w:bookmarkEnd w:id="325"/>
      <w:bookmarkEnd w:id="326"/>
      <w:bookmarkEnd w:id="327"/>
      <w:bookmarkEnd w:id="328"/>
      <w:bookmarkEnd w:id="329"/>
      <w:bookmarkEnd w:id="330"/>
      <w:bookmarkEnd w:id="331"/>
    </w:p>
    <w:p w14:paraId="0A2DF05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瞄准高科技领域，与传统陶瓷形成差异化发展。聚焦耐高温、耐腐蚀、高硬度等材料研发与应用，加快突破共性关键技术与原料制备瓶颈，推动陶瓷原料纯度、均匀性等关键指标提升，实现技术升级与链式延伸。积极对接最新科研突破，搭建产学研用一体化平台，强化从技术研发到成果转化的全链条支撑。重点培育电子陶瓷、生物陶瓷、高温结构陶瓷等细分方向的专精特新和“小巨人”企业，支持卡地克、盛世泥火等传统陶瓷企业数字化转型升级，建设一批L6级数字化企业。大力发展昌南里潮玩小镇陶瓷文化创意和设计产业，支持宁封窑、巴宝利发展流量经济、直播经济，加快推动陶青台文化创意园建设，全方位延长链条、提升能级。深化区域协同，加强与高新区新材料产业链互补合作，推动产业向高端化、智能化方向演进，塑造昌江在先进陶瓷领域的独特优势。</w:t>
      </w:r>
    </w:p>
    <w:p w14:paraId="70568C44">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50" w:name="_Toc231562024"/>
      <w:bookmarkStart w:id="351" w:name="_Toc32438"/>
      <w:bookmarkStart w:id="352" w:name="_Toc24257"/>
      <w:bookmarkStart w:id="353" w:name="_Toc1106"/>
      <w:bookmarkStart w:id="354" w:name="_Toc15112"/>
      <w:bookmarkStart w:id="355" w:name="_Toc10805"/>
      <w:bookmarkStart w:id="356" w:name="_Toc4919"/>
      <w:r>
        <w:rPr>
          <w:rFonts w:hint="eastAsia" w:ascii="楷体_GB2312" w:hAnsi="楷体_GB2312" w:eastAsia="楷体_GB2312" w:cs="楷体_GB2312"/>
          <w:b w:val="0"/>
          <w:bCs w:val="0"/>
          <w:sz w:val="32"/>
          <w:szCs w:val="32"/>
          <w:highlight w:val="none"/>
        </w:rPr>
        <w:t>第二节  推动陶瓷产业强链补链</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2B9BC48B">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动文化创意陶瓷日用化与规模化，融入时代生活与数字经济。着力打通文化创意与日用陶瓷的产业壁垒，推动创意设计向高端化、品质化升级。重点实施品牌培育与传播计划，强化工业设计，融入时尚与东方美学元素，提升产品文化内涵与市场竞争力。积极拓展“陶瓷+电商”模式，支持企业利用直播经济等新业态拓展市场。聚合各类平台资源，讲好品牌故事，推动陶瓷文创向产品、用品转化，实现市场价值的规模化提升。积极培育和发展陶瓷潮玩等新业态，推动传统工艺与潮流IP结合，全面赋能陶瓷产业提质升级。</w:t>
      </w:r>
    </w:p>
    <w:p w14:paraId="6135938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ascii="仿宋_GB2312" w:hAnsi="仿宋_GB2312" w:eastAsia="仿宋_GB2312" w:cs="仿宋_GB2312"/>
          <w:b w:val="0"/>
          <w:bCs w:val="0"/>
          <w:sz w:val="32"/>
          <w:szCs w:val="32"/>
          <w:highlight w:val="none"/>
        </w:rPr>
        <w:t>深化传统陶瓷文化化与活态传承，彰显千年瓷都独特魅力。构建陶瓷文化IP培育与运营体系。提炼陶瓷经典器型、纹饰、工艺等核心文化元素，加强现代设计转译与符号化开发，形成具有高辨识度的区域陶瓷文化标识体系。推动建立专业化陶瓷文化IP运营平台，打通从IP授权、创意设计到产品开发、营销推广的全链条产业化路径。支持企业、设计机构与文博单位合作，利用文化IP采取品牌联名、限量定制等创新营销举措，开发系列化、主题化的陶瓷文创产品与时尚衍生品。积极推动陶瓷文化符号向多元消费领域渗透，鼓励将陶瓷美学元素应用于高端礼品、家居装饰、时尚配饰、数字产品包装等领域。</w:t>
      </w:r>
    </w:p>
    <w:p w14:paraId="2E9FFA59">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57" w:name="_Toc17359"/>
      <w:bookmarkStart w:id="358" w:name="_Toc28148"/>
      <w:bookmarkStart w:id="359" w:name="_Toc15713"/>
      <w:bookmarkStart w:id="360" w:name="_Toc1318"/>
      <w:bookmarkStart w:id="361" w:name="_Toc23909"/>
      <w:bookmarkStart w:id="362" w:name="_Toc17220"/>
      <w:bookmarkStart w:id="363" w:name="_Toc11222"/>
      <w:bookmarkStart w:id="364" w:name="_Toc19632"/>
      <w:bookmarkStart w:id="365" w:name="_Toc10215"/>
      <w:bookmarkStart w:id="366" w:name="_Toc7925"/>
      <w:bookmarkStart w:id="367" w:name="_Toc32203"/>
      <w:bookmarkStart w:id="368" w:name="_Toc21293"/>
      <w:bookmarkStart w:id="369" w:name="_Toc28882"/>
      <w:bookmarkStart w:id="370" w:name="_Toc2415"/>
      <w:bookmarkStart w:id="371" w:name="_Toc27744"/>
      <w:bookmarkStart w:id="372" w:name="_Toc26265"/>
      <w:bookmarkStart w:id="373" w:name="_Toc19997"/>
      <w:bookmarkStart w:id="374" w:name="_Toc57"/>
      <w:bookmarkStart w:id="375" w:name="_Toc32351"/>
      <w:bookmarkStart w:id="376" w:name="_Toc9189"/>
      <w:bookmarkStart w:id="377" w:name="_Toc2656"/>
      <w:bookmarkStart w:id="378" w:name="_Toc32111"/>
      <w:bookmarkStart w:id="379" w:name="_Toc3918"/>
      <w:bookmarkStart w:id="380" w:name="_Toc231562025"/>
      <w:bookmarkStart w:id="381" w:name="_Toc3077"/>
      <w:r>
        <w:rPr>
          <w:rFonts w:hint="eastAsia" w:ascii="楷体_GB2312" w:hAnsi="楷体_GB2312" w:eastAsia="楷体_GB2312" w:cs="楷体_GB2312"/>
          <w:b w:val="0"/>
          <w:bCs w:val="0"/>
          <w:sz w:val="32"/>
          <w:szCs w:val="32"/>
          <w:highlight w:val="none"/>
        </w:rPr>
        <w:t>第三节  推动数字经济、创意设计与陶瓷产业深度融合</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42DF9D9F">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深化数字技术与陶瓷产业全链条融合。建设供应链中台系统，形成区域产业协同网络。加快推广5G+AIoT窑炉数智化管控系统等关键技术，实现产瓷区产量、产值、能耗、碳排放及安全生产数据的全流程数据感知与智能决策。依托中国陶瓷工业互联网平台，整合企业及品牌资源，打造陶瓷产业数智化转型标杆。培育直播电商与流量经济新模式，支持陶瓷企业拓展电商渠道，开辟产品出口新路径。鼓励运用大数据与人工智能分析文化消费趋势，推动陶瓷文化产品向个性化、柔性化供给转型。</w:t>
      </w:r>
    </w:p>
    <w:p w14:paraId="132C7E04">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创意设计驱动陶瓷产业价值提升。着力推动创意设计向高端化、品质化升级，重点加快陶青台等载体建设，引导产业集聚发展。实施“陶瓷+”融合战略，鼓励结合本土文化元素开发文化创意衍生品。策划并举办高层次创意设计赛事，建设创意设计类工业设计中心，持续提升产品文化内涵与品牌附加值。积极引进和培育专业的陶瓷文化创意设计团队与销售团队，推动人才链与产业链深度融合，优化陶瓷文化创意产业生态。</w:t>
      </w:r>
    </w:p>
    <w:p w14:paraId="4B132D57">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82" w:name="_Toc22116"/>
      <w:bookmarkStart w:id="383" w:name="_Toc17955"/>
      <w:bookmarkStart w:id="384" w:name="_Toc6566"/>
      <w:bookmarkStart w:id="385" w:name="_Toc21971"/>
      <w:bookmarkStart w:id="386" w:name="_Toc13241"/>
      <w:bookmarkStart w:id="387" w:name="_Toc15265"/>
      <w:bookmarkStart w:id="388" w:name="_Toc11969"/>
      <w:bookmarkStart w:id="389" w:name="_Toc24376"/>
      <w:bookmarkStart w:id="390" w:name="_Toc3192"/>
      <w:bookmarkStart w:id="391" w:name="_Toc13317"/>
      <w:bookmarkStart w:id="392" w:name="_Toc12435"/>
      <w:bookmarkStart w:id="393" w:name="_Toc20600"/>
      <w:bookmarkStart w:id="394" w:name="_Toc2200"/>
      <w:bookmarkStart w:id="395" w:name="_Toc32161"/>
      <w:bookmarkStart w:id="396" w:name="_Toc1299"/>
      <w:bookmarkStart w:id="397" w:name="_Toc21819"/>
      <w:bookmarkStart w:id="398" w:name="_Toc8027"/>
      <w:bookmarkStart w:id="399" w:name="_Toc15691"/>
      <w:bookmarkStart w:id="400" w:name="_Toc1206"/>
      <w:bookmarkStart w:id="401" w:name="_Toc231562026"/>
      <w:bookmarkStart w:id="402" w:name="_Toc25011"/>
      <w:bookmarkStart w:id="403" w:name="_Toc13483"/>
      <w:bookmarkStart w:id="404" w:name="_Toc2141"/>
      <w:bookmarkStart w:id="405" w:name="_Toc23281"/>
      <w:bookmarkStart w:id="406" w:name="_Toc30468"/>
      <w:r>
        <w:rPr>
          <w:rFonts w:hint="eastAsia" w:ascii="楷体_GB2312" w:hAnsi="楷体_GB2312" w:eastAsia="楷体_GB2312" w:cs="楷体_GB2312"/>
          <w:b w:val="0"/>
          <w:bCs w:val="0"/>
          <w:sz w:val="32"/>
          <w:szCs w:val="32"/>
          <w:highlight w:val="none"/>
        </w:rPr>
        <w:t>第四节  拓展“陶瓷+”经济生态</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442EA7BA">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ascii="仿宋_GB2312" w:hAnsi="仿宋_GB2312" w:eastAsia="仿宋_GB2312" w:cs="仿宋_GB2312"/>
          <w:b w:val="0"/>
          <w:bCs w:val="0"/>
          <w:sz w:val="32"/>
          <w:szCs w:val="32"/>
          <w:highlight w:val="none"/>
        </w:rPr>
        <w:t>深化“陶瓷+科技”融合。加快人工智能、工业互联网等前沿技术在陶瓷研发设计、生产制造、供应链管理等环节的全链路应用。推进生产线数字化改造与智能工厂建设。依托陶瓷工业互联网平台，推动研发设计、生产制造、供应链管理等环节全链路数字化，培育一批陶瓷领域的智能工厂与数字化车间。</w:t>
      </w:r>
    </w:p>
    <w:p w14:paraId="2C5B0428">
      <w:pPr>
        <w:pageBreakBefore w:val="0"/>
        <w:widowControl/>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ascii="仿宋_GB2312" w:hAnsi="仿宋_GB2312" w:eastAsia="仿宋_GB2312" w:cs="仿宋_GB2312"/>
          <w:b w:val="0"/>
          <w:bCs w:val="0"/>
          <w:sz w:val="32"/>
          <w:szCs w:val="32"/>
          <w:highlight w:val="none"/>
        </w:rPr>
        <w:t>优化“陶瓷+园区”布局。高标准推进陶瓷产业园区集约化建设与升级，强化统一运营管理与特色化发展。打造集创意孵化、智能制造、展示交易、文旅体验于一体的产业集聚区，完善配套设施与服务功能，引导企业入园、产业集聚，提升规模效应。</w:t>
      </w:r>
    </w:p>
    <w:p w14:paraId="7A48E087">
      <w:pPr>
        <w:pageBreakBefore w:val="0"/>
        <w:widowControl/>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ascii="仿宋_GB2312" w:hAnsi="仿宋_GB2312" w:eastAsia="仿宋_GB2312" w:cs="仿宋_GB2312"/>
          <w:b w:val="0"/>
          <w:bCs w:val="0"/>
          <w:sz w:val="32"/>
          <w:szCs w:val="32"/>
          <w:highlight w:val="none"/>
        </w:rPr>
        <w:t>开拓“陶瓷+国潮”融合。积极探索陶瓷与茶、酒、文创、时尚等产业深度融合，着力推动陶瓷文化元素的跨界应用与品牌外延拓展。开发陶瓷与茶道、酒器文化相结合的高附加值产品。大力发展“陶瓷+潮玩”，推动传统工艺与潮流IP结合，开发具有收藏价值和时尚感的陶瓷潮玩产品。加快昌南里、宁封窑创4A级景区步伐，进一步打通“潮玩+陶瓷”“潮玩+文旅”新赛道，大力推动“国潮经济”“谷子经济”“首发经济”“情绪经济”发展，搭建“爆款潮玩本地化、本地陶瓷潮玩化”的交易平台，积极推动陶瓷潮玩走向高端化、市场化、专业化方向，打造“可看、可玩、可购、可藏”的消费闭环。举办跨界创意活动、建设融合发展示范基地等，促进不同文化产业间的资源共享与优势互补。</w:t>
      </w:r>
    </w:p>
    <w:p w14:paraId="72783176">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407" w:name="_Toc205493443"/>
      <w:bookmarkStart w:id="408" w:name="_Toc14516"/>
      <w:bookmarkStart w:id="409" w:name="_Toc214611209"/>
      <w:bookmarkStart w:id="410" w:name="_Toc28686"/>
      <w:bookmarkStart w:id="411" w:name="_Toc28611"/>
      <w:bookmarkStart w:id="412" w:name="_Toc12568"/>
      <w:bookmarkStart w:id="413" w:name="_Toc31630"/>
      <w:bookmarkStart w:id="414" w:name="_Toc16094"/>
      <w:bookmarkStart w:id="415" w:name="_Toc215695202"/>
      <w:bookmarkStart w:id="416" w:name="_Toc27108"/>
      <w:bookmarkStart w:id="417" w:name="_Toc1983"/>
      <w:bookmarkStart w:id="418" w:name="_Toc17451"/>
      <w:bookmarkStart w:id="419" w:name="_Toc13374"/>
      <w:bookmarkStart w:id="420" w:name="_Toc4286"/>
      <w:bookmarkStart w:id="421" w:name="_Toc16219"/>
      <w:bookmarkStart w:id="422" w:name="_Toc22977"/>
      <w:bookmarkStart w:id="423" w:name="_Toc17495"/>
      <w:bookmarkStart w:id="424" w:name="_Toc27496"/>
      <w:bookmarkStart w:id="425" w:name="_Toc10384"/>
      <w:bookmarkStart w:id="426" w:name="_Toc401"/>
      <w:bookmarkStart w:id="427" w:name="_Toc4819"/>
      <w:bookmarkStart w:id="428" w:name="_Toc12392"/>
      <w:bookmarkStart w:id="429" w:name="_Toc19143"/>
      <w:bookmarkStart w:id="430" w:name="_Toc12310"/>
      <w:bookmarkStart w:id="431" w:name="_Toc14785"/>
      <w:bookmarkStart w:id="432" w:name="_Toc28964"/>
      <w:bookmarkStart w:id="433" w:name="_Toc5728"/>
      <w:bookmarkStart w:id="434" w:name="_Toc231562027"/>
      <w:bookmarkStart w:id="435" w:name="_Toc4742"/>
      <w:bookmarkStart w:id="436" w:name="_Toc27535"/>
      <w:bookmarkStart w:id="437" w:name="_Toc6997"/>
      <w:bookmarkStart w:id="438" w:name="_Toc27303"/>
      <w:bookmarkStart w:id="439" w:name="_Toc8262"/>
      <w:bookmarkStart w:id="440" w:name="_Toc20287"/>
      <w:bookmarkStart w:id="441" w:name="_Toc10046"/>
      <w:bookmarkStart w:id="442" w:name="_Toc9383"/>
      <w:r>
        <w:rPr>
          <w:rFonts w:hint="eastAsia" w:ascii="黑体" w:hAnsi="黑体" w:eastAsia="黑体"/>
          <w:b w:val="0"/>
          <w:bCs w:val="0"/>
          <w:sz w:val="32"/>
          <w:szCs w:val="32"/>
          <w:highlight w:val="none"/>
        </w:rPr>
        <w:t xml:space="preserve">第三章  </w:t>
      </w:r>
      <w:bookmarkEnd w:id="407"/>
      <w:bookmarkEnd w:id="408"/>
      <w:r>
        <w:rPr>
          <w:rFonts w:hint="eastAsia" w:ascii="黑体" w:hAnsi="黑体" w:eastAsia="黑体"/>
          <w:b w:val="0"/>
          <w:bCs w:val="0"/>
          <w:sz w:val="32"/>
          <w:szCs w:val="32"/>
          <w:highlight w:val="none"/>
        </w:rPr>
        <w:t>构建文旅融合</w:t>
      </w:r>
      <w:bookmarkEnd w:id="409"/>
      <w:bookmarkEnd w:id="410"/>
      <w:r>
        <w:rPr>
          <w:rFonts w:hint="eastAsia" w:ascii="黑体" w:hAnsi="黑体" w:eastAsia="黑体"/>
          <w:b w:val="0"/>
          <w:bCs w:val="0"/>
          <w:sz w:val="32"/>
          <w:szCs w:val="32"/>
          <w:highlight w:val="none"/>
        </w:rPr>
        <w:t>格局</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080E69DE">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43" w:name="_Toc5958"/>
      <w:bookmarkStart w:id="444" w:name="_Toc27146"/>
      <w:bookmarkStart w:id="445" w:name="_Toc214611210"/>
      <w:bookmarkStart w:id="446" w:name="_Toc25900"/>
      <w:bookmarkStart w:id="447" w:name="_Toc31450"/>
      <w:bookmarkStart w:id="448" w:name="_Toc9222"/>
      <w:bookmarkStart w:id="449" w:name="_Toc2700"/>
      <w:bookmarkStart w:id="450" w:name="_Toc32571"/>
      <w:bookmarkStart w:id="451" w:name="_Toc7545"/>
      <w:bookmarkStart w:id="452" w:name="_Toc26571"/>
      <w:bookmarkStart w:id="453" w:name="_Toc9328"/>
      <w:bookmarkStart w:id="454" w:name="_Toc7678"/>
      <w:bookmarkStart w:id="455" w:name="_Toc4599"/>
      <w:bookmarkStart w:id="456" w:name="_Toc27466"/>
      <w:bookmarkStart w:id="457" w:name="_Toc4317"/>
      <w:bookmarkStart w:id="458" w:name="_Toc9184"/>
      <w:bookmarkStart w:id="459" w:name="_Toc8837"/>
      <w:bookmarkStart w:id="460" w:name="_Toc948"/>
      <w:bookmarkStart w:id="461" w:name="_Toc11537"/>
      <w:bookmarkStart w:id="462" w:name="_Toc18201"/>
      <w:bookmarkStart w:id="463" w:name="_Toc29645"/>
      <w:bookmarkStart w:id="464" w:name="_Toc29355"/>
      <w:bookmarkStart w:id="465" w:name="_Toc584"/>
      <w:bookmarkStart w:id="466" w:name="_Toc19495"/>
      <w:bookmarkStart w:id="467" w:name="_Toc971"/>
      <w:bookmarkStart w:id="468" w:name="_Toc215695203"/>
      <w:bookmarkStart w:id="469" w:name="_Toc231562028"/>
      <w:bookmarkStart w:id="470" w:name="_Toc3769"/>
      <w:bookmarkStart w:id="471" w:name="_Toc2756"/>
      <w:bookmarkStart w:id="472" w:name="_Toc8118"/>
      <w:bookmarkStart w:id="473" w:name="_Toc7420"/>
      <w:bookmarkStart w:id="474" w:name="_Toc21822"/>
      <w:bookmarkStart w:id="475" w:name="_Toc30169"/>
      <w:bookmarkStart w:id="476" w:name="_Toc7521"/>
      <w:r>
        <w:rPr>
          <w:rFonts w:hint="eastAsia" w:ascii="楷体_GB2312" w:hAnsi="楷体_GB2312" w:eastAsia="楷体_GB2312" w:cs="楷体_GB2312"/>
          <w:b w:val="0"/>
          <w:bCs w:val="0"/>
          <w:sz w:val="32"/>
          <w:szCs w:val="32"/>
          <w:highlight w:val="none"/>
        </w:rPr>
        <w:t>第一节  构建全域文旅新格局</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05EDDE0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ascii="仿宋_GB2312" w:hAnsi="仿宋_GB2312" w:eastAsia="仿宋_GB2312" w:cs="仿宋_GB2312"/>
          <w:b w:val="0"/>
          <w:bCs w:val="0"/>
          <w:sz w:val="32"/>
          <w:szCs w:val="32"/>
          <w:highlight w:val="none"/>
        </w:rPr>
        <w:t>优化陶瓷文化旅游精品线路与产品体系。系统整合陶瓷文化、红色研学、山水生态与城市花园等核心资源，着力构建“文旅+陶瓷+红色研学+城市花园”深度融合的全域旅游体系。以古窑民俗博览区和中国陶瓷博物馆为引领，串联昌南里、宁封窑、三闾庙等文化商业街区，联动开发月亮湖、郭璞峰等片区景点，依托昌江沿岸丰富的明清古街、古村落、古码头、古窑址等历史文化资源，精心打造“畅游昌江”水路游览项目，形成古今交融、水陆联动、体验丰富的精品文旅线路。</w:t>
      </w:r>
    </w:p>
    <w:p w14:paraId="229CE83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ascii="仿宋_GB2312" w:hAnsi="仿宋_GB2312" w:eastAsia="仿宋_GB2312" w:cs="仿宋_GB2312"/>
          <w:b w:val="0"/>
          <w:bCs w:val="0"/>
          <w:sz w:val="32"/>
          <w:szCs w:val="32"/>
          <w:highlight w:val="none"/>
        </w:rPr>
        <w:t>提升陶瓷文化旅游服务国际化水平。充分利用过境免签等政策机遇，优化入境旅游接待服务体系。持续提升瓷博会国际影响力与高端化水平。强化与国际文旅机构、知名博物馆的交流合作，积极引入国际化的运营管理标准与服务理念。加强涉外旅游服务人才队伍建设，系统提升服务人员的专业素养与跨文化沟通能力。重点推进“千馆之城”建设，支持外销瓷博物馆争创国家二级博物馆，深化“外销瓷+入境游”的深度融合，打造吸引国际游客的文化窗口。</w:t>
      </w:r>
    </w:p>
    <w:p w14:paraId="2FD345F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ascii="仿宋_GB2312" w:hAnsi="仿宋_GB2312" w:eastAsia="仿宋_GB2312" w:cs="仿宋_GB2312"/>
          <w:b w:val="0"/>
          <w:bCs w:val="0"/>
          <w:sz w:val="32"/>
          <w:szCs w:val="32"/>
          <w:highlight w:val="none"/>
        </w:rPr>
        <w:t>深化农文旅融合与区域协同发展。将陶瓷文化元素深度融入景区开发、城市更新与乡村旅游。支持在主要旅游景区、休闲街区设立非遗传承体验场所。在三闾庙历史文化街区，融合陶瓷、水运与商帮文化，复原历史场景，打造沉浸式文化体验空间。深入挖掘</w:t>
      </w:r>
      <w:r>
        <w:rPr>
          <w:rFonts w:hint="eastAsia" w:ascii="仿宋" w:hAnsi="仿宋" w:eastAsia="仿宋" w:cs="仿宋"/>
          <w:b w:val="0"/>
          <w:bCs w:val="0"/>
          <w:sz w:val="32"/>
          <w:szCs w:val="32"/>
          <w:highlight w:val="none"/>
        </w:rPr>
        <w:t>旸</w:t>
      </w:r>
      <w:r>
        <w:rPr>
          <w:rFonts w:ascii="仿宋_GB2312" w:hAnsi="仿宋_GB2312" w:eastAsia="仿宋_GB2312" w:cs="仿宋_GB2312"/>
          <w:b w:val="0"/>
          <w:bCs w:val="0"/>
          <w:sz w:val="32"/>
          <w:szCs w:val="32"/>
          <w:highlight w:val="none"/>
        </w:rPr>
        <w:t>府山、甘露寺等人文景观价值，联动陶城等周边资源，创新发展文化体验、乡村休闲与研学旅行等多种模式。</w:t>
      </w:r>
    </w:p>
    <w:p w14:paraId="48C996AE">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77" w:name="_Toc5533"/>
      <w:bookmarkStart w:id="478" w:name="_Toc516"/>
      <w:bookmarkStart w:id="479" w:name="_Toc214611211"/>
      <w:bookmarkStart w:id="480" w:name="_Toc9603"/>
      <w:bookmarkStart w:id="481" w:name="_Toc7844"/>
      <w:bookmarkStart w:id="482" w:name="_Toc11756"/>
      <w:bookmarkStart w:id="483" w:name="_Toc13428"/>
      <w:bookmarkStart w:id="484" w:name="_Toc12777"/>
      <w:bookmarkStart w:id="485" w:name="_Toc20477"/>
      <w:bookmarkStart w:id="486" w:name="_Toc25003"/>
      <w:bookmarkStart w:id="487" w:name="_Toc10872"/>
      <w:bookmarkStart w:id="488" w:name="_Toc17794"/>
      <w:bookmarkStart w:id="489" w:name="_Toc31054"/>
      <w:bookmarkStart w:id="490" w:name="_Toc24459"/>
      <w:bookmarkStart w:id="491" w:name="_Toc231562029"/>
      <w:bookmarkStart w:id="492" w:name="_Toc32581"/>
      <w:bookmarkStart w:id="493" w:name="_Toc23917"/>
      <w:bookmarkStart w:id="494" w:name="_Toc5502"/>
      <w:bookmarkStart w:id="495" w:name="_Toc215695204"/>
      <w:bookmarkStart w:id="496" w:name="_Toc4197"/>
      <w:bookmarkStart w:id="497" w:name="_Toc463"/>
      <w:bookmarkStart w:id="498" w:name="_Toc7779"/>
      <w:bookmarkStart w:id="499" w:name="_Toc32649"/>
      <w:bookmarkStart w:id="500" w:name="_Toc4383"/>
      <w:bookmarkStart w:id="501" w:name="_Toc21181"/>
      <w:bookmarkStart w:id="502" w:name="_Toc7312"/>
      <w:bookmarkStart w:id="503" w:name="_Toc16349"/>
      <w:bookmarkStart w:id="504" w:name="_Toc30740"/>
      <w:bookmarkStart w:id="505" w:name="_Toc10204"/>
      <w:bookmarkStart w:id="506" w:name="_Toc13752"/>
      <w:bookmarkStart w:id="507" w:name="_Toc1231"/>
      <w:bookmarkStart w:id="508" w:name="_Toc20051"/>
      <w:bookmarkStart w:id="509" w:name="_Toc17888"/>
      <w:bookmarkStart w:id="510" w:name="_Toc22149"/>
      <w:r>
        <w:rPr>
          <w:rFonts w:hint="eastAsia" w:ascii="楷体_GB2312" w:hAnsi="楷体_GB2312" w:eastAsia="楷体_GB2312" w:cs="楷体_GB2312"/>
          <w:b w:val="0"/>
          <w:bCs w:val="0"/>
          <w:sz w:val="32"/>
          <w:szCs w:val="32"/>
          <w:highlight w:val="none"/>
        </w:rPr>
        <w:t>第二节  构建文旅消费场景矩阵</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2BF8594D">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ascii="仿宋_GB2312" w:hAnsi="仿宋_GB2312" w:eastAsia="仿宋_GB2312" w:cs="仿宋_GB2312"/>
          <w:b w:val="0"/>
          <w:bCs w:val="0"/>
          <w:sz w:val="32"/>
          <w:szCs w:val="32"/>
          <w:highlight w:val="none"/>
        </w:rPr>
        <w:t>创新“文旅+”融合消费新场景。以放宽准入、业态融合为重点扩大服务消费。积极发展夜间经济、演艺经济等新业态，融合潮玩、音乐与陶瓷元素，加快推动昌南里创建省级夜间消费集聚区，将昌南里世界潮玩小镇打造成“1819陶瓷嘉年华”的亮丽节点。创新打造“陶瓷+”消费场景，建设集新品发布、古瓷拍卖、跨境直播于一体的陶瓷市级展贸综合体，同步引入主题工坊集群、精品民宿、潮玩街区等多元业态。促进数字技术与文旅消费深度融合，开发陶瓷数字艺术品、动漫衍生品及游戏联名产品，开展线上线下联动的陶瓷快闪等活动。推动“非遗进景区”，在三闾庙搭建展示体验空间，联动高校策划打造陶瓷DIY、二手交易集市，吸引青年创意群体，培育文旅消费新的增长点。</w:t>
      </w:r>
    </w:p>
    <w:p w14:paraId="30F37913">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ascii="仿宋_GB2312" w:hAnsi="仿宋_GB2312" w:eastAsia="仿宋_GB2312" w:cs="仿宋_GB2312"/>
          <w:b w:val="0"/>
          <w:bCs w:val="0"/>
          <w:sz w:val="32"/>
          <w:szCs w:val="32"/>
          <w:highlight w:val="none"/>
        </w:rPr>
        <w:t>拓展康养文旅等特色融合业态。结合森林康养、国信康养、昌江中医院等平台，积极发展高端康养服务，农村区域依托荷塘、鱼山等地良好的生态与文旅基础，提升康养驿站服务功能，构建城乡联动的康养服务体系。</w:t>
      </w:r>
    </w:p>
    <w:p w14:paraId="42C05DC9">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11" w:name="_Toc14972"/>
      <w:bookmarkStart w:id="512" w:name="_Toc3047"/>
      <w:bookmarkStart w:id="513" w:name="_Toc4048"/>
      <w:bookmarkStart w:id="514" w:name="_Toc10517"/>
      <w:bookmarkStart w:id="515" w:name="_Toc20339"/>
      <w:bookmarkStart w:id="516" w:name="_Toc7733"/>
      <w:bookmarkStart w:id="517" w:name="_Toc231562030"/>
      <w:bookmarkStart w:id="518" w:name="_Toc12927"/>
      <w:bookmarkStart w:id="519" w:name="_Toc20613"/>
      <w:bookmarkStart w:id="520" w:name="_Toc6828"/>
      <w:bookmarkStart w:id="521" w:name="_Toc28614"/>
      <w:bookmarkStart w:id="522" w:name="_Toc4438"/>
      <w:bookmarkStart w:id="523" w:name="_Toc15714"/>
      <w:bookmarkStart w:id="524" w:name="_Toc28976"/>
      <w:bookmarkStart w:id="525" w:name="_Toc3454"/>
      <w:bookmarkStart w:id="526" w:name="_Toc3708"/>
      <w:bookmarkStart w:id="527" w:name="_Toc25441"/>
      <w:bookmarkStart w:id="528" w:name="_Toc26490"/>
      <w:bookmarkStart w:id="529" w:name="_Toc28689"/>
      <w:bookmarkStart w:id="530" w:name="_Toc24534"/>
      <w:bookmarkStart w:id="531" w:name="_Toc7974"/>
      <w:bookmarkStart w:id="532" w:name="_Toc25274"/>
      <w:bookmarkStart w:id="533" w:name="_Toc30589"/>
      <w:bookmarkStart w:id="534" w:name="_Toc18597"/>
      <w:bookmarkStart w:id="535" w:name="_Toc26799"/>
      <w:r>
        <w:rPr>
          <w:rFonts w:hint="eastAsia" w:ascii="楷体_GB2312" w:hAnsi="楷体_GB2312" w:eastAsia="楷体_GB2312" w:cs="楷体_GB2312"/>
          <w:b w:val="0"/>
          <w:bCs w:val="0"/>
          <w:sz w:val="32"/>
          <w:szCs w:val="32"/>
          <w:highlight w:val="none"/>
        </w:rPr>
        <w:t>第三节  完善文化旅游发展保障体系</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5E15A7AA">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文旅产业发展要素保障。建立健全支持文旅产业高质量发展政策体系，引导社会资本广泛参与文旅项目投资与运营。充分发挥文旅产业相关基金的引导作用，综合运用多种政策性金融工具，拓宽企业融资渠道，有效支持文旅市场主体发展。引入文旅产业专业运营团队，以市场化运营助推景区焕新。</w:t>
      </w:r>
    </w:p>
    <w:p w14:paraId="2FAEF743">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动文旅服务与配套品质提升。全面完善“吃住行游购娱”全产业链配套，完善区域智慧旅游服务平台，推动服务流程数字化、智能化升级，提升旅游综合服务质量。大力推进宁封窑、昌南里创建4A级景区，系统提升全区旅游景区、度假区的服务品质与管理能级，打造一批高质量示范项目。统筹城乡文旅项目布局，优化交通网络与旅游接驳体系。</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2154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1F168F84">
            <w:pPr>
              <w:pageBreakBefore w:val="0"/>
              <w:tabs>
                <w:tab w:val="left" w:pos="6725"/>
              </w:tabs>
              <w:kinsoku/>
              <w:wordWrap/>
              <w:overflowPunct/>
              <w:topLinePunct w:val="0"/>
              <w:autoSpaceDE/>
              <w:autoSpaceDN/>
              <w:bidi w:val="0"/>
              <w:spacing w:after="0" w:afterLines="0" w:line="240" w:lineRule="auto"/>
              <w:jc w:val="center"/>
              <w:rPr>
                <w:rFonts w:hint="eastAsia" w:ascii="仿宋_GB2312" w:hAnsi="仿宋_GB2312" w:eastAsia="仿宋_GB2312" w:cs="仿宋_GB2312"/>
                <w:b w:val="0"/>
                <w:bCs w:val="0"/>
                <w:sz w:val="32"/>
                <w:szCs w:val="32"/>
                <w:highlight w:val="none"/>
              </w:rPr>
            </w:pPr>
            <w:r>
              <w:rPr>
                <w:rFonts w:hint="eastAsia" w:ascii="黑体" w:hAnsi="黑体" w:eastAsia="黑体" w:cs="黑体"/>
                <w:b w:val="0"/>
                <w:bCs w:val="0"/>
                <w:sz w:val="24"/>
                <w:highlight w:val="none"/>
                <w:lang w:bidi="ar"/>
              </w:rPr>
              <w:t>专栏2  国家试验区建设重点项目</w:t>
            </w:r>
          </w:p>
        </w:tc>
      </w:tr>
      <w:tr w14:paraId="788A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08659173">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1.文化遗产系统保护工程</w:t>
            </w:r>
          </w:p>
          <w:p w14:paraId="37098ADA">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推进三闾庙历史文化街区、丽阳古窑址等片区深度保护修复与环境提升工程。</w:t>
            </w:r>
          </w:p>
          <w:p w14:paraId="274AA508">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2.文旅融合工程</w:t>
            </w:r>
          </w:p>
          <w:p w14:paraId="0AFFE58A">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推进宁封窑产业园区改造提升建设项目、昌南里文化景区基础设施建设项目、昌南里陶瓷潮玩产业生产基地、</w:t>
            </w:r>
            <w:r>
              <w:rPr>
                <w:rFonts w:hint="eastAsia" w:ascii="仿宋_GB2312" w:hAnsi="仿宋_GB2312" w:eastAsia="仿宋_GB2312" w:cs="仿宋_GB2312"/>
                <w:b w:val="0"/>
                <w:bCs w:val="0"/>
                <w:sz w:val="24"/>
                <w:highlight w:val="none"/>
                <w:lang w:eastAsia="zh-CN"/>
              </w:rPr>
              <w:t>古窑民俗博览区</w:t>
            </w:r>
            <w:r>
              <w:rPr>
                <w:rFonts w:hint="eastAsia" w:ascii="仿宋_GB2312" w:hAnsi="仿宋_GB2312" w:eastAsia="仿宋_GB2312" w:cs="仿宋_GB2312"/>
                <w:b w:val="0"/>
                <w:bCs w:val="0"/>
                <w:sz w:val="24"/>
                <w:highlight w:val="none"/>
              </w:rPr>
              <w:t>夜访古窑项目、瓷文化主题公园项目、“森林疗愈”基地建设项目、清街创想商业文化街区项目、嘉思酒店项目、睿境酒店项目、冷水尖景区周边扩建提升工程等景区及配套设施项目建设。</w:t>
            </w:r>
          </w:p>
          <w:p w14:paraId="75ADFB21">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进荷塘乡全域旅游基础设施提升项目、月亮湖景区特色旅游改造项目、鲇鱼山镇乡村农文旅融合发展项目、徐湾生态休闲村打造项目、杨湾牧心谷生态养生度假区项目、荷塘乡百稷农业瀑野咖啡提升工程等农文旅项目建设。</w:t>
            </w:r>
          </w:p>
          <w:p w14:paraId="77922E6F">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推进荷塘乡红色思政研学基地改造项目、丽阳镇文化传承教育基地项目等研学教育文旅项目。</w:t>
            </w:r>
          </w:p>
          <w:p w14:paraId="4CCAF67D">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3.先进陶瓷产业</w:t>
            </w:r>
          </w:p>
          <w:p w14:paraId="0977DBE0">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24"/>
                <w:highlight w:val="none"/>
              </w:rPr>
              <w:t>推进宁封窑产业园区标准厂房建设与改造提升，建设宁封窑陶瓷生产基地，实施聚通半导体昌江照明芯片生产项目、森林新能源电子陶瓷机械化工原料配套项目等陶瓷产业项目。</w:t>
            </w:r>
          </w:p>
        </w:tc>
      </w:tr>
    </w:tbl>
    <w:p w14:paraId="4B44338A">
      <w:pPr>
        <w:pageBreakBefore w:val="0"/>
        <w:kinsoku/>
        <w:wordWrap/>
        <w:overflowPunct/>
        <w:topLinePunct w:val="0"/>
        <w:autoSpaceDE/>
        <w:autoSpaceDN/>
        <w:bidi w:val="0"/>
        <w:spacing w:after="0" w:afterLines="0" w:line="560" w:lineRule="exact"/>
        <w:rPr>
          <w:rFonts w:hint="eastAsia" w:ascii="仿宋_GB2312" w:hAnsi="仿宋_GB2312" w:eastAsia="仿宋_GB2312" w:cs="仿宋_GB2312"/>
          <w:b w:val="0"/>
          <w:bCs w:val="0"/>
          <w:sz w:val="32"/>
          <w:szCs w:val="32"/>
          <w:highlight w:val="none"/>
        </w:rPr>
      </w:pPr>
      <w:bookmarkStart w:id="536" w:name="_Toc11950"/>
      <w:bookmarkStart w:id="537" w:name="_Toc10558"/>
      <w:bookmarkStart w:id="538" w:name="_Toc11638"/>
      <w:bookmarkStart w:id="539" w:name="_Toc214611216"/>
      <w:bookmarkStart w:id="540" w:name="_Toc215695209"/>
      <w:bookmarkStart w:id="541" w:name="_Toc12391"/>
      <w:bookmarkStart w:id="542" w:name="_Toc4921"/>
      <w:bookmarkStart w:id="543" w:name="_Toc13675"/>
      <w:bookmarkStart w:id="544" w:name="_Toc24143"/>
      <w:bookmarkStart w:id="545" w:name="_Toc4454"/>
      <w:bookmarkStart w:id="546" w:name="_Toc28875"/>
      <w:bookmarkStart w:id="547" w:name="_Toc28789"/>
      <w:bookmarkStart w:id="548" w:name="_Toc14498"/>
      <w:r>
        <w:rPr>
          <w:rFonts w:hint="eastAsia" w:ascii="仿宋_GB2312" w:hAnsi="仿宋_GB2312" w:eastAsia="仿宋_GB2312" w:cs="仿宋_GB2312"/>
          <w:b w:val="0"/>
          <w:bCs w:val="0"/>
          <w:sz w:val="32"/>
          <w:szCs w:val="32"/>
          <w:highlight w:val="none"/>
        </w:rPr>
        <w:br w:type="page"/>
      </w:r>
    </w:p>
    <w:p w14:paraId="545C845B">
      <w:pPr>
        <w:keepNext w:val="0"/>
        <w:keepLines w:val="0"/>
        <w:pageBreakBefore w:val="0"/>
        <w:widowControl w:val="0"/>
        <w:kinsoku/>
        <w:wordWrap/>
        <w:overflowPunct/>
        <w:topLinePunct w:val="0"/>
        <w:autoSpaceDE/>
        <w:autoSpaceDN/>
        <w:bidi w:val="0"/>
        <w:adjustRightInd w:val="0"/>
        <w:snapToGrid w:val="0"/>
        <w:spacing w:after="0" w:afterLines="0" w:line="560" w:lineRule="exact"/>
        <w:jc w:val="center"/>
        <w:textAlignment w:val="auto"/>
        <w:outlineLvl w:val="0"/>
        <w:rPr>
          <w:rFonts w:hint="eastAsia" w:ascii="方正小标宋简体" w:eastAsia="方正小标宋简体"/>
          <w:b w:val="0"/>
          <w:bCs w:val="0"/>
          <w:sz w:val="36"/>
          <w:szCs w:val="36"/>
          <w:highlight w:val="none"/>
        </w:rPr>
      </w:pPr>
      <w:bookmarkStart w:id="549" w:name="_Toc17621"/>
      <w:bookmarkStart w:id="550" w:name="_Toc32655"/>
      <w:bookmarkStart w:id="551" w:name="_Toc14583"/>
      <w:bookmarkStart w:id="552" w:name="_Toc23104"/>
      <w:bookmarkStart w:id="553" w:name="_Toc1959"/>
      <w:bookmarkStart w:id="554" w:name="_Toc9191"/>
      <w:bookmarkStart w:id="555" w:name="_Toc20901"/>
      <w:bookmarkStart w:id="556" w:name="_Toc15462"/>
      <w:bookmarkStart w:id="557" w:name="_Toc16720"/>
      <w:bookmarkStart w:id="558" w:name="_Toc10707"/>
      <w:bookmarkStart w:id="559" w:name="_Toc10639"/>
      <w:bookmarkStart w:id="560" w:name="_Toc4297"/>
      <w:bookmarkStart w:id="561" w:name="_Toc21646"/>
      <w:bookmarkStart w:id="562" w:name="_Toc19396"/>
      <w:bookmarkStart w:id="563" w:name="_Toc17909"/>
      <w:bookmarkStart w:id="564" w:name="_Toc17089"/>
      <w:bookmarkStart w:id="565" w:name="_Toc28155"/>
      <w:bookmarkStart w:id="566" w:name="_Toc231562031"/>
      <w:bookmarkStart w:id="567" w:name="_Toc11593"/>
      <w:bookmarkStart w:id="568" w:name="_Toc32027"/>
      <w:bookmarkStart w:id="569" w:name="_Toc172"/>
      <w:r>
        <w:rPr>
          <w:rFonts w:hint="eastAsia" w:ascii="方正小标宋简体" w:eastAsia="方正小标宋简体"/>
          <w:b w:val="0"/>
          <w:bCs w:val="0"/>
          <w:sz w:val="36"/>
          <w:szCs w:val="36"/>
          <w:highlight w:val="none"/>
        </w:rPr>
        <w:t>第三篇  强链延链补链推进，构建现代化产业体系</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6BB46AC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7C4E775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聚焦落实省委“六个未来产业”部署，坚持智能化、绿色化、融合化方向，构建以先进制造业为骨干的现代化产业体系。优化提升传统产业，培育壮大新兴产业和未来产业，促进服务业优质高效发展。以“强链延链补链”为核心路径、以“两区融合”为依托，统筹推进以电子信息、生物医药等为</w:t>
      </w:r>
      <w:r>
        <w:rPr>
          <w:rFonts w:ascii="仿宋_GB2312" w:hAnsi="仿宋_GB2312" w:eastAsia="仿宋_GB2312" w:cs="仿宋_GB2312"/>
          <w:b w:val="0"/>
          <w:bCs w:val="0"/>
          <w:sz w:val="32"/>
          <w:szCs w:val="32"/>
          <w:highlight w:val="none"/>
        </w:rPr>
        <w:t>主导</w:t>
      </w:r>
      <w:r>
        <w:rPr>
          <w:rFonts w:hint="eastAsia" w:ascii="仿宋_GB2312" w:hAnsi="仿宋_GB2312" w:eastAsia="仿宋_GB2312" w:cs="仿宋_GB2312"/>
          <w:b w:val="0"/>
          <w:bCs w:val="0"/>
          <w:sz w:val="32"/>
          <w:szCs w:val="32"/>
          <w:highlight w:val="none"/>
        </w:rPr>
        <w:t>的“2+1+N”特色产业体系的链式升级与产业融合，锚定未来产业新赛道，加快形成“链主企业+配套企业+服务平台”产业生态，强化与高新区的协同联动，以企业为核心主体，以产业园为重要载体，扬优势、补短板、促转型，数实融合推进现代化产业体系建设。</w:t>
      </w:r>
    </w:p>
    <w:p w14:paraId="69452E1A">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570" w:name="_Toc11778"/>
      <w:bookmarkStart w:id="571" w:name="_Toc215695210"/>
      <w:bookmarkStart w:id="572" w:name="_Toc2714"/>
      <w:bookmarkStart w:id="573" w:name="_Toc214611217"/>
      <w:bookmarkStart w:id="574" w:name="_Toc1699"/>
      <w:bookmarkStart w:id="575" w:name="_Toc2789"/>
      <w:bookmarkStart w:id="576" w:name="_Toc6791"/>
      <w:bookmarkStart w:id="577" w:name="_Toc13758"/>
      <w:bookmarkStart w:id="578" w:name="_Toc29221"/>
      <w:bookmarkStart w:id="579" w:name="_Toc2435"/>
      <w:bookmarkStart w:id="580" w:name="_Toc5921"/>
      <w:bookmarkStart w:id="581" w:name="_Toc28013"/>
      <w:bookmarkStart w:id="582" w:name="_Toc4278"/>
      <w:bookmarkStart w:id="583" w:name="_Toc4231"/>
      <w:bookmarkStart w:id="584" w:name="_Toc17361"/>
      <w:bookmarkStart w:id="585" w:name="_Toc9991"/>
      <w:bookmarkStart w:id="586" w:name="_Toc25839"/>
      <w:bookmarkStart w:id="587" w:name="_Toc14880"/>
      <w:bookmarkStart w:id="588" w:name="_Toc8911"/>
      <w:bookmarkStart w:id="589" w:name="_Toc16773"/>
      <w:bookmarkStart w:id="590" w:name="_Toc31948"/>
      <w:bookmarkStart w:id="591" w:name="_Toc12661"/>
      <w:bookmarkStart w:id="592" w:name="_Toc3816"/>
      <w:bookmarkStart w:id="593" w:name="_Toc28993"/>
      <w:bookmarkStart w:id="594" w:name="_Toc17676"/>
      <w:bookmarkStart w:id="595" w:name="_Toc22614"/>
      <w:bookmarkStart w:id="596" w:name="_Toc20704"/>
      <w:bookmarkStart w:id="597" w:name="_Toc20957"/>
      <w:bookmarkStart w:id="598" w:name="_Toc5920"/>
      <w:bookmarkStart w:id="599" w:name="_Toc7789"/>
      <w:bookmarkStart w:id="600" w:name="_Toc18572"/>
      <w:bookmarkStart w:id="601" w:name="_Toc415"/>
      <w:bookmarkStart w:id="602" w:name="_Toc231562032"/>
      <w:bookmarkStart w:id="603" w:name="_Toc20941"/>
      <w:r>
        <w:rPr>
          <w:rFonts w:hint="eastAsia" w:ascii="黑体" w:hAnsi="黑体" w:eastAsia="黑体"/>
          <w:b w:val="0"/>
          <w:bCs w:val="0"/>
          <w:sz w:val="32"/>
          <w:szCs w:val="32"/>
          <w:highlight w:val="none"/>
        </w:rPr>
        <w:t>第一章  推进主导产业提质升级</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1E06920F">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604" w:name="_Toc10211"/>
      <w:bookmarkStart w:id="605" w:name="_Toc3157"/>
      <w:bookmarkStart w:id="606" w:name="_Toc6089"/>
      <w:bookmarkStart w:id="607" w:name="_Toc15573"/>
      <w:bookmarkStart w:id="608" w:name="_Toc14375"/>
      <w:bookmarkStart w:id="609" w:name="_Toc10980"/>
      <w:bookmarkStart w:id="610" w:name="_Toc19108"/>
      <w:bookmarkStart w:id="611" w:name="_Toc31503"/>
      <w:bookmarkStart w:id="612" w:name="_Toc5989"/>
      <w:bookmarkStart w:id="613" w:name="_Toc11531"/>
      <w:bookmarkStart w:id="614" w:name="_Toc22721"/>
      <w:bookmarkStart w:id="615" w:name="_Toc31277"/>
      <w:bookmarkStart w:id="616" w:name="_Toc5158"/>
      <w:bookmarkStart w:id="617" w:name="_Toc30577"/>
      <w:bookmarkStart w:id="618" w:name="_Toc1585"/>
      <w:bookmarkStart w:id="619" w:name="_Toc11705"/>
      <w:bookmarkStart w:id="620" w:name="_Toc29353"/>
      <w:bookmarkStart w:id="621" w:name="_Toc215695211"/>
      <w:bookmarkStart w:id="622" w:name="_Toc231562033"/>
      <w:bookmarkStart w:id="623" w:name="_Toc31583"/>
      <w:bookmarkStart w:id="624" w:name="_Toc12173"/>
      <w:bookmarkStart w:id="625" w:name="_Toc30732"/>
      <w:bookmarkStart w:id="626" w:name="_Toc901"/>
      <w:bookmarkStart w:id="627" w:name="_Toc13436"/>
      <w:bookmarkStart w:id="628" w:name="_Toc214611218"/>
      <w:bookmarkStart w:id="629" w:name="_Toc1752"/>
      <w:bookmarkStart w:id="630" w:name="_Toc4834"/>
      <w:bookmarkStart w:id="631" w:name="_Toc16912"/>
      <w:bookmarkStart w:id="632" w:name="_Toc29718"/>
      <w:bookmarkStart w:id="633" w:name="_Toc25400"/>
      <w:bookmarkStart w:id="634" w:name="_Toc28239"/>
      <w:bookmarkStart w:id="635" w:name="_Toc12613"/>
      <w:bookmarkStart w:id="636" w:name="_Toc2744"/>
      <w:bookmarkStart w:id="637" w:name="_Toc8771"/>
      <w:r>
        <w:rPr>
          <w:rFonts w:hint="eastAsia" w:ascii="楷体_GB2312" w:hAnsi="楷体_GB2312" w:eastAsia="楷体_GB2312" w:cs="楷体_GB2312"/>
          <w:b w:val="0"/>
          <w:bCs w:val="0"/>
          <w:sz w:val="32"/>
          <w:szCs w:val="32"/>
          <w:highlight w:val="none"/>
        </w:rPr>
        <w:t>第一节  电子信息产业聚链成群</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7D1E118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巩固基础优势，形成产业联动的新一代电子信息产业集群。强化与高新区产业联动，聚焦LED照明、消费电子、半导体封装、传感器等领域，以昌江电子信息产业园为载体，持续招大引强，构建智能协同、融合创新的新一代电子信息产业体系。支持扶优扶强乐彭电器、宏亿电子等龙头企业深耕LED照明及光学材料高端化应用，推动技术升级与产能扩张，推进乐彭数智化“黑灯工厂”建设，加快启福光科技等项目达产达效，培育一批细分行业的单项冠军和专精特新“小巨人”企业。</w:t>
      </w:r>
    </w:p>
    <w:p w14:paraId="2DAE4EF5">
      <w:pPr>
        <w:pStyle w:val="18"/>
        <w:pageBreakBefore w:val="0"/>
        <w:kinsoku/>
        <w:wordWrap/>
        <w:overflowPunct/>
        <w:topLinePunct w:val="0"/>
        <w:autoSpaceDE/>
        <w:autoSpaceDN/>
        <w:bidi w:val="0"/>
        <w:spacing w:after="0" w:afterLines="0" w:line="560" w:lineRule="exact"/>
        <w:ind w:firstLine="640" w:firstLineChars="200"/>
        <w:jc w:val="both"/>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拓展新兴赛道，加速关键技术领域突破。培育终端消费电子产业，支持华仙、聚能立、创启智能等骨干企业做强做优，推动产品向智能穿戴、高端视听等价值链高端延伸。拓展集成电路新赛道，聚焦MEMS芯片等细分领域，全力支持乾富半导体、博思半导体、聚通半导体等项目达产达效，推动博思半导体先进芯片技术落地和规模化量产，形成“研发设计、晶圆制造、封装测试”等全链条产业能力。鼓励本地配套能力提升，深化与国内外头部厂商战略合作，积极融入国内头部芯片企业供应链体系，冲击高端市场，加速向芯片等关键技术领域延伸，构建涵盖设计、制造、封测的局部产业生态。</w:t>
      </w:r>
    </w:p>
    <w:p w14:paraId="79FD539F">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平台载体，打造产业集聚新高地。推进电子信息产业园扩容提质，加快乐彭电器LED链群配生产项目、电子信息产业园三期建设，完善基础设施与公共服务配套，高标准建设省级半导体与电子信息产业特色基地。积极承接长三角、珠三角产业转移，瞄准高端环节和关键技术企业开展精准招商，打造区域性产业转移示范园区。同步构建涵盖技术研发、成果转化、融资服务、人才引进的全链条产业服务体系，推动创新要素加速集聚，形成以园区为载体、以集群为形态、以创新为动力的电子信息产业发展新格局。引导消费电子企业做大做强、集链成群，牵引本地配套协同发展，推动形成LED、消费电子全产业链矩阵。</w:t>
      </w:r>
    </w:p>
    <w:p w14:paraId="53B05BDC">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638" w:name="_Toc21006"/>
      <w:bookmarkStart w:id="639" w:name="_Toc12466"/>
      <w:bookmarkStart w:id="640" w:name="_Toc13744"/>
      <w:bookmarkStart w:id="641" w:name="_Toc215695212"/>
      <w:bookmarkStart w:id="642" w:name="_Toc28252"/>
      <w:bookmarkStart w:id="643" w:name="_Toc571"/>
      <w:bookmarkStart w:id="644" w:name="_Toc31978"/>
      <w:bookmarkStart w:id="645" w:name="_Toc481"/>
      <w:bookmarkStart w:id="646" w:name="_Toc30018"/>
      <w:bookmarkStart w:id="647" w:name="_Toc21229"/>
      <w:bookmarkStart w:id="648" w:name="_Toc28243"/>
      <w:bookmarkStart w:id="649" w:name="_Toc11943"/>
      <w:bookmarkStart w:id="650" w:name="_Toc8525"/>
      <w:bookmarkStart w:id="651" w:name="_Toc28265"/>
      <w:bookmarkStart w:id="652" w:name="_Toc231562034"/>
      <w:bookmarkStart w:id="653" w:name="_Toc27354"/>
      <w:bookmarkStart w:id="654" w:name="_Toc31792"/>
      <w:bookmarkStart w:id="655" w:name="_Toc25384"/>
      <w:bookmarkStart w:id="656" w:name="_Toc31636"/>
      <w:bookmarkStart w:id="657" w:name="_Toc29301"/>
      <w:bookmarkStart w:id="658" w:name="_Toc9578"/>
      <w:bookmarkStart w:id="659" w:name="_Toc13047"/>
      <w:bookmarkStart w:id="660" w:name="_Toc27529"/>
      <w:bookmarkStart w:id="661" w:name="_Toc15465"/>
      <w:bookmarkStart w:id="662" w:name="_Toc13339"/>
      <w:bookmarkStart w:id="663" w:name="_Toc1048"/>
      <w:bookmarkStart w:id="664" w:name="_Toc16763"/>
      <w:bookmarkStart w:id="665" w:name="_Toc11469"/>
      <w:bookmarkStart w:id="666" w:name="_Toc2102"/>
      <w:bookmarkStart w:id="667" w:name="_Toc26337"/>
      <w:bookmarkStart w:id="668" w:name="_Toc9500"/>
      <w:bookmarkStart w:id="669" w:name="_Toc23869"/>
      <w:bookmarkStart w:id="670" w:name="_Toc31344"/>
      <w:bookmarkStart w:id="671" w:name="_Toc214611219"/>
      <w:r>
        <w:rPr>
          <w:rFonts w:hint="eastAsia" w:ascii="楷体_GB2312" w:hAnsi="楷体_GB2312" w:eastAsia="楷体_GB2312" w:cs="楷体_GB2312"/>
          <w:b w:val="0"/>
          <w:bCs w:val="0"/>
          <w:sz w:val="32"/>
          <w:szCs w:val="32"/>
          <w:highlight w:val="none"/>
        </w:rPr>
        <w:t xml:space="preserve">第二节  </w:t>
      </w:r>
      <w:bookmarkEnd w:id="638"/>
      <w:r>
        <w:rPr>
          <w:rFonts w:hint="eastAsia" w:ascii="楷体_GB2312" w:hAnsi="楷体_GB2312" w:eastAsia="楷体_GB2312" w:cs="楷体_GB2312"/>
          <w:b w:val="0"/>
          <w:bCs w:val="0"/>
          <w:sz w:val="32"/>
          <w:szCs w:val="32"/>
          <w:highlight w:val="none"/>
        </w:rPr>
        <w:t>生物医药产业集聚化发展</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6B9C44F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生物技术产品创新与研发能力。聚焦生物医药、生物制造、生命科学等前沿领域，支持富祥、凌富等骨干企业攻关关键核心技术，推动创新药、高端制剂、高附加值原料药等技术与产品的研发及产业化。着力打造覆盖产品研发创新、工艺开发、中试孵化到规模生产的全产业链条，推动特色原料药、医药中间体等传统优势产品向产业链高端延伸。</w:t>
      </w:r>
    </w:p>
    <w:p w14:paraId="170194C9">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促进医药产业要素高效集聚。以鱼山医药产业园为核心载体，高标准构建生物医药产业集聚区。加快引进和培育一批具有核心竞争力的创新主体、研发平台与专业人才。加快推进凌富三期等重大项目建设，支持龙头企业扩大产能、提升能级，促进基础化工原料与生物医药制造的深度对接，构建从基础原料到高端制剂的一体化产业体系，培育具有区域特色的生物医药产业集群，打造全省重要的生物产业创新高地。</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D89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094498B0">
            <w:pPr>
              <w:pageBreakBefore w:val="0"/>
              <w:tabs>
                <w:tab w:val="left" w:pos="6725"/>
              </w:tabs>
              <w:kinsoku/>
              <w:wordWrap/>
              <w:overflowPunct/>
              <w:topLinePunct w:val="0"/>
              <w:autoSpaceDE/>
              <w:autoSpaceDN/>
              <w:bidi w:val="0"/>
              <w:spacing w:after="0" w:afterLines="0" w:line="240" w:lineRule="auto"/>
              <w:jc w:val="center"/>
              <w:rPr>
                <w:rFonts w:hint="eastAsia" w:ascii="仿宋_GB2312" w:hAnsi="仿宋_GB2312" w:eastAsia="仿宋_GB2312" w:cs="仿宋_GB2312"/>
                <w:b w:val="0"/>
                <w:bCs w:val="0"/>
                <w:sz w:val="32"/>
                <w:szCs w:val="32"/>
                <w:highlight w:val="none"/>
              </w:rPr>
            </w:pPr>
            <w:bookmarkStart w:id="672" w:name="_Hlk213244283"/>
            <w:r>
              <w:rPr>
                <w:rFonts w:hint="eastAsia" w:ascii="黑体" w:hAnsi="黑体" w:eastAsia="黑体" w:cs="黑体"/>
                <w:b w:val="0"/>
                <w:bCs w:val="0"/>
                <w:sz w:val="24"/>
                <w:highlight w:val="none"/>
                <w:lang w:bidi="ar"/>
              </w:rPr>
              <w:t>专栏3  重点产业提质升级重点工程</w:t>
            </w:r>
          </w:p>
        </w:tc>
      </w:tr>
      <w:tr w14:paraId="35CA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759F0C21">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1.电子信息产业</w:t>
            </w:r>
          </w:p>
          <w:p w14:paraId="56D9EA00">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持续推进昌江产业园电子信息产业园三期建设，加快推动昌江产业园基础设施提升、厂房升级改造、地下管网建设；实施乐彭电器LED产业扩建项目、乐彭电器昌江区LED链群配套生产项目、启福光AI智能超节能光科技项目、宏亿电子技术改造项目、博思半导体厂房装修及配套一期项目、星途智造金属零部件改扩建项目、祥盈科技半导体封装智能制造项目等项目。</w:t>
            </w:r>
          </w:p>
          <w:p w14:paraId="779245BD">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2.生物医药产业</w:t>
            </w:r>
          </w:p>
          <w:p w14:paraId="51B6C592">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24"/>
                <w:highlight w:val="none"/>
              </w:rPr>
              <w:t>推进鱼山医药产业园区地下管网建设项目、鱼山医药产业园区地下管网建设项目二期、富祥药业产品工艺装备提升项目、草掌柜中药配方颗粒设备更新技术升级项目、中药智慧煎药生产项目等项目建设。</w:t>
            </w:r>
          </w:p>
        </w:tc>
      </w:tr>
      <w:bookmarkEnd w:id="672"/>
    </w:tbl>
    <w:p w14:paraId="569CF8D4">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673" w:name="_Toc18941"/>
      <w:bookmarkStart w:id="674" w:name="_Toc8509"/>
      <w:bookmarkStart w:id="675" w:name="_Toc215695215"/>
      <w:bookmarkStart w:id="676" w:name="_Toc12122"/>
      <w:bookmarkStart w:id="677" w:name="_Toc7486"/>
      <w:bookmarkStart w:id="678" w:name="_Toc3826"/>
      <w:bookmarkStart w:id="679" w:name="_Toc28897"/>
      <w:bookmarkStart w:id="680" w:name="_Toc18382"/>
      <w:bookmarkStart w:id="681" w:name="_Toc30686"/>
      <w:bookmarkStart w:id="682" w:name="_Toc1880"/>
      <w:bookmarkStart w:id="683" w:name="_Toc9321"/>
      <w:bookmarkStart w:id="684" w:name="_Toc214611222"/>
      <w:bookmarkStart w:id="685" w:name="_Toc20379"/>
      <w:bookmarkStart w:id="686" w:name="_Toc4186"/>
      <w:bookmarkStart w:id="687" w:name="_Toc14974"/>
      <w:bookmarkStart w:id="688" w:name="_Toc27691"/>
      <w:bookmarkStart w:id="689" w:name="_Toc1409"/>
      <w:bookmarkStart w:id="690" w:name="_Toc30414"/>
      <w:bookmarkStart w:id="691" w:name="_Toc21880"/>
      <w:bookmarkStart w:id="692" w:name="_Toc13539"/>
      <w:bookmarkStart w:id="693" w:name="_Toc31004"/>
      <w:bookmarkStart w:id="694" w:name="_Toc16131"/>
      <w:bookmarkStart w:id="695" w:name="_Toc12149"/>
      <w:bookmarkStart w:id="696" w:name="_Toc9480"/>
      <w:bookmarkStart w:id="697" w:name="_Toc20687"/>
      <w:bookmarkStart w:id="698" w:name="_Toc19620"/>
      <w:bookmarkStart w:id="699" w:name="_Toc31688"/>
      <w:bookmarkStart w:id="700" w:name="_Toc17876"/>
      <w:bookmarkStart w:id="701" w:name="_Toc5359"/>
      <w:bookmarkStart w:id="702" w:name="_Toc231562035"/>
      <w:bookmarkStart w:id="703" w:name="_Toc16524"/>
      <w:bookmarkStart w:id="704" w:name="_Toc5191"/>
      <w:bookmarkStart w:id="705" w:name="_Toc4011"/>
      <w:bookmarkStart w:id="706" w:name="_Toc31571"/>
      <w:r>
        <w:rPr>
          <w:rFonts w:hint="eastAsia" w:ascii="黑体" w:hAnsi="黑体" w:eastAsia="黑体"/>
          <w:b w:val="0"/>
          <w:bCs w:val="0"/>
          <w:sz w:val="32"/>
          <w:szCs w:val="32"/>
          <w:highlight w:val="none"/>
        </w:rPr>
        <w:t xml:space="preserve">第二章  </w:t>
      </w:r>
      <w:bookmarkEnd w:id="673"/>
      <w:r>
        <w:rPr>
          <w:rFonts w:hint="eastAsia" w:ascii="黑体" w:hAnsi="黑体" w:eastAsia="黑体"/>
          <w:b w:val="0"/>
          <w:bCs w:val="0"/>
          <w:sz w:val="32"/>
          <w:szCs w:val="32"/>
          <w:highlight w:val="none"/>
        </w:rPr>
        <w:t>锚定数智未来产业</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5F02C637">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707" w:name="_Toc23882"/>
      <w:bookmarkStart w:id="708" w:name="_Toc27295"/>
      <w:bookmarkStart w:id="709" w:name="_Toc29696"/>
      <w:bookmarkStart w:id="710" w:name="_Toc21461"/>
      <w:bookmarkStart w:id="711" w:name="_Toc10038"/>
      <w:bookmarkStart w:id="712" w:name="_Toc29019"/>
      <w:bookmarkStart w:id="713" w:name="_Toc10464"/>
      <w:bookmarkStart w:id="714" w:name="_Toc32689"/>
      <w:bookmarkStart w:id="715" w:name="_Toc21392"/>
      <w:bookmarkStart w:id="716" w:name="_Toc214611223"/>
      <w:bookmarkStart w:id="717" w:name="_Toc6233"/>
      <w:bookmarkStart w:id="718" w:name="_Toc12099"/>
      <w:bookmarkStart w:id="719" w:name="_Toc11445"/>
      <w:bookmarkStart w:id="720" w:name="_Toc5090"/>
      <w:bookmarkStart w:id="721" w:name="_Toc13585"/>
      <w:bookmarkStart w:id="722" w:name="_Toc15913"/>
      <w:bookmarkStart w:id="723" w:name="_Toc25181"/>
      <w:bookmarkStart w:id="724" w:name="_Toc15419"/>
      <w:bookmarkStart w:id="725" w:name="_Toc24201"/>
      <w:bookmarkStart w:id="726" w:name="_Toc9391"/>
      <w:bookmarkStart w:id="727" w:name="_Toc2990"/>
      <w:bookmarkStart w:id="728" w:name="_Toc15536"/>
      <w:bookmarkStart w:id="729" w:name="_Toc15864"/>
      <w:bookmarkStart w:id="730" w:name="_Toc20740"/>
      <w:bookmarkStart w:id="731" w:name="_Toc16860"/>
      <w:bookmarkStart w:id="732" w:name="_Toc215695216"/>
      <w:bookmarkStart w:id="733" w:name="_Toc31799"/>
      <w:bookmarkStart w:id="734" w:name="_Toc8791"/>
      <w:bookmarkStart w:id="735" w:name="_Toc7658"/>
      <w:bookmarkStart w:id="736" w:name="_Toc2097"/>
      <w:bookmarkStart w:id="737" w:name="_Toc12395"/>
      <w:bookmarkStart w:id="738" w:name="_Toc231562036"/>
      <w:bookmarkStart w:id="739" w:name="_Toc30508"/>
      <w:bookmarkStart w:id="740" w:name="_Toc14151"/>
      <w:r>
        <w:rPr>
          <w:rFonts w:hint="eastAsia" w:ascii="楷体_GB2312" w:hAnsi="楷体_GB2312" w:eastAsia="楷体_GB2312" w:cs="楷体_GB2312"/>
          <w:b w:val="0"/>
          <w:bCs w:val="0"/>
          <w:sz w:val="32"/>
          <w:szCs w:val="32"/>
          <w:highlight w:val="none"/>
        </w:rPr>
        <w:t xml:space="preserve">第一节  </w:t>
      </w:r>
      <w:bookmarkEnd w:id="707"/>
      <w:r>
        <w:rPr>
          <w:rFonts w:hint="eastAsia" w:ascii="楷体_GB2312" w:hAnsi="楷体_GB2312" w:eastAsia="楷体_GB2312" w:cs="楷体_GB2312"/>
          <w:b w:val="0"/>
          <w:bCs w:val="0"/>
          <w:sz w:val="32"/>
          <w:szCs w:val="32"/>
          <w:highlight w:val="none"/>
        </w:rPr>
        <w:t>培育未来生物产业</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4956A254">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补全微生物蛋白产业链。聚焦微生物蛋白核心技术攻关与产业化应用，系统推进菌种选育、发酵工艺、分离提取等关键技术研发。谋划建设高标准菌种资源库，强化核心技术自主创新能力。统筹布局昌江区未来生物产业园中试平台建设，打造具有国际影响力的微生物蛋白生产基地。分期建成并投产20万吨微生物蛋白及50万吨氨基酸水溶肥产线，助力区内龙头企业成为全球最大的微生物蛋白生产企业，力争打造新的全球“单项冠军”。抢抓全国微生物蛋白产业大会召开契机，打造常驻景德镇的全国性权威展会品牌。</w:t>
      </w:r>
    </w:p>
    <w:p w14:paraId="575F606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拓展微生物蛋白向食品、生物医药领域新赛道延伸。重点拓展蛋白替代、功能性食品、营养健康等应用领域，加速产品市场化进程，构建从研发到市场的完整产业链条，在食品产业变革中巩固先发优势。以微生物蛋白为依托，巩固生物医药产业优势，重点发展生物制剂、创新药物等方向，推进生物医药中试平台建设。深化与龙头药企、科研院所协同创新，共建联合实验室和研发平台。加快医药科技成果转化，研发一批具有自主知识产权的创新药产品，提升在生物医药领域的影响力。</w:t>
      </w:r>
    </w:p>
    <w:p w14:paraId="542521FA">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741" w:name="_Toc27537"/>
      <w:bookmarkStart w:id="742" w:name="_Toc14240"/>
      <w:bookmarkStart w:id="743" w:name="_Toc231562037"/>
      <w:bookmarkStart w:id="744" w:name="_Toc12766"/>
      <w:bookmarkStart w:id="745" w:name="_Toc5688"/>
      <w:bookmarkStart w:id="746" w:name="_Toc856"/>
      <w:bookmarkStart w:id="747" w:name="_Toc9989"/>
      <w:bookmarkStart w:id="748" w:name="_Toc8212"/>
      <w:bookmarkStart w:id="749" w:name="_Toc9062"/>
      <w:bookmarkStart w:id="750" w:name="_Toc4699"/>
      <w:bookmarkStart w:id="751" w:name="_Toc31430"/>
      <w:bookmarkStart w:id="752" w:name="_Toc22318"/>
      <w:bookmarkStart w:id="753" w:name="_Toc14109"/>
      <w:bookmarkStart w:id="754" w:name="_Toc32078"/>
      <w:bookmarkStart w:id="755" w:name="_Toc7400"/>
      <w:bookmarkStart w:id="756" w:name="_Toc30672"/>
      <w:bookmarkStart w:id="757" w:name="_Toc9537"/>
      <w:bookmarkStart w:id="758" w:name="_Toc14969"/>
      <w:bookmarkStart w:id="759" w:name="_Toc13077"/>
      <w:bookmarkStart w:id="760" w:name="_Toc28609"/>
      <w:bookmarkStart w:id="761" w:name="_Toc31497"/>
      <w:bookmarkStart w:id="762" w:name="_Toc9037"/>
      <w:bookmarkStart w:id="763" w:name="_Toc215695213"/>
      <w:bookmarkStart w:id="764" w:name="_Toc13078"/>
      <w:bookmarkStart w:id="765" w:name="_Toc27244"/>
      <w:bookmarkStart w:id="766" w:name="_Toc214611220"/>
      <w:bookmarkStart w:id="767" w:name="_Toc4323"/>
      <w:bookmarkStart w:id="768" w:name="_Toc376"/>
      <w:bookmarkStart w:id="769" w:name="_Toc17151"/>
      <w:bookmarkStart w:id="770" w:name="_Toc12354"/>
      <w:bookmarkStart w:id="771" w:name="_Toc26180"/>
      <w:bookmarkStart w:id="772" w:name="_Toc19628"/>
      <w:bookmarkStart w:id="773" w:name="_Toc29811"/>
      <w:r>
        <w:rPr>
          <w:rFonts w:hint="eastAsia" w:ascii="楷体_GB2312" w:hAnsi="楷体_GB2312" w:eastAsia="楷体_GB2312" w:cs="楷体_GB2312"/>
          <w:b w:val="0"/>
          <w:bCs w:val="0"/>
          <w:sz w:val="32"/>
          <w:szCs w:val="32"/>
          <w:highlight w:val="none"/>
        </w:rPr>
        <w:t>第二节  壮大新材料产业</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46010C9E">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聚焦服务龙头企业，驱动新材料产业集聚发展。以省级化工园区和产业园为核心载体，支持龙头企业发挥引领作用，聚焦生物医药材料、高端化工材料、复合材料等高技术壁垒、高附加值领域，系统谋划新材料产业发展路径。对接服务好黑猫搬迁项目，以产业完整性、先进性、安全性为基础，整体谋划厂区搬迁、技改升级与设备更新，推动鱼山医药产业园、昌江产业园的调区扩区及环保达标。</w:t>
      </w:r>
    </w:p>
    <w:p w14:paraId="1E6154C2">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巩固提升与转型突破同步推进，拓展新材料应用场景。巩固提升传统优势领域，扎实推进年产5000吨锂电池导电剂碳纳米管等重大项目建设，持续深化煤焦油、粗苯、硫铵等深加工布局。同时加速向导电炭黑、碳基材料等新兴领域转型突破，推动超导电炭黑、碳纳米管、低滞后炭黑等产品实现规模化生产与应用。支持企业与头部电池厂商深化战略合作，推动导电炭黑在4C超充电池、固态电池等高端场景的批量应用，加快PVDF粘结剂等产品的认证与量产进程。</w:t>
      </w:r>
    </w:p>
    <w:p w14:paraId="004E03CF">
      <w:pPr>
        <w:pageBreakBefore w:val="0"/>
        <w:kinsoku/>
        <w:wordWrap/>
        <w:overflowPunct/>
        <w:topLinePunct w:val="0"/>
        <w:autoSpaceDE/>
        <w:autoSpaceDN/>
        <w:bidi w:val="0"/>
        <w:spacing w:after="0" w:afterLines="0" w:line="560" w:lineRule="exact"/>
        <w:ind w:firstLine="640" w:firstLineChars="200"/>
        <w:rPr>
          <w:rFonts w:ascii="仿宋_GB2312" w:hAnsi="Calibri" w:eastAsia="仿宋_GB2312" w:cs="Times New Roman"/>
          <w:b w:val="0"/>
          <w:bCs w:val="0"/>
          <w:sz w:val="32"/>
          <w:szCs w:val="32"/>
          <w:highlight w:val="none"/>
        </w:rPr>
      </w:pPr>
      <w:r>
        <w:rPr>
          <w:rFonts w:hint="eastAsia" w:ascii="仿宋_GB2312" w:hAnsi="仿宋_GB2312" w:eastAsia="仿宋_GB2312" w:cs="仿宋_GB2312"/>
          <w:b w:val="0"/>
          <w:bCs w:val="0"/>
          <w:sz w:val="32"/>
          <w:szCs w:val="32"/>
          <w:highlight w:val="none"/>
        </w:rPr>
        <w:t>积极布局下一代材料技术，挖掘发展新动能。围绕新能源、电子信息等战略性新兴产业发展需求，前瞻布局硅碳负极、碳纳米管复合导电剂等下一代新材料研发与产业化。支持企业联合高校、科研院所共建创新平台，开展关键技术攻关，持续提升新材料产业的前沿技术水平。建立产学研用协同创新机制，加速科技成果转化，围绕VC、FEC等电解液制造工艺变革、钠离子电池等前沿技术产业变革，建立健全“研发在发达地区、转化在昌江区”的科技成果转化机制，加快鲸储能源、杉域新能源等项目达产达效，培育新材料产业发展的新增长点。</w:t>
      </w:r>
      <w:bookmarkStart w:id="774" w:name="_Toc31144"/>
      <w:bookmarkStart w:id="775" w:name="_Toc215695217"/>
      <w:bookmarkStart w:id="776" w:name="_Toc17963"/>
      <w:bookmarkStart w:id="777" w:name="_Toc9617"/>
      <w:bookmarkStart w:id="778" w:name="_Toc30968"/>
      <w:bookmarkStart w:id="779" w:name="_Toc21998"/>
      <w:bookmarkStart w:id="780" w:name="_Toc669"/>
      <w:bookmarkStart w:id="781" w:name="_Toc9739"/>
      <w:bookmarkStart w:id="782" w:name="_Toc32087"/>
      <w:bookmarkStart w:id="783" w:name="_Toc12685"/>
      <w:bookmarkStart w:id="784" w:name="_Toc15136"/>
      <w:bookmarkStart w:id="785" w:name="_Toc14767"/>
      <w:bookmarkStart w:id="786" w:name="_Toc30162"/>
      <w:bookmarkStart w:id="787" w:name="_Toc5602"/>
      <w:bookmarkStart w:id="788" w:name="_Toc29375"/>
      <w:bookmarkStart w:id="789" w:name="_Toc18155"/>
      <w:bookmarkStart w:id="790" w:name="_Toc22790"/>
      <w:bookmarkStart w:id="791" w:name="_Toc14930"/>
      <w:bookmarkStart w:id="792" w:name="_Toc31311"/>
      <w:bookmarkStart w:id="793" w:name="_Toc18772"/>
      <w:bookmarkStart w:id="794" w:name="_Toc214611224"/>
      <w:bookmarkStart w:id="795" w:name="_Toc2581"/>
      <w:bookmarkStart w:id="796" w:name="_Toc22274"/>
      <w:bookmarkStart w:id="797" w:name="_Toc29807"/>
      <w:bookmarkStart w:id="798" w:name="_Toc16799"/>
      <w:bookmarkStart w:id="799" w:name="_Toc4346"/>
      <w:bookmarkStart w:id="800" w:name="_Toc31538"/>
      <w:bookmarkStart w:id="801" w:name="_Toc1979"/>
      <w:bookmarkStart w:id="802" w:name="_Toc18599"/>
    </w:p>
    <w:p w14:paraId="2EE88585">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803" w:name="_Toc9048"/>
      <w:bookmarkStart w:id="804" w:name="_Toc9233"/>
      <w:bookmarkStart w:id="805" w:name="_Toc231562038"/>
      <w:bookmarkStart w:id="806" w:name="_Toc9672"/>
      <w:bookmarkStart w:id="807" w:name="_Toc25349"/>
      <w:r>
        <w:rPr>
          <w:rFonts w:hint="eastAsia" w:ascii="楷体_GB2312" w:hAnsi="楷体_GB2312" w:eastAsia="楷体_GB2312" w:cs="楷体_GB2312"/>
          <w:b w:val="0"/>
          <w:bCs w:val="0"/>
          <w:sz w:val="32"/>
          <w:szCs w:val="32"/>
          <w:highlight w:val="none"/>
        </w:rPr>
        <w:t xml:space="preserve">第三节  </w:t>
      </w:r>
      <w:bookmarkEnd w:id="774"/>
      <w:r>
        <w:rPr>
          <w:rFonts w:hint="eastAsia" w:ascii="楷体_GB2312" w:hAnsi="楷体_GB2312" w:eastAsia="楷体_GB2312" w:cs="楷体_GB2312"/>
          <w:b w:val="0"/>
          <w:bCs w:val="0"/>
          <w:sz w:val="32"/>
          <w:szCs w:val="32"/>
          <w:highlight w:val="none"/>
        </w:rPr>
        <w:t>切入人工智能赛道</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5C1C893E">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加快人工智能技术融合，赋能产业智能化升级。引进培育智能化创新项目，推动机器学习、计算机视觉、自然语言处理等关键技术与传统产业的业务流程深度融合。支持人工智能技术在研发设计、生产制造、供应链管理、客户服务等环节的全方位应用，培育典型案例与解决方案，赋能传统产业转型升级，打造数字经济的新增长点。以技术融合为抓手，系统性构建人工智能赋能产业升级的支撑体系。引进培育关键项目，加速实现特定环节的生产流程无人化、物流系统智能化、运营决策数据化与销售预测精准化，切实提升产业效率与竞争力，推动区域产业向高效、智能、柔性化的方向演进，形成以数据驱动、智能决策为核心的现代产业发展新模式。</w:t>
      </w:r>
    </w:p>
    <w:p w14:paraId="5B6E7B8B">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打造人工智能特色应用场景。抢抓人工智能发展机遇，优先在优势产业和特色领域推动融合应用。重点布局“人工智能+陶瓷”，发展陶瓷智能设计、瑕疵视觉检测与烧成工艺优化；深化“人工智能+旅游”，联合科技企业开发智能导览、客流预测与沉浸式文化体验；推动“人工智能+医药”，支持药物研发数据分析、生产质控与智慧仓储管理；升级“人工智能+物流”，建设智能调度与无人配送系统，提升区域供应链效率。</w:t>
      </w:r>
      <w:bookmarkStart w:id="808" w:name="_Toc214611225"/>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45B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4F039851">
            <w:pPr>
              <w:pageBreakBefore w:val="0"/>
              <w:tabs>
                <w:tab w:val="left" w:pos="6725"/>
              </w:tabs>
              <w:kinsoku/>
              <w:wordWrap/>
              <w:overflowPunct/>
              <w:topLinePunct w:val="0"/>
              <w:autoSpaceDE/>
              <w:autoSpaceDN/>
              <w:bidi w:val="0"/>
              <w:spacing w:after="0" w:afterLines="0" w:line="240" w:lineRule="auto"/>
              <w:jc w:val="center"/>
              <w:rPr>
                <w:rFonts w:hint="eastAsia" w:ascii="仿宋_GB2312" w:hAnsi="仿宋_GB2312" w:eastAsia="仿宋_GB2312" w:cs="仿宋_GB2312"/>
                <w:b w:val="0"/>
                <w:bCs w:val="0"/>
                <w:sz w:val="32"/>
                <w:szCs w:val="32"/>
                <w:highlight w:val="none"/>
              </w:rPr>
            </w:pPr>
            <w:r>
              <w:rPr>
                <w:rFonts w:hint="eastAsia" w:ascii="黑体" w:hAnsi="黑体" w:eastAsia="黑体" w:cs="黑体"/>
                <w:b w:val="0"/>
                <w:bCs w:val="0"/>
                <w:sz w:val="24"/>
                <w:highlight w:val="none"/>
                <w:lang w:bidi="ar"/>
              </w:rPr>
              <w:t>专栏4  未来产业培育壮大工程</w:t>
            </w:r>
          </w:p>
        </w:tc>
      </w:tr>
      <w:tr w14:paraId="335B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29E9A836">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1.未来生物产业</w:t>
            </w:r>
          </w:p>
          <w:p w14:paraId="21B003C6">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规划建设占地300亩的昌江区未来生物产业园项目，打造微生物蛋白引领的新蛋白食品科技创新产业平台；加快推进富祥</w:t>
            </w:r>
            <w:r>
              <w:rPr>
                <w:rFonts w:hint="eastAsia" w:ascii="仿宋_GB2312" w:hAnsi="仿宋_GB2312" w:eastAsia="仿宋_GB2312" w:cs="仿宋_GB2312"/>
                <w:b w:val="0"/>
                <w:bCs w:val="0"/>
                <w:sz w:val="24"/>
                <w:highlight w:val="none"/>
                <w:lang w:bidi="ar"/>
              </w:rPr>
              <w:t>年产20万吨微生物蛋白及其资源综合利用项目、富祥年产50万吨氨基酸水溶肥项目、合成生物中试平台扩建项目、慕恩未来生物产业项目等重点项目建设。</w:t>
            </w:r>
          </w:p>
          <w:p w14:paraId="0C16B590">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2.新材料产业</w:t>
            </w:r>
          </w:p>
          <w:p w14:paraId="5CC9470F">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lang w:bidi="ar"/>
              </w:rPr>
              <w:t>推进</w:t>
            </w:r>
            <w:r>
              <w:rPr>
                <w:rFonts w:hint="eastAsia" w:ascii="仿宋_GB2312" w:hAnsi="仿宋_GB2312" w:eastAsia="仿宋_GB2312" w:cs="仿宋_GB2312"/>
                <w:b w:val="0"/>
                <w:bCs w:val="0"/>
                <w:sz w:val="24"/>
                <w:highlight w:val="none"/>
              </w:rPr>
              <w:t>凌富生物科技新能源电解溶液生产项目、</w:t>
            </w:r>
            <w:r>
              <w:rPr>
                <w:rFonts w:hint="eastAsia" w:ascii="仿宋_GB2312" w:hAnsi="仿宋_GB2312" w:eastAsia="仿宋_GB2312" w:cs="仿宋_GB2312"/>
                <w:b w:val="0"/>
                <w:bCs w:val="0"/>
                <w:sz w:val="24"/>
                <w:highlight w:val="none"/>
                <w:lang w:bidi="ar"/>
              </w:rPr>
              <w:t>凌富生物科技年产2850吨高端新材料及其中间体项目、鲸储能源年产20万吨锂钠离子电池项目、鲸储能源钠电池PACK项目、</w:t>
            </w:r>
            <w:r>
              <w:rPr>
                <w:rFonts w:hint="eastAsia" w:ascii="仿宋_GB2312" w:hAnsi="仿宋_GB2312" w:eastAsia="仿宋_GB2312" w:cs="仿宋_GB2312"/>
                <w:b w:val="0"/>
                <w:bCs w:val="0"/>
                <w:sz w:val="24"/>
                <w:highlight w:val="none"/>
              </w:rPr>
              <w:t>鸿杰新能源报废机动车及新能源汽车回收拆解项目、鸿杰新能源动力电池资源优化综合利用项目、</w:t>
            </w:r>
            <w:r>
              <w:rPr>
                <w:rFonts w:hint="eastAsia" w:ascii="仿宋_GB2312" w:hAnsi="仿宋_GB2312" w:eastAsia="仿宋_GB2312" w:cs="仿宋_GB2312"/>
                <w:b w:val="0"/>
                <w:bCs w:val="0"/>
                <w:sz w:val="24"/>
                <w:highlight w:val="none"/>
                <w:lang w:bidi="ar"/>
              </w:rPr>
              <w:t>迪拓年产2000吨EPP环保材料生产项目、星立新材料铝合金铸件项目等项目建设</w:t>
            </w:r>
            <w:r>
              <w:rPr>
                <w:rFonts w:hint="eastAsia" w:ascii="仿宋_GB2312" w:hAnsi="仿宋_GB2312" w:eastAsia="仿宋_GB2312" w:cs="仿宋_GB2312"/>
                <w:b w:val="0"/>
                <w:bCs w:val="0"/>
                <w:sz w:val="24"/>
                <w:highlight w:val="none"/>
              </w:rPr>
              <w:t>。</w:t>
            </w:r>
          </w:p>
          <w:p w14:paraId="75329CBF">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3.人工智能产业</w:t>
            </w:r>
          </w:p>
          <w:p w14:paraId="78215CA9">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24"/>
                <w:highlight w:val="none"/>
              </w:rPr>
              <w:t>推进建设省级产业园区数字化集算中心，提升区域算力支撑能力；建设低空无人机遥感数据运营中心，拓展数据创新应用；实施杉域新能源年产20万台智能充电桩项目、中电数码AI人工智能教育装备智能制造等项目。</w:t>
            </w:r>
          </w:p>
        </w:tc>
      </w:tr>
      <w:bookmarkEnd w:id="808"/>
    </w:tbl>
    <w:p w14:paraId="3A04774B">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809" w:name="_Toc2861"/>
      <w:bookmarkStart w:id="810" w:name="_Toc29292"/>
      <w:bookmarkStart w:id="811" w:name="_Toc2413"/>
      <w:bookmarkStart w:id="812" w:name="_Toc16320"/>
      <w:bookmarkStart w:id="813" w:name="_Toc2255"/>
      <w:bookmarkStart w:id="814" w:name="_Toc20708"/>
      <w:bookmarkStart w:id="815" w:name="_Toc11549"/>
      <w:bookmarkStart w:id="816" w:name="_Toc774"/>
      <w:bookmarkStart w:id="817" w:name="_Toc28960"/>
      <w:bookmarkStart w:id="818" w:name="_Toc24741"/>
      <w:bookmarkStart w:id="819" w:name="_Toc27534"/>
      <w:bookmarkStart w:id="820" w:name="_Toc1000"/>
      <w:bookmarkStart w:id="821" w:name="_Toc1042"/>
      <w:bookmarkStart w:id="822" w:name="_Toc2062"/>
      <w:bookmarkStart w:id="823" w:name="_Toc4144"/>
      <w:bookmarkStart w:id="824" w:name="_Toc2827"/>
      <w:bookmarkStart w:id="825" w:name="_Toc231562039"/>
      <w:bookmarkStart w:id="826" w:name="_Toc152"/>
      <w:bookmarkStart w:id="827" w:name="_Toc3213"/>
      <w:bookmarkStart w:id="828" w:name="_Toc214611235"/>
      <w:bookmarkStart w:id="829" w:name="_Toc19982"/>
      <w:bookmarkStart w:id="830" w:name="_Toc24949"/>
      <w:bookmarkStart w:id="831" w:name="_Toc215695228"/>
      <w:bookmarkStart w:id="832" w:name="_Toc26787"/>
      <w:bookmarkStart w:id="833" w:name="_Toc13686"/>
      <w:bookmarkStart w:id="834" w:name="_Toc5135"/>
      <w:bookmarkStart w:id="835" w:name="_Toc2547"/>
      <w:bookmarkStart w:id="836" w:name="_Toc30094"/>
      <w:bookmarkStart w:id="837" w:name="_Toc502"/>
      <w:bookmarkStart w:id="838" w:name="_Toc32509"/>
      <w:bookmarkStart w:id="839" w:name="_Toc8091"/>
    </w:p>
    <w:p w14:paraId="098825ED">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p>
    <w:p w14:paraId="1C32A5D0">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r>
        <w:rPr>
          <w:rFonts w:hint="eastAsia" w:ascii="黑体" w:hAnsi="黑体" w:eastAsia="黑体"/>
          <w:b w:val="0"/>
          <w:bCs w:val="0"/>
          <w:sz w:val="32"/>
          <w:szCs w:val="32"/>
          <w:highlight w:val="none"/>
        </w:rPr>
        <w:t>第三章  推进生产性服务业专业化发展</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181AFC75">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840" w:name="_Toc25696"/>
      <w:bookmarkStart w:id="841" w:name="_Toc25496"/>
      <w:bookmarkStart w:id="842" w:name="_Toc8160"/>
      <w:bookmarkStart w:id="843" w:name="_Toc5954"/>
      <w:bookmarkStart w:id="844" w:name="_Toc215695214"/>
      <w:bookmarkStart w:id="845" w:name="_Toc7057"/>
      <w:bookmarkStart w:id="846" w:name="_Toc4871"/>
      <w:bookmarkStart w:id="847" w:name="_Toc25249"/>
      <w:bookmarkStart w:id="848" w:name="_Toc1015"/>
      <w:bookmarkStart w:id="849" w:name="_Toc12802"/>
      <w:bookmarkStart w:id="850" w:name="_Toc17553"/>
      <w:bookmarkStart w:id="851" w:name="_Toc8039"/>
      <w:bookmarkStart w:id="852" w:name="_Toc9229"/>
      <w:bookmarkStart w:id="853" w:name="_Toc7274"/>
      <w:bookmarkStart w:id="854" w:name="_Toc19036"/>
      <w:bookmarkStart w:id="855" w:name="_Toc214611221"/>
      <w:bookmarkStart w:id="856" w:name="_Toc24372"/>
      <w:bookmarkStart w:id="857" w:name="_Toc19331"/>
      <w:bookmarkStart w:id="858" w:name="_Toc28966"/>
      <w:bookmarkStart w:id="859" w:name="_Toc14764"/>
      <w:bookmarkStart w:id="860" w:name="_Toc25322"/>
      <w:bookmarkStart w:id="861" w:name="_Toc12767"/>
      <w:bookmarkStart w:id="862" w:name="_Toc1947"/>
      <w:bookmarkStart w:id="863" w:name="_Toc10190"/>
      <w:bookmarkStart w:id="864" w:name="_Toc20922"/>
      <w:bookmarkStart w:id="865" w:name="_Toc4501"/>
      <w:bookmarkStart w:id="866" w:name="_Toc25940"/>
      <w:bookmarkStart w:id="867" w:name="_Toc21617"/>
      <w:bookmarkStart w:id="868" w:name="_Toc18097"/>
      <w:bookmarkStart w:id="869" w:name="_Toc1204"/>
      <w:bookmarkStart w:id="870" w:name="_Toc19061"/>
      <w:bookmarkStart w:id="871" w:name="_Toc19248"/>
      <w:bookmarkStart w:id="872" w:name="_Toc10989"/>
      <w:bookmarkStart w:id="873" w:name="_Toc231562040"/>
      <w:r>
        <w:rPr>
          <w:rFonts w:hint="eastAsia" w:ascii="楷体_GB2312" w:hAnsi="楷体_GB2312" w:eastAsia="楷体_GB2312" w:cs="楷体_GB2312"/>
          <w:b w:val="0"/>
          <w:bCs w:val="0"/>
          <w:sz w:val="32"/>
          <w:szCs w:val="32"/>
          <w:highlight w:val="none"/>
        </w:rPr>
        <w:t xml:space="preserve">第一节  </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r>
        <w:rPr>
          <w:rFonts w:hint="eastAsia" w:ascii="楷体_GB2312" w:hAnsi="楷体_GB2312" w:eastAsia="楷体_GB2312" w:cs="楷体_GB2312"/>
          <w:b w:val="0"/>
          <w:bCs w:val="0"/>
          <w:sz w:val="32"/>
          <w:szCs w:val="32"/>
          <w:highlight w:val="none"/>
        </w:rPr>
        <w:t>培育壮大数智产业</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67537A0A">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充分发挥移动、电信、联通三大运营商技术优势，引进培育特色数据标注产业。推动“人工智能+特色产业”发展，支持陶青台引进AI直播电商企业。依托昌江好物馆搭建“数字特色产品展厅”，实现本土特色产品在线3D展示、定制下单。积极培育壮大流量经济，在昌南里陶瓷潮玩小镇打造沉浸式数字体验区，推广“支付即开票”“智能导购”技术，提升三闾庙街区数字化服务水平。</w:t>
      </w:r>
    </w:p>
    <w:p w14:paraId="272504A7">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874" w:name="_Toc231562041"/>
      <w:bookmarkStart w:id="875" w:name="_Toc4082"/>
      <w:bookmarkStart w:id="876" w:name="_Toc7756"/>
      <w:bookmarkStart w:id="877" w:name="_Toc22384"/>
      <w:bookmarkStart w:id="878" w:name="_Toc16817"/>
      <w:bookmarkStart w:id="879" w:name="_Toc8793"/>
      <w:bookmarkStart w:id="880" w:name="_Toc25361"/>
      <w:bookmarkStart w:id="881" w:name="_Toc16558"/>
      <w:bookmarkStart w:id="882" w:name="_Toc1503"/>
      <w:bookmarkStart w:id="883" w:name="_Toc15811"/>
      <w:bookmarkStart w:id="884" w:name="_Toc1527"/>
      <w:bookmarkStart w:id="885" w:name="_Toc25405"/>
      <w:bookmarkStart w:id="886" w:name="_Toc17003"/>
      <w:bookmarkStart w:id="887" w:name="_Toc9200"/>
      <w:bookmarkStart w:id="888" w:name="_Toc7173"/>
      <w:bookmarkStart w:id="889" w:name="_Toc10860"/>
      <w:bookmarkStart w:id="890" w:name="_Toc21924"/>
      <w:bookmarkStart w:id="891" w:name="_Toc27236"/>
      <w:r>
        <w:rPr>
          <w:rFonts w:hint="eastAsia" w:ascii="楷体_GB2312" w:hAnsi="楷体_GB2312" w:eastAsia="楷体_GB2312" w:cs="楷体_GB2312"/>
          <w:b w:val="0"/>
          <w:bCs w:val="0"/>
          <w:sz w:val="32"/>
          <w:szCs w:val="32"/>
          <w:highlight w:val="none"/>
        </w:rPr>
        <w:t>第二节  优化现代金融服务体系</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475F2AC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聚焦全市“金融中心</w:t>
      </w:r>
      <w:r>
        <w:rPr>
          <w:rFonts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rPr>
        <w:t>区位优势，全面落实科技金融、绿色金融、普惠金融、养老金融、数字金融“五篇大文章”精神，构建多元化、专业化金融服务体系。充分发挥金融法庭专业职能，完善金融纠纷多元化解机制，设立专业法务专区，为金融机构和企业提供精准高效的司法保障。持续优化惠企资金“一站式”拨付流程，创新金融产品与服务，加强对科技创新、绿色发展、中小微企业等重点领域的金融支持，构建法治化、规范化、便利化的金融生态环境。</w:t>
      </w:r>
    </w:p>
    <w:p w14:paraId="69BBA3AD">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892" w:name="_Toc8913"/>
      <w:bookmarkStart w:id="893" w:name="_Toc31645"/>
      <w:bookmarkStart w:id="894" w:name="_Toc4555"/>
      <w:bookmarkStart w:id="895" w:name="_Toc16085"/>
      <w:bookmarkStart w:id="896" w:name="_Toc16385"/>
      <w:bookmarkStart w:id="897" w:name="_Toc8623"/>
      <w:bookmarkStart w:id="898" w:name="_Toc19010"/>
      <w:bookmarkStart w:id="899" w:name="_Toc17484"/>
      <w:bookmarkStart w:id="900" w:name="_Toc231562042"/>
      <w:bookmarkStart w:id="901" w:name="_Toc18068"/>
      <w:bookmarkStart w:id="902" w:name="_Toc18521"/>
      <w:bookmarkStart w:id="903" w:name="_Toc12333"/>
      <w:bookmarkStart w:id="904" w:name="_Toc21112"/>
      <w:bookmarkStart w:id="905" w:name="_Toc3458"/>
      <w:bookmarkStart w:id="906" w:name="_Toc62"/>
      <w:bookmarkStart w:id="907" w:name="_Toc8299"/>
      <w:bookmarkStart w:id="908" w:name="_Toc24440"/>
      <w:bookmarkStart w:id="909" w:name="_Toc29149"/>
      <w:r>
        <w:rPr>
          <w:rFonts w:hint="eastAsia" w:ascii="楷体_GB2312" w:hAnsi="楷体_GB2312" w:eastAsia="楷体_GB2312" w:cs="楷体_GB2312"/>
          <w:b w:val="0"/>
          <w:bCs w:val="0"/>
          <w:sz w:val="32"/>
          <w:szCs w:val="32"/>
          <w:highlight w:val="none"/>
        </w:rPr>
        <w:t>第三节  集聚科技成果转化服务业</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77CDA7E4">
      <w:pPr>
        <w:pageBreakBefore w:val="0"/>
        <w:kinsoku/>
        <w:wordWrap/>
        <w:overflowPunct/>
        <w:topLinePunct w:val="0"/>
        <w:autoSpaceDE/>
        <w:autoSpaceDN/>
        <w:bidi w:val="0"/>
        <w:spacing w:after="0" w:afterLines="0" w:line="560" w:lineRule="exact"/>
        <w:ind w:firstLine="640" w:firstLineChars="200"/>
        <w:rPr>
          <w:rFonts w:hint="eastAsia" w:ascii="楷体_GB2312" w:hAnsi="楷体_GB2312" w:eastAsia="楷体_GB2312" w:cs="楷体_GB2312"/>
          <w:b w:val="0"/>
          <w:bCs w:val="0"/>
          <w:sz w:val="32"/>
          <w:szCs w:val="32"/>
          <w:highlight w:val="none"/>
        </w:rPr>
      </w:pPr>
      <w:r>
        <w:rPr>
          <w:rFonts w:hint="eastAsia" w:ascii="仿宋_GB2312" w:hAnsi="仿宋_GB2312" w:eastAsia="仿宋_GB2312" w:cs="仿宋_GB2312"/>
          <w:b w:val="0"/>
          <w:bCs w:val="0"/>
          <w:sz w:val="32"/>
          <w:szCs w:val="32"/>
          <w:highlight w:val="none"/>
        </w:rPr>
        <w:t>推动产业链与创新链深度融合，围绕陶瓷新材料、微生物蛋白技术转化发展等共建创新联合体。打造特色产业中试平台，依托生物医药、电子信息等主导产业，支持链主企业、科研机构布局建设一批中试平台。鼓励企业面向产业链上下游和行业提供中试服务，研发机构依托自有设施、仪器设备、人才团队等科研资源拓展提升中试功能。</w:t>
      </w:r>
      <w:bookmarkStart w:id="910" w:name="_Toc26606"/>
      <w:bookmarkStart w:id="911" w:name="_Toc25882"/>
      <w:bookmarkStart w:id="912" w:name="_Toc231562043"/>
      <w:bookmarkStart w:id="913" w:name="_Toc21869"/>
      <w:bookmarkStart w:id="914" w:name="_Toc4898"/>
      <w:bookmarkStart w:id="915" w:name="_Toc7599"/>
      <w:bookmarkStart w:id="916" w:name="_Toc18080"/>
      <w:bookmarkStart w:id="917" w:name="_Toc32490"/>
      <w:bookmarkStart w:id="918" w:name="_Toc17356"/>
      <w:bookmarkStart w:id="919" w:name="_Toc26054"/>
      <w:bookmarkStart w:id="920" w:name="_Toc11055"/>
      <w:bookmarkStart w:id="921" w:name="_Toc24641"/>
      <w:bookmarkStart w:id="922" w:name="_Toc29166"/>
      <w:bookmarkStart w:id="923" w:name="_Toc5168"/>
    </w:p>
    <w:p w14:paraId="0E091018">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924" w:name="_Toc7011"/>
      <w:bookmarkStart w:id="925" w:name="_Toc10303"/>
      <w:bookmarkStart w:id="926" w:name="_Toc1203"/>
      <w:bookmarkStart w:id="927" w:name="_Toc14104"/>
      <w:r>
        <w:rPr>
          <w:rFonts w:hint="eastAsia" w:ascii="楷体_GB2312" w:hAnsi="楷体_GB2312" w:eastAsia="楷体_GB2312" w:cs="楷体_GB2312"/>
          <w:b w:val="0"/>
          <w:bCs w:val="0"/>
          <w:sz w:val="32"/>
          <w:szCs w:val="32"/>
          <w:highlight w:val="none"/>
        </w:rPr>
        <w:t>第四节  推动物流产业能级提升</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469C20F0">
      <w:pPr>
        <w:pageBreakBefore w:val="0"/>
        <w:widowControl/>
        <w:kinsoku/>
        <w:wordWrap/>
        <w:overflowPunct/>
        <w:topLinePunct w:val="0"/>
        <w:autoSpaceDE/>
        <w:autoSpaceDN/>
        <w:bidi w:val="0"/>
        <w:adjustRightInd/>
        <w:snapToGrid/>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依托昌江航道提升工程和鱼山码头物流园建设，完善水陆联运体系，规划建设500亩现代化仓储物流基地，完善多式联运设施，打造服务赣东北、辐射长江经济带的区域物流枢纽。</w:t>
      </w:r>
      <w:r>
        <w:rPr>
          <w:rFonts w:hint="eastAsia" w:ascii="仿宋_GB2312" w:hAnsi="仿宋_GB2312" w:eastAsia="仿宋_GB2312" w:cs="仿宋_GB2312"/>
          <w:b w:val="0"/>
          <w:bCs w:val="0"/>
          <w:sz w:val="32"/>
          <w:szCs w:val="32"/>
          <w:highlight w:val="none"/>
          <w:lang w:bidi="ar"/>
        </w:rPr>
        <w:t>支持太阳升、卡服等龙头企业做大做强，鼓励企业积极创建国家3A、4A、5A级物流企业和国家级三星级、四星级、五星级仓库。鼓励符合条件的企业和载体申报省级物流示范园区、物流基地和重点物流企业，投资建设物流基础设施补短板项目，争取国家、省级专项资金支持。</w:t>
      </w:r>
    </w:p>
    <w:p w14:paraId="2E942B9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0250D25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bookmarkStart w:id="928" w:name="_Toc29947"/>
      <w:bookmarkStart w:id="929" w:name="_Toc7405"/>
      <w:bookmarkStart w:id="930" w:name="_Toc30224"/>
      <w:r>
        <w:rPr>
          <w:rFonts w:hint="eastAsia" w:ascii="仿宋_GB2312" w:hAnsi="仿宋_GB2312" w:eastAsia="仿宋_GB2312" w:cs="仿宋_GB2312"/>
          <w:b w:val="0"/>
          <w:bCs w:val="0"/>
          <w:sz w:val="32"/>
          <w:szCs w:val="32"/>
          <w:highlight w:val="none"/>
        </w:rPr>
        <w:br w:type="page"/>
      </w:r>
    </w:p>
    <w:p w14:paraId="4DD55C14">
      <w:pPr>
        <w:keepNext w:val="0"/>
        <w:keepLines w:val="0"/>
        <w:pageBreakBefore w:val="0"/>
        <w:widowControl w:val="0"/>
        <w:kinsoku/>
        <w:wordWrap/>
        <w:overflowPunct/>
        <w:topLinePunct w:val="0"/>
        <w:autoSpaceDE/>
        <w:autoSpaceDN/>
        <w:bidi w:val="0"/>
        <w:adjustRightInd w:val="0"/>
        <w:snapToGrid w:val="0"/>
        <w:spacing w:after="0" w:afterLines="0" w:line="560" w:lineRule="exact"/>
        <w:jc w:val="center"/>
        <w:textAlignment w:val="auto"/>
        <w:outlineLvl w:val="0"/>
        <w:rPr>
          <w:rFonts w:hint="eastAsia" w:ascii="方正小标宋简体" w:eastAsia="方正小标宋简体"/>
          <w:b w:val="0"/>
          <w:bCs w:val="0"/>
          <w:sz w:val="36"/>
          <w:szCs w:val="36"/>
          <w:highlight w:val="none"/>
        </w:rPr>
      </w:pPr>
      <w:bookmarkStart w:id="931" w:name="_Toc31981"/>
      <w:bookmarkStart w:id="932" w:name="_Toc25225"/>
      <w:bookmarkStart w:id="933" w:name="_Toc8042"/>
      <w:bookmarkStart w:id="934" w:name="_Toc25420"/>
      <w:bookmarkStart w:id="935" w:name="_Toc30849"/>
      <w:bookmarkStart w:id="936" w:name="_Toc7333"/>
      <w:bookmarkStart w:id="937" w:name="_Toc1785"/>
      <w:bookmarkStart w:id="938" w:name="_Toc9741"/>
      <w:bookmarkStart w:id="939" w:name="_Toc20914"/>
      <w:bookmarkStart w:id="940" w:name="_Toc16122"/>
      <w:bookmarkStart w:id="941" w:name="_Toc231562044"/>
      <w:bookmarkStart w:id="942" w:name="_Toc11351"/>
      <w:bookmarkStart w:id="943" w:name="_Toc13849"/>
      <w:bookmarkStart w:id="944" w:name="_Toc23688"/>
      <w:bookmarkStart w:id="945" w:name="_Toc27423"/>
      <w:bookmarkStart w:id="946" w:name="_Toc30365"/>
      <w:bookmarkStart w:id="947" w:name="_Toc19822"/>
      <w:bookmarkStart w:id="948" w:name="_Toc28827"/>
      <w:r>
        <w:rPr>
          <w:rFonts w:hint="eastAsia" w:ascii="方正小标宋简体" w:eastAsia="方正小标宋简体"/>
          <w:b w:val="0"/>
          <w:bCs w:val="0"/>
          <w:sz w:val="36"/>
          <w:szCs w:val="36"/>
          <w:highlight w:val="none"/>
        </w:rPr>
        <w:t>第四篇  坚持创新驱动发展，建设高质量发展引擎</w:t>
      </w:r>
      <w:bookmarkEnd w:id="827"/>
      <w:bookmarkEnd w:id="828"/>
      <w:bookmarkEnd w:id="829"/>
      <w:bookmarkEnd w:id="830"/>
      <w:bookmarkEnd w:id="831"/>
      <w:bookmarkEnd w:id="832"/>
      <w:bookmarkEnd w:id="833"/>
      <w:bookmarkEnd w:id="834"/>
      <w:bookmarkEnd w:id="835"/>
      <w:bookmarkEnd w:id="836"/>
      <w:bookmarkEnd w:id="837"/>
      <w:bookmarkEnd w:id="838"/>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14:paraId="779A31B9">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0D3A55BE">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全面增强自主创新能力，扎实推动科技创新与产业创新深度融合。加强科技创新能力、强化企业主体地位、实施人才强区战略、优化创新生态，全面提升科技成果转化效能。构建多层次、多领域的创新体系，促进经济发展从要素驱动向创新驱动转变，谋求向“新”而行的昌江路径。</w:t>
      </w:r>
    </w:p>
    <w:p w14:paraId="3E579BD7">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949" w:name="_Toc19154"/>
      <w:bookmarkStart w:id="950" w:name="_Toc18627"/>
      <w:bookmarkStart w:id="951" w:name="_Toc29629"/>
      <w:bookmarkStart w:id="952" w:name="_Toc26453"/>
      <w:bookmarkStart w:id="953" w:name="_Toc32369"/>
      <w:bookmarkStart w:id="954" w:name="_Toc3011"/>
      <w:bookmarkStart w:id="955" w:name="_Toc30665"/>
      <w:bookmarkStart w:id="956" w:name="_Toc23371"/>
      <w:bookmarkStart w:id="957" w:name="_Toc231562045"/>
      <w:bookmarkStart w:id="958" w:name="_Toc16416"/>
      <w:bookmarkStart w:id="959" w:name="_Toc16562"/>
      <w:bookmarkStart w:id="960" w:name="_Toc9085"/>
      <w:bookmarkStart w:id="961" w:name="_Toc9878"/>
      <w:bookmarkStart w:id="962" w:name="_Toc3418"/>
      <w:bookmarkStart w:id="963" w:name="_Toc1783"/>
      <w:bookmarkStart w:id="964" w:name="_Toc4113"/>
      <w:bookmarkStart w:id="965" w:name="_Toc24394"/>
      <w:bookmarkStart w:id="966" w:name="_Toc22950"/>
      <w:r>
        <w:rPr>
          <w:rFonts w:hint="eastAsia" w:ascii="黑体" w:hAnsi="黑体" w:eastAsia="黑体"/>
          <w:b w:val="0"/>
          <w:bCs w:val="0"/>
          <w:sz w:val="32"/>
          <w:szCs w:val="32"/>
          <w:highlight w:val="none"/>
        </w:rPr>
        <w:t>第一章  提升科技创新能力</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14:paraId="5C065747">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967" w:name="_Toc17222"/>
      <w:bookmarkStart w:id="968" w:name="_Toc8841"/>
      <w:bookmarkStart w:id="969" w:name="_Toc20310"/>
      <w:bookmarkStart w:id="970" w:name="_Toc13814"/>
      <w:bookmarkStart w:id="971" w:name="_Toc17396"/>
      <w:bookmarkStart w:id="972" w:name="_Toc17413"/>
      <w:bookmarkStart w:id="973" w:name="_Toc6973"/>
      <w:bookmarkStart w:id="974" w:name="_Toc8997"/>
      <w:bookmarkStart w:id="975" w:name="_Toc4111"/>
      <w:bookmarkStart w:id="976" w:name="_Toc28718"/>
      <w:bookmarkStart w:id="977" w:name="_Toc16540"/>
      <w:bookmarkStart w:id="978" w:name="_Toc4430"/>
      <w:bookmarkStart w:id="979" w:name="_Toc231562046"/>
      <w:bookmarkStart w:id="980" w:name="_Toc29386"/>
      <w:bookmarkStart w:id="981" w:name="_Toc32067"/>
      <w:bookmarkStart w:id="982" w:name="_Toc12825"/>
      <w:bookmarkStart w:id="983" w:name="_Toc31622"/>
      <w:bookmarkStart w:id="984" w:name="_Toc19314"/>
      <w:r>
        <w:rPr>
          <w:rFonts w:hint="eastAsia" w:ascii="楷体_GB2312" w:hAnsi="楷体_GB2312" w:eastAsia="楷体_GB2312" w:cs="楷体_GB2312"/>
          <w:b w:val="0"/>
          <w:bCs w:val="0"/>
          <w:sz w:val="32"/>
          <w:szCs w:val="32"/>
          <w:highlight w:val="none"/>
        </w:rPr>
        <w:t>第一节  加强关键技术攻关</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3D676D2C">
      <w:pPr>
        <w:pageBreakBefore w:val="0"/>
        <w:widowControl/>
        <w:kinsoku/>
        <w:wordWrap/>
        <w:overflowPunct/>
        <w:topLinePunct w:val="0"/>
        <w:autoSpaceDE/>
        <w:autoSpaceDN/>
        <w:bidi w:val="0"/>
        <w:adjustRightInd/>
        <w:snapToGrid/>
        <w:spacing w:after="0" w:afterLines="0" w:line="560" w:lineRule="exact"/>
        <w:ind w:firstLine="640" w:firstLineChars="200"/>
        <w:rPr>
          <w:rFonts w:hint="eastAsia" w:ascii="仿宋_GB2312" w:hAnsi="仿宋_GB2312" w:eastAsia="仿宋_GB2312" w:cs="仿宋_GB2312"/>
          <w:b w:val="0"/>
          <w:bCs w:val="0"/>
          <w:sz w:val="32"/>
          <w:szCs w:val="32"/>
          <w:highlight w:val="none"/>
          <w:lang w:bidi="ar"/>
        </w:rPr>
      </w:pPr>
      <w:r>
        <w:rPr>
          <w:rFonts w:hint="eastAsia" w:ascii="仿宋_GB2312" w:hAnsi="仿宋_GB2312" w:eastAsia="仿宋_GB2312" w:cs="仿宋_GB2312"/>
          <w:b w:val="0"/>
          <w:bCs w:val="0"/>
          <w:sz w:val="32"/>
          <w:szCs w:val="32"/>
          <w:highlight w:val="none"/>
        </w:rPr>
        <w:t>紧密衔接国家重大科技战略部署，积极对接省基础研究“2030启航计划”、省科技重大专项“2030先锋工程”，</w:t>
      </w:r>
      <w:r>
        <w:rPr>
          <w:rFonts w:hint="eastAsia" w:ascii="仿宋_GB2312" w:hAnsi="仿宋_GB2312" w:eastAsia="仿宋_GB2312" w:cs="仿宋_GB2312"/>
          <w:b w:val="0"/>
          <w:bCs w:val="0"/>
          <w:sz w:val="32"/>
          <w:szCs w:val="32"/>
          <w:highlight w:val="none"/>
          <w:lang w:bidi="ar"/>
        </w:rPr>
        <w:t>聚焦主导产业和未来产业关键领域，实施精准攻关，打通技术转化“最后一公里”。重点支持富祥科技深化微生物蛋白生产工艺研发，推动丝状真菌微生物蛋白工业化生产技术优化升级，拓展其在食品、饲料等领域的应用场景，巩固在全国生物制造领域的领先地位；围绕VC、FEC等电解液添加剂制造工艺开展降本增效攻关，助力锂电池行业成本变革。依托博思半导体、乾富半导体等企业，突破芯片制造、封装、测试等核心技术，扩大产业规模，完善产业链条。围绕“陶瓷+潮玩”“陶瓷+数字科技”，攻关AI陶瓷潮玩研发、陶瓷数字化生产等技术，推动传统陶瓷工艺与现代科技融合创新发展。</w:t>
      </w:r>
    </w:p>
    <w:p w14:paraId="2B33FF2B">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985" w:name="_Toc10597"/>
      <w:bookmarkStart w:id="986" w:name="_Toc24080"/>
      <w:bookmarkStart w:id="987" w:name="_Toc7635"/>
      <w:bookmarkStart w:id="988" w:name="_Toc13676"/>
      <w:bookmarkStart w:id="989" w:name="_Toc32627"/>
      <w:bookmarkStart w:id="990" w:name="_Toc23407"/>
      <w:bookmarkStart w:id="991" w:name="_Toc7680"/>
      <w:bookmarkStart w:id="992" w:name="_Toc32036"/>
      <w:bookmarkStart w:id="993" w:name="_Toc1391"/>
      <w:bookmarkStart w:id="994" w:name="_Toc26717"/>
      <w:bookmarkStart w:id="995" w:name="_Toc12649"/>
      <w:bookmarkStart w:id="996" w:name="_Toc18341"/>
      <w:bookmarkStart w:id="997" w:name="_Toc6752"/>
      <w:bookmarkStart w:id="998" w:name="_Toc14546"/>
      <w:bookmarkStart w:id="999" w:name="_Toc231562047"/>
      <w:bookmarkStart w:id="1000" w:name="_Toc32222"/>
      <w:bookmarkStart w:id="1001" w:name="_Toc22185"/>
      <w:bookmarkStart w:id="1002" w:name="_Toc10920"/>
      <w:r>
        <w:rPr>
          <w:rFonts w:hint="eastAsia" w:ascii="楷体_GB2312" w:hAnsi="楷体_GB2312" w:eastAsia="楷体_GB2312" w:cs="楷体_GB2312"/>
          <w:b w:val="0"/>
          <w:bCs w:val="0"/>
          <w:sz w:val="32"/>
          <w:szCs w:val="32"/>
          <w:highlight w:val="none"/>
        </w:rPr>
        <w:t>第二节  构建高能级特色创新平台体系</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7E056AC3">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持续深化企业与高校、大院大所合作机制，强化与北航江西研究院景德镇分院、哈工大特种陶瓷研究所景德镇研究中心等现有高能级科技创新平台相关合作，创新运营机制。围绕特色优势产业，加快培育建设一批专业化的技术创新平台。统筹布局概念验证中心、中试熟化平台、检测认证机构等产业技术服务平台，建成功能完善的科技企业孵化基地，形成从应用研究到成果产业化的全链条平台支撑。</w:t>
      </w:r>
    </w:p>
    <w:p w14:paraId="0862CB88">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003" w:name="_Toc23877"/>
      <w:bookmarkStart w:id="1004" w:name="_Toc3154"/>
      <w:bookmarkStart w:id="1005" w:name="_Toc5492"/>
      <w:bookmarkStart w:id="1006" w:name="_Toc22161"/>
      <w:bookmarkStart w:id="1007" w:name="_Toc231562048"/>
      <w:bookmarkStart w:id="1008" w:name="_Toc30125"/>
      <w:bookmarkStart w:id="1009" w:name="_Toc9941"/>
      <w:bookmarkStart w:id="1010" w:name="_Toc30792"/>
      <w:bookmarkStart w:id="1011" w:name="_Toc7208"/>
      <w:bookmarkStart w:id="1012" w:name="_Toc31840"/>
      <w:bookmarkStart w:id="1013" w:name="_Toc19742"/>
      <w:bookmarkStart w:id="1014" w:name="_Toc1138"/>
      <w:bookmarkStart w:id="1015" w:name="_Toc16954"/>
      <w:bookmarkStart w:id="1016" w:name="_Toc19702"/>
      <w:bookmarkStart w:id="1017" w:name="_Toc5244"/>
      <w:bookmarkStart w:id="1018" w:name="_Toc12321"/>
      <w:bookmarkStart w:id="1019" w:name="_Toc22529"/>
      <w:bookmarkStart w:id="1020" w:name="_Toc2973"/>
      <w:r>
        <w:rPr>
          <w:rFonts w:hint="eastAsia" w:ascii="楷体_GB2312" w:hAnsi="楷体_GB2312" w:eastAsia="楷体_GB2312" w:cs="楷体_GB2312"/>
          <w:b w:val="0"/>
          <w:bCs w:val="0"/>
          <w:sz w:val="32"/>
          <w:szCs w:val="32"/>
          <w:highlight w:val="none"/>
        </w:rPr>
        <w:t>第三节  支持科技创新开放合作</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14:paraId="52550C1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主动融入全球和区域创新网络，深化与京津冀、长三角、粤港澳大湾区等创新高地的对接合作，持续推进与G60科创走廊的协同创新。积极探索“飞地研发”、异地孵化等跨区域合作模式，持续深化“孵化在长三角、转换在昌江区”。</w:t>
      </w:r>
      <w:r>
        <w:rPr>
          <w:rFonts w:ascii="仿宋_GB2312" w:hAnsi="仿宋_GB2312" w:eastAsia="仿宋_GB2312" w:cs="仿宋_GB2312"/>
          <w:b w:val="0"/>
          <w:bCs w:val="0"/>
          <w:sz w:val="32"/>
          <w:szCs w:val="32"/>
          <w:highlight w:val="none"/>
        </w:rPr>
        <w:t>鼓励企业、科研机构加强区域科技交流，支持龙头企业开展跨区域、</w:t>
      </w:r>
      <w:r>
        <w:rPr>
          <w:rFonts w:hint="eastAsia" w:ascii="仿宋_GB2312" w:hAnsi="仿宋_GB2312" w:eastAsia="仿宋_GB2312" w:cs="仿宋_GB2312"/>
          <w:b w:val="0"/>
          <w:bCs w:val="0"/>
          <w:sz w:val="32"/>
          <w:szCs w:val="32"/>
          <w:highlight w:val="none"/>
        </w:rPr>
        <w:t>国际</w:t>
      </w:r>
      <w:r>
        <w:rPr>
          <w:rFonts w:ascii="仿宋_GB2312" w:hAnsi="仿宋_GB2312" w:eastAsia="仿宋_GB2312" w:cs="仿宋_GB2312"/>
          <w:b w:val="0"/>
          <w:bCs w:val="0"/>
          <w:sz w:val="32"/>
          <w:szCs w:val="32"/>
          <w:highlight w:val="none"/>
        </w:rPr>
        <w:t>技术贸易与项目合作。</w:t>
      </w:r>
    </w:p>
    <w:p w14:paraId="5C486822">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1021" w:name="_Toc31482"/>
      <w:bookmarkStart w:id="1022" w:name="_Toc16940"/>
      <w:bookmarkStart w:id="1023" w:name="_Toc22994"/>
      <w:bookmarkStart w:id="1024" w:name="_Toc11420"/>
      <w:bookmarkStart w:id="1025" w:name="_Toc16482"/>
      <w:bookmarkStart w:id="1026" w:name="_Toc18968"/>
      <w:bookmarkStart w:id="1027" w:name="_Toc15747"/>
      <w:bookmarkStart w:id="1028" w:name="_Toc6560"/>
      <w:bookmarkStart w:id="1029" w:name="_Toc9968"/>
      <w:bookmarkStart w:id="1030" w:name="_Toc31067"/>
      <w:bookmarkStart w:id="1031" w:name="_Toc24523"/>
      <w:bookmarkStart w:id="1032" w:name="_Toc10470"/>
      <w:bookmarkStart w:id="1033" w:name="_Toc29197"/>
      <w:bookmarkStart w:id="1034" w:name="_Toc231562049"/>
      <w:bookmarkStart w:id="1035" w:name="_Toc2848"/>
      <w:bookmarkStart w:id="1036" w:name="_Toc16337"/>
      <w:bookmarkStart w:id="1037" w:name="_Toc556"/>
      <w:bookmarkStart w:id="1038" w:name="_Toc10449"/>
      <w:r>
        <w:rPr>
          <w:rFonts w:hint="eastAsia" w:ascii="黑体" w:hAnsi="黑体" w:eastAsia="黑体"/>
          <w:b w:val="0"/>
          <w:bCs w:val="0"/>
          <w:sz w:val="32"/>
          <w:szCs w:val="32"/>
          <w:highlight w:val="none"/>
        </w:rPr>
        <w:t>第二章  扎实推动创新链产业链融合</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3B1DE196">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039" w:name="_Toc19449"/>
      <w:bookmarkStart w:id="1040" w:name="_Toc7869"/>
      <w:bookmarkStart w:id="1041" w:name="_Toc25600"/>
      <w:bookmarkStart w:id="1042" w:name="_Toc24361"/>
      <w:bookmarkStart w:id="1043" w:name="_Toc31284"/>
      <w:bookmarkStart w:id="1044" w:name="_Toc15951"/>
      <w:bookmarkStart w:id="1045" w:name="_Toc7433"/>
      <w:bookmarkStart w:id="1046" w:name="_Toc231562050"/>
      <w:bookmarkStart w:id="1047" w:name="_Toc215695231"/>
      <w:bookmarkStart w:id="1048" w:name="_Toc7038"/>
      <w:bookmarkStart w:id="1049" w:name="_Toc18272"/>
      <w:bookmarkStart w:id="1050" w:name="_Toc22846"/>
      <w:bookmarkStart w:id="1051" w:name="_Toc8347"/>
      <w:bookmarkStart w:id="1052" w:name="_Toc31076"/>
      <w:bookmarkStart w:id="1053" w:name="_Toc26172"/>
      <w:bookmarkStart w:id="1054" w:name="_Toc8828"/>
      <w:bookmarkStart w:id="1055" w:name="_Toc4460"/>
      <w:bookmarkStart w:id="1056" w:name="_Toc30442"/>
      <w:bookmarkStart w:id="1057" w:name="_Toc25375"/>
      <w:bookmarkStart w:id="1058" w:name="_Toc15986"/>
      <w:bookmarkStart w:id="1059" w:name="_Toc3624"/>
      <w:bookmarkStart w:id="1060" w:name="_Toc29510"/>
      <w:bookmarkStart w:id="1061" w:name="_Toc214611238"/>
      <w:bookmarkStart w:id="1062" w:name="_Toc19823"/>
      <w:bookmarkStart w:id="1063" w:name="_Toc31324"/>
      <w:bookmarkStart w:id="1064" w:name="_Toc21083"/>
      <w:bookmarkStart w:id="1065" w:name="_Toc29707"/>
      <w:bookmarkStart w:id="1066" w:name="_Toc20190"/>
      <w:bookmarkStart w:id="1067" w:name="_Toc11775"/>
      <w:bookmarkStart w:id="1068" w:name="_Toc5781"/>
      <w:bookmarkStart w:id="1069" w:name="_Toc8503"/>
      <w:bookmarkStart w:id="1070" w:name="_Toc22541"/>
      <w:bookmarkStart w:id="1071" w:name="_Toc7214"/>
      <w:r>
        <w:rPr>
          <w:rFonts w:hint="eastAsia" w:ascii="楷体_GB2312" w:hAnsi="楷体_GB2312" w:eastAsia="楷体_GB2312" w:cs="楷体_GB2312"/>
          <w:b w:val="0"/>
          <w:bCs w:val="0"/>
          <w:sz w:val="32"/>
          <w:szCs w:val="32"/>
          <w:highlight w:val="none"/>
        </w:rPr>
        <w:t>第一节  强化企业创新主体地位</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0162BC6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建立分层分类的创新型企业培育体系。构建科技型龙头企业、高新技术企业、专精特新企业、科技型中小企业的企业梯队。支持龙头企业牵头组建创新联合体，联合中小企业、高校及科研机构承担重大科技任务，形成协同攻关合力。实施高新技术企业和科技型中小企业“提质增效行动”，建立靶向培育库，加大对高新技术企业、专精特新企业的精准扶持力度。建立协同工作机制，深化高新技术企业认定、创新型中小企业申报业务指导。</w:t>
      </w:r>
    </w:p>
    <w:p w14:paraId="780CA436">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引导企业加大研发投入。开展研发费用“清零倍增”专项行动，指导企业规范研发台账管理，力争全社会研发经费投入占GDP比重持续提升。强化企业创新要素供给，实施企业“双倍增”计划，建立创新资源定向输送机制。落实研发费用加计扣除政策，设立科技创新引导基金，推动创新资源向企业集聚、创新政策向企业倾斜、创新人才向企业流动。</w:t>
      </w:r>
    </w:p>
    <w:p w14:paraId="48658764">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优化科技服务模式。</w:t>
      </w:r>
      <w:r>
        <w:rPr>
          <w:rFonts w:hint="eastAsia" w:ascii="仿宋_GB2312" w:hAnsi="仿宋_GB2312" w:eastAsia="仿宋_GB2312" w:cs="仿宋_GB2312"/>
          <w:b w:val="0"/>
          <w:bCs w:val="0"/>
          <w:sz w:val="32"/>
          <w:szCs w:val="32"/>
          <w:highlight w:val="none"/>
          <w:lang w:bidi="ar"/>
        </w:rPr>
        <w:t>建设昌江区科技创新服务中心，整合各类服务资源，为企业提供科技项目申报、高企认定、技术合同登记等“一站式”服务。</w:t>
      </w:r>
      <w:r>
        <w:rPr>
          <w:rFonts w:hint="eastAsia" w:ascii="仿宋_GB2312" w:hAnsi="仿宋_GB2312" w:eastAsia="仿宋_GB2312" w:cs="仿宋_GB2312"/>
          <w:b w:val="0"/>
          <w:bCs w:val="0"/>
          <w:sz w:val="32"/>
          <w:szCs w:val="32"/>
          <w:highlight w:val="none"/>
        </w:rPr>
        <w:t>推行“一企一策”精准服务，建立企业需求清单与服务台账，开展不定期上门服务，切实解决企业发展难题。着力构建覆盖企业全生命周期的专业化服务体系，搭建公共技术研发、检验检测等服务平台，推广“共享智造”模式。</w:t>
      </w:r>
    </w:p>
    <w:p w14:paraId="47192A9B">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072" w:name="_Toc14581"/>
      <w:bookmarkStart w:id="1073" w:name="_Toc22555"/>
      <w:bookmarkStart w:id="1074" w:name="_Toc215695233"/>
      <w:bookmarkStart w:id="1075" w:name="_Toc214611240"/>
      <w:bookmarkStart w:id="1076" w:name="_Toc5420"/>
      <w:bookmarkStart w:id="1077" w:name="_Toc5130"/>
      <w:bookmarkStart w:id="1078" w:name="_Toc27222"/>
      <w:bookmarkStart w:id="1079" w:name="_Toc3522"/>
      <w:bookmarkStart w:id="1080" w:name="_Toc10388"/>
      <w:bookmarkStart w:id="1081" w:name="_Toc26998"/>
      <w:bookmarkStart w:id="1082" w:name="_Toc29578"/>
      <w:bookmarkStart w:id="1083" w:name="_Toc28142"/>
      <w:bookmarkStart w:id="1084" w:name="_Toc4050"/>
      <w:bookmarkStart w:id="1085" w:name="_Toc21718"/>
      <w:bookmarkStart w:id="1086" w:name="_Toc18234"/>
      <w:bookmarkStart w:id="1087" w:name="_Toc5955"/>
      <w:bookmarkStart w:id="1088" w:name="_Toc5687"/>
      <w:bookmarkStart w:id="1089" w:name="_Toc15927"/>
      <w:bookmarkStart w:id="1090" w:name="_Toc955"/>
      <w:bookmarkStart w:id="1091" w:name="_Toc17054"/>
      <w:bookmarkStart w:id="1092" w:name="_Toc11588"/>
      <w:bookmarkStart w:id="1093" w:name="_Toc349"/>
      <w:bookmarkStart w:id="1094" w:name="_Toc2733"/>
      <w:bookmarkStart w:id="1095" w:name="_Toc18481"/>
      <w:bookmarkStart w:id="1096" w:name="_Toc231562051"/>
      <w:bookmarkStart w:id="1097" w:name="_Toc1374"/>
      <w:bookmarkStart w:id="1098" w:name="_Toc23124"/>
      <w:bookmarkStart w:id="1099" w:name="_Toc26119"/>
      <w:bookmarkStart w:id="1100" w:name="_Toc5541"/>
      <w:bookmarkStart w:id="1101" w:name="_Toc5930"/>
      <w:bookmarkStart w:id="1102" w:name="_Toc10167"/>
      <w:bookmarkStart w:id="1103" w:name="_Toc22618"/>
      <w:bookmarkStart w:id="1104" w:name="_Toc14052"/>
      <w:r>
        <w:rPr>
          <w:rFonts w:hint="eastAsia" w:ascii="楷体_GB2312" w:hAnsi="楷体_GB2312" w:eastAsia="楷体_GB2312" w:cs="楷体_GB2312"/>
          <w:b w:val="0"/>
          <w:bCs w:val="0"/>
          <w:sz w:val="32"/>
          <w:szCs w:val="32"/>
          <w:highlight w:val="none"/>
        </w:rPr>
        <w:t xml:space="preserve">第二节  </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rPr>
          <w:rFonts w:hint="eastAsia" w:ascii="楷体_GB2312" w:hAnsi="楷体_GB2312" w:eastAsia="楷体_GB2312" w:cs="楷体_GB2312"/>
          <w:b w:val="0"/>
          <w:bCs w:val="0"/>
          <w:sz w:val="32"/>
          <w:szCs w:val="32"/>
          <w:highlight w:val="none"/>
        </w:rPr>
        <w:t>深化产学研用融合</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77DEB4B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校企协同机制。深化“企业出题、专家答题”的协同创新机制，促进市场需求与科研供给高效对接，推动关键医药中间体等领域技术攻关与转化。鼓励企业与高校、科研机构、院士团队共建中试基地，推动仪器设备开放共享，完善概念验证、中试熟化等中间关键环节。</w:t>
      </w:r>
    </w:p>
    <w:p w14:paraId="52034863">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提升创新政策落实力度。优化科技奖励与科技成果转化后补助政策，扩大政策宣传覆盖面，确保惠企政策精准直达，激发企业创新内生动力。完善“政策包+服务链”支持模式，围绕企业科技创新需求，在研发补助、设备更新、平台建设、人才引进等方面提供精准化政策扶持。</w:t>
      </w:r>
    </w:p>
    <w:p w14:paraId="5E834FD9">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105" w:name="_Toc22398"/>
      <w:bookmarkStart w:id="1106" w:name="_Toc20351"/>
      <w:bookmarkStart w:id="1107" w:name="_Toc28016"/>
      <w:bookmarkStart w:id="1108" w:name="_Toc231562052"/>
      <w:bookmarkStart w:id="1109" w:name="_Toc12453"/>
      <w:bookmarkStart w:id="1110" w:name="_Toc1757"/>
      <w:bookmarkStart w:id="1111" w:name="_Toc22808"/>
      <w:bookmarkStart w:id="1112" w:name="_Toc6887"/>
      <w:bookmarkStart w:id="1113" w:name="_Toc19201"/>
      <w:bookmarkStart w:id="1114" w:name="_Toc26793"/>
      <w:bookmarkStart w:id="1115" w:name="_Toc3923"/>
      <w:bookmarkStart w:id="1116" w:name="_Toc5031"/>
      <w:bookmarkStart w:id="1117" w:name="_Toc7773"/>
      <w:bookmarkStart w:id="1118" w:name="_Toc5667"/>
      <w:bookmarkStart w:id="1119" w:name="_Toc18726"/>
      <w:bookmarkStart w:id="1120" w:name="_Toc31140"/>
      <w:bookmarkStart w:id="1121" w:name="_Toc6008"/>
      <w:bookmarkStart w:id="1122" w:name="_Toc12026"/>
      <w:r>
        <w:rPr>
          <w:rFonts w:hint="eastAsia" w:ascii="楷体_GB2312" w:hAnsi="楷体_GB2312" w:eastAsia="楷体_GB2312" w:cs="楷体_GB2312"/>
          <w:b w:val="0"/>
          <w:bCs w:val="0"/>
          <w:sz w:val="32"/>
          <w:szCs w:val="32"/>
          <w:highlight w:val="none"/>
        </w:rPr>
        <w:t>第三节  完善成果转化体系</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4C46C81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构建科技成果转化战略布局。聚焦生物医药、新能源、人工智能等具有颠覆性潜力和全局性带动作用的领域，部署全链条协同的重大科技专项和产业培育项目。推动项目、资金、人才等资源向重点创新平台集聚，形成围绕产业谋创新、依托平台促转化的良性机制。</w:t>
      </w:r>
    </w:p>
    <w:p w14:paraId="218D52A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支持专利技术产业化。鼓励企业将具有自主知识产权的专利技术转化为现实生产力，推动先进芯片、下一代钠电池储能等技术加速落地与规模化量产。鼓励龙头企业参与行业及国家标准制定，抢占行业发展话语权，打造具有核心竞争力的“硬核产品”。有效缩短科技成果从实验室走向生产线、迈向大市场的周期。</w:t>
      </w:r>
    </w:p>
    <w:p w14:paraId="56734D0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rPr>
        <w:t>完善概念验证与中试熟化服务体系。完善概念验证、中试熟化、知识产权运营、投融资对接等环节，建设概念验证中心和中试平台，优化科技成果的成熟度评价、工艺验证、小批量试制等服务，降低成果转化的技术风险和成本。鼓励高校、科研机构与企业共建中试基地，推动仪器设备开放共享，完善科技成果转化的中间关键环节</w:t>
      </w:r>
      <w:r>
        <w:rPr>
          <w:rFonts w:hint="eastAsia" w:ascii="仿宋_GB2312" w:hAnsi="仿宋_GB2312" w:eastAsia="仿宋_GB2312" w:cs="仿宋_GB2312"/>
          <w:b w:val="0"/>
          <w:bCs w:val="0"/>
          <w:sz w:val="32"/>
          <w:szCs w:val="32"/>
          <w:highlight w:val="none"/>
          <w:lang w:eastAsia="zh-CN"/>
        </w:rPr>
        <w:t>。</w:t>
      </w:r>
    </w:p>
    <w:p w14:paraId="69344979">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1123" w:name="_Toc24041"/>
      <w:bookmarkStart w:id="1124" w:name="_Toc231562053"/>
      <w:bookmarkStart w:id="1125" w:name="_Toc215695237"/>
      <w:bookmarkStart w:id="1126" w:name="_Toc27451"/>
      <w:bookmarkStart w:id="1127" w:name="_Toc29519"/>
      <w:bookmarkStart w:id="1128" w:name="_Toc3996"/>
      <w:bookmarkStart w:id="1129" w:name="_Toc28489"/>
      <w:bookmarkStart w:id="1130" w:name="_Toc13214"/>
      <w:bookmarkStart w:id="1131" w:name="_Toc214611244"/>
      <w:bookmarkStart w:id="1132" w:name="_Toc8052"/>
      <w:bookmarkStart w:id="1133" w:name="_Toc17545"/>
      <w:bookmarkStart w:id="1134" w:name="_Toc17842"/>
      <w:bookmarkStart w:id="1135" w:name="_Toc27374"/>
      <w:bookmarkStart w:id="1136" w:name="_Toc6988"/>
      <w:bookmarkStart w:id="1137" w:name="_Toc7226"/>
      <w:bookmarkStart w:id="1138" w:name="_Toc11485"/>
      <w:bookmarkStart w:id="1139" w:name="_Toc26792"/>
      <w:bookmarkStart w:id="1140" w:name="_Toc5017"/>
      <w:bookmarkStart w:id="1141" w:name="_Toc25367"/>
      <w:bookmarkStart w:id="1142" w:name="_Toc927"/>
      <w:bookmarkStart w:id="1143" w:name="_Toc6097"/>
      <w:bookmarkStart w:id="1144" w:name="_Toc22019"/>
      <w:bookmarkStart w:id="1145" w:name="_Toc16559"/>
      <w:bookmarkStart w:id="1146" w:name="_Toc29286"/>
      <w:bookmarkStart w:id="1147" w:name="_Toc23038"/>
      <w:bookmarkStart w:id="1148" w:name="_Toc8213"/>
      <w:bookmarkStart w:id="1149" w:name="_Toc4435"/>
      <w:bookmarkStart w:id="1150" w:name="_Toc32244"/>
      <w:bookmarkStart w:id="1151" w:name="_Toc10221"/>
      <w:bookmarkStart w:id="1152" w:name="_Toc12350"/>
      <w:bookmarkStart w:id="1153" w:name="_Toc8072"/>
      <w:bookmarkStart w:id="1154" w:name="_Toc25028"/>
      <w:bookmarkStart w:id="1155" w:name="_Toc21409"/>
      <w:r>
        <w:rPr>
          <w:rFonts w:hint="eastAsia" w:ascii="黑体" w:hAnsi="黑体" w:eastAsia="黑体"/>
          <w:b w:val="0"/>
          <w:bCs w:val="0"/>
          <w:sz w:val="32"/>
          <w:szCs w:val="32"/>
          <w:highlight w:val="none"/>
        </w:rPr>
        <w:t>第三章  培育活力创新生态</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14:paraId="15F3A344">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156" w:name="_Toc3817"/>
      <w:bookmarkStart w:id="1157" w:name="_Toc214611245"/>
      <w:bookmarkStart w:id="1158" w:name="_Toc13636"/>
      <w:bookmarkStart w:id="1159" w:name="_Toc26269"/>
      <w:bookmarkStart w:id="1160" w:name="_Toc2835"/>
      <w:bookmarkStart w:id="1161" w:name="_Toc10794"/>
      <w:bookmarkStart w:id="1162" w:name="_Toc30431"/>
      <w:bookmarkStart w:id="1163" w:name="_Toc13667"/>
      <w:bookmarkStart w:id="1164" w:name="_Toc32272"/>
      <w:bookmarkStart w:id="1165" w:name="_Toc13417"/>
      <w:bookmarkStart w:id="1166" w:name="_Toc12140"/>
      <w:bookmarkStart w:id="1167" w:name="_Toc21814"/>
      <w:bookmarkStart w:id="1168" w:name="_Toc215695238"/>
      <w:bookmarkStart w:id="1169" w:name="_Toc4843"/>
      <w:bookmarkStart w:id="1170" w:name="_Toc10918"/>
      <w:bookmarkStart w:id="1171" w:name="_Toc32151"/>
      <w:bookmarkStart w:id="1172" w:name="_Toc417"/>
      <w:bookmarkStart w:id="1173" w:name="_Toc8163"/>
      <w:bookmarkStart w:id="1174" w:name="_Toc9205"/>
      <w:bookmarkStart w:id="1175" w:name="_Toc1535"/>
      <w:bookmarkStart w:id="1176" w:name="_Toc11069"/>
      <w:bookmarkStart w:id="1177" w:name="_Toc8489"/>
      <w:bookmarkStart w:id="1178" w:name="_Toc27955"/>
      <w:bookmarkStart w:id="1179" w:name="_Toc25779"/>
      <w:bookmarkStart w:id="1180" w:name="_Toc11694"/>
      <w:bookmarkStart w:id="1181" w:name="_Toc25804"/>
      <w:bookmarkStart w:id="1182" w:name="_Toc231562054"/>
      <w:bookmarkStart w:id="1183" w:name="_Toc32066"/>
      <w:bookmarkStart w:id="1184" w:name="_Toc13573"/>
      <w:bookmarkStart w:id="1185" w:name="_Toc8353"/>
      <w:bookmarkStart w:id="1186" w:name="_Toc31986"/>
      <w:bookmarkStart w:id="1187" w:name="_Toc16913"/>
      <w:bookmarkStart w:id="1188" w:name="_Toc53"/>
      <w:r>
        <w:rPr>
          <w:rFonts w:hint="eastAsia" w:ascii="楷体_GB2312" w:hAnsi="楷体_GB2312" w:eastAsia="楷体_GB2312" w:cs="楷体_GB2312"/>
          <w:b w:val="0"/>
          <w:bCs w:val="0"/>
          <w:sz w:val="32"/>
          <w:szCs w:val="32"/>
          <w:highlight w:val="none"/>
        </w:rPr>
        <w:t xml:space="preserve">第一节  </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r>
        <w:rPr>
          <w:rFonts w:hint="eastAsia" w:ascii="楷体_GB2312" w:hAnsi="楷体_GB2312" w:eastAsia="楷体_GB2312" w:cs="楷体_GB2312"/>
          <w:b w:val="0"/>
          <w:bCs w:val="0"/>
          <w:sz w:val="32"/>
          <w:szCs w:val="32"/>
          <w:highlight w:val="none"/>
        </w:rPr>
        <w:t>强化要素保障</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3ECB284B">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多元化创新资金保障。构建政府、银行、企业协同的多元化资金保障机制，建立健全覆盖科技创新全链条的要素保障体系。确立以政府财政资金为引导、企业投入为主体、社会与金融资本为重要补充的研发投入格局，为科技创新提供持续稳定支持。深入推进“科贷通”等科技金融业务，优化流程、提升效率，切实缓解企业融资难题。依托区域金融优势，鼓励科技金融探索新模式、开发新产品，积极发展知识产权质押融资、科技保险等金融工具，引导社会资本更多投向科技成果转化与产业化项目。</w:t>
      </w:r>
    </w:p>
    <w:p w14:paraId="6A82CDF9">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专业化科技服务体系。培育高水平技术经理人队伍，健全技术转移机构服务体系，提升科技成果转化的专业服务能力。完善覆盖人才、平台、数据等关键创新要素的供给机制，强化政策协同与资源整合。构建全方位、多层次的创新生态支撑体系，为各类创新主体提供精准、高效的服务保障。</w:t>
      </w:r>
    </w:p>
    <w:p w14:paraId="0D7586FC">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189" w:name="_Toc342"/>
      <w:bookmarkStart w:id="1190" w:name="_Toc9126"/>
      <w:bookmarkStart w:id="1191" w:name="_Toc1587"/>
      <w:bookmarkStart w:id="1192" w:name="_Toc18183"/>
      <w:bookmarkStart w:id="1193" w:name="_Toc231562055"/>
      <w:bookmarkStart w:id="1194" w:name="_Toc16745"/>
      <w:bookmarkStart w:id="1195" w:name="_Toc13597"/>
      <w:bookmarkStart w:id="1196" w:name="_Toc21947"/>
      <w:bookmarkStart w:id="1197" w:name="_Toc28824"/>
      <w:bookmarkStart w:id="1198" w:name="_Toc11929"/>
      <w:bookmarkStart w:id="1199" w:name="_Toc1296"/>
      <w:bookmarkStart w:id="1200" w:name="_Toc4273"/>
      <w:bookmarkStart w:id="1201" w:name="_Toc12082"/>
      <w:bookmarkStart w:id="1202" w:name="_Toc8041"/>
      <w:bookmarkStart w:id="1203" w:name="_Toc5982"/>
      <w:bookmarkStart w:id="1204" w:name="_Toc3830"/>
      <w:bookmarkStart w:id="1205" w:name="_Toc2899"/>
      <w:bookmarkStart w:id="1206" w:name="_Toc214611246"/>
      <w:bookmarkStart w:id="1207" w:name="_Toc27338"/>
      <w:bookmarkStart w:id="1208" w:name="_Toc22775"/>
      <w:bookmarkStart w:id="1209" w:name="_Toc5831"/>
      <w:bookmarkStart w:id="1210" w:name="_Toc6511"/>
      <w:bookmarkStart w:id="1211" w:name="_Toc23650"/>
      <w:bookmarkStart w:id="1212" w:name="_Toc30542"/>
      <w:bookmarkStart w:id="1213" w:name="_Toc30170"/>
      <w:bookmarkStart w:id="1214" w:name="_Toc8777"/>
      <w:bookmarkStart w:id="1215" w:name="_Toc17370"/>
      <w:bookmarkStart w:id="1216" w:name="_Toc10098"/>
      <w:bookmarkStart w:id="1217" w:name="_Toc14548"/>
      <w:bookmarkStart w:id="1218" w:name="_Toc23071"/>
      <w:bookmarkStart w:id="1219" w:name="_Toc3860"/>
      <w:bookmarkStart w:id="1220" w:name="_Toc215695239"/>
      <w:bookmarkStart w:id="1221" w:name="_Toc12034"/>
      <w:r>
        <w:rPr>
          <w:rFonts w:hint="eastAsia" w:ascii="楷体_GB2312" w:hAnsi="楷体_GB2312" w:eastAsia="楷体_GB2312" w:cs="楷体_GB2312"/>
          <w:b w:val="0"/>
          <w:bCs w:val="0"/>
          <w:sz w:val="32"/>
          <w:szCs w:val="32"/>
          <w:highlight w:val="none"/>
        </w:rPr>
        <w:t>第二节  营造创新文化氛围</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70C83AD3">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科普宣传体系。着力打造全方位、多层次的科普工作网络，持续开展科技下乡、科技进企业、科普入校园等品牌活动。加快建设科普教育基地、数字化科普平台等载体，弘扬科学精神，传播创新理念，营造昌江特色的创新文化氛围。</w:t>
      </w:r>
    </w:p>
    <w:p w14:paraId="4C85A33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实施精准科普服务。坚持需求导向，围绕昌江产业发展、人才结构等特点，基于不同群体认知需求，开展差异化科普服务。依托大数据分析等手段精准识别服务需求，开发特色科普课程与活动，推动优质科普资源向基层延伸，保证科学知识普及的针对性和有效性。</w:t>
      </w:r>
    </w:p>
    <w:p w14:paraId="69AF0EC2">
      <w:pPr>
        <w:pageBreakBefore w:val="0"/>
        <w:kinsoku/>
        <w:wordWrap/>
        <w:overflowPunct/>
        <w:topLinePunct w:val="0"/>
        <w:autoSpaceDE/>
        <w:autoSpaceDN/>
        <w:bidi w:val="0"/>
        <w:spacing w:after="0" w:afterLines="0" w:line="560" w:lineRule="exact"/>
        <w:ind w:firstLine="640" w:firstLineChars="200"/>
        <w:rPr>
          <w:rFonts w:hint="eastAsia" w:ascii="楷体_GB2312" w:hAnsi="楷体_GB2312" w:eastAsia="楷体_GB2312" w:cs="楷体_GB2312"/>
          <w:b w:val="0"/>
          <w:bCs w:val="0"/>
          <w:sz w:val="32"/>
          <w:szCs w:val="32"/>
          <w:highlight w:val="none"/>
        </w:rPr>
      </w:pPr>
      <w:r>
        <w:rPr>
          <w:rFonts w:hint="eastAsia" w:ascii="仿宋_GB2312" w:hAnsi="仿宋_GB2312" w:eastAsia="仿宋_GB2312" w:cs="仿宋_GB2312"/>
          <w:b w:val="0"/>
          <w:bCs w:val="0"/>
          <w:sz w:val="32"/>
          <w:szCs w:val="32"/>
          <w:highlight w:val="none"/>
        </w:rPr>
        <w:t>推进全民科学素质提升。深入实施全民科学素质行动计划，构建政府引导、社会参与、共建共享的科普工作新格局。完善科普激励机制、培育专业科普人才队伍、拓展科普传播渠道等</w:t>
      </w:r>
      <w:bookmarkStart w:id="1222" w:name="_Hlk213232947"/>
      <w:r>
        <w:rPr>
          <w:rFonts w:hint="eastAsia" w:ascii="仿宋_GB2312" w:hAnsi="仿宋_GB2312" w:eastAsia="仿宋_GB2312" w:cs="仿宋_GB2312"/>
          <w:b w:val="0"/>
          <w:bCs w:val="0"/>
          <w:sz w:val="32"/>
          <w:szCs w:val="32"/>
          <w:highlight w:val="none"/>
        </w:rPr>
        <w:t>举措，增强科普服务供给能力</w:t>
      </w:r>
      <w:bookmarkStart w:id="1223" w:name="_Hlk214456894"/>
      <w:r>
        <w:rPr>
          <w:rFonts w:hint="eastAsia" w:ascii="仿宋_GB2312" w:hAnsi="仿宋_GB2312" w:eastAsia="仿宋_GB2312" w:cs="仿宋_GB2312"/>
          <w:b w:val="0"/>
          <w:bCs w:val="0"/>
          <w:sz w:val="32"/>
          <w:szCs w:val="32"/>
          <w:highlight w:val="none"/>
        </w:rPr>
        <w:t>。</w:t>
      </w:r>
      <w:bookmarkStart w:id="1224" w:name="_Toc31016"/>
      <w:bookmarkStart w:id="1225" w:name="_Toc18005"/>
      <w:bookmarkStart w:id="1226" w:name="_Toc31628"/>
      <w:bookmarkStart w:id="1227" w:name="_Toc23926"/>
      <w:bookmarkStart w:id="1228" w:name="_Toc21041"/>
      <w:bookmarkStart w:id="1229" w:name="_Toc18283"/>
      <w:bookmarkStart w:id="1230" w:name="_Toc22111"/>
      <w:bookmarkStart w:id="1231" w:name="_Toc231562056"/>
      <w:bookmarkStart w:id="1232" w:name="_Toc29031"/>
      <w:bookmarkStart w:id="1233" w:name="_Toc1483"/>
      <w:bookmarkStart w:id="1234" w:name="_Toc16978"/>
      <w:bookmarkStart w:id="1235" w:name="_Toc10408"/>
      <w:bookmarkStart w:id="1236" w:name="_Toc24973"/>
      <w:r>
        <w:rPr>
          <w:rFonts w:hint="eastAsia" w:ascii="楷体_GB2312" w:hAnsi="楷体_GB2312" w:eastAsia="楷体_GB2312" w:cs="楷体_GB2312"/>
          <w:b w:val="0"/>
          <w:bCs w:val="0"/>
          <w:sz w:val="32"/>
          <w:szCs w:val="32"/>
          <w:highlight w:val="none"/>
        </w:rPr>
        <w:br w:type="page"/>
      </w:r>
    </w:p>
    <w:p w14:paraId="6D97AF92">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237" w:name="_Toc4083"/>
      <w:bookmarkStart w:id="1238" w:name="_Toc2450"/>
      <w:bookmarkStart w:id="1239" w:name="_Toc1553"/>
      <w:bookmarkStart w:id="1240" w:name="_Toc18526"/>
      <w:r>
        <w:rPr>
          <w:rFonts w:hint="eastAsia" w:ascii="楷体_GB2312" w:hAnsi="楷体_GB2312" w:eastAsia="楷体_GB2312" w:cs="楷体_GB2312"/>
          <w:b w:val="0"/>
          <w:bCs w:val="0"/>
          <w:sz w:val="32"/>
          <w:szCs w:val="32"/>
          <w:highlight w:val="none"/>
        </w:rPr>
        <w:t>第三节  持续强化智力支撑</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368C5FFB">
      <w:pPr>
        <w:pageBreakBefore w:val="0"/>
        <w:widowControl/>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lang w:bidi="ar"/>
        </w:rPr>
      </w:pPr>
      <w:r>
        <w:rPr>
          <w:rFonts w:hint="eastAsia" w:ascii="仿宋_GB2312" w:hAnsi="仿宋_GB2312" w:eastAsia="仿宋_GB2312" w:cs="仿宋_GB2312"/>
          <w:b w:val="0"/>
          <w:bCs w:val="0"/>
          <w:sz w:val="32"/>
          <w:szCs w:val="32"/>
          <w:highlight w:val="none"/>
          <w:lang w:bidi="ar"/>
        </w:rPr>
        <w:t>精准引进高端人才。研究制定昌江区关于加快人才集聚推动重点产业高质量发展的有关政策措施，围绕生物医药、电子信息、陶瓷创新等重点领域，引进一批海内外高层次创新创业人才、产业领军人才和创新团队。通过“科创飞地”等平台，</w:t>
      </w:r>
      <w:r>
        <w:rPr>
          <w:rFonts w:hint="eastAsia" w:ascii="仿宋_GB2312" w:hAnsi="仿宋_GB2312" w:eastAsia="仿宋_GB2312" w:cs="仿宋_GB2312"/>
          <w:b w:val="0"/>
          <w:bCs w:val="0"/>
          <w:sz w:val="32"/>
          <w:szCs w:val="32"/>
          <w:highlight w:val="none"/>
        </w:rPr>
        <w:t>动态对接人才与产业资源，实现产业需求与人才供给的高效耦合</w:t>
      </w:r>
      <w:r>
        <w:rPr>
          <w:rFonts w:hint="eastAsia" w:ascii="仿宋_GB2312" w:hAnsi="仿宋_GB2312" w:eastAsia="仿宋_GB2312" w:cs="仿宋_GB2312"/>
          <w:b w:val="0"/>
          <w:bCs w:val="0"/>
          <w:sz w:val="32"/>
          <w:szCs w:val="32"/>
          <w:highlight w:val="none"/>
          <w:lang w:bidi="ar"/>
        </w:rPr>
        <w:t>，为昌江创新发展提供智力支持。</w:t>
      </w:r>
    </w:p>
    <w:p w14:paraId="42EC13DE">
      <w:pPr>
        <w:pageBreakBefore w:val="0"/>
        <w:widowControl/>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lang w:bidi="ar"/>
        </w:rPr>
      </w:pPr>
      <w:r>
        <w:rPr>
          <w:rFonts w:hint="eastAsia" w:ascii="仿宋_GB2312" w:hAnsi="仿宋_GB2312" w:eastAsia="仿宋_GB2312" w:cs="仿宋_GB2312"/>
          <w:b w:val="0"/>
          <w:bCs w:val="0"/>
          <w:sz w:val="32"/>
          <w:szCs w:val="32"/>
          <w:highlight w:val="none"/>
          <w:lang w:bidi="ar"/>
        </w:rPr>
        <w:t>大力培育本土人才。建立健全本土人才梯次培养机制，加强科普人才队伍建设。依托昌江区高级职业学校和企业实训基地，开展“订单式”人才培养，重点培育陶瓷工艺、电子制造、生物医药等领域的技能型人才。支持企业骨干人才参加国内外学术交流、技术培训，提升专业能力。鼓励本土人才开展创新创业活动，对优秀本土创业项目给予资金扶持和政策倾斜。</w:t>
      </w:r>
    </w:p>
    <w:p w14:paraId="3BB2D0C2">
      <w:pPr>
        <w:pageBreakBefore w:val="0"/>
        <w:widowControl/>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lang w:bidi="ar"/>
        </w:rPr>
        <w:t>优化人才服务环境。不断完善人才公寓、子女入学绿色通道、医疗保健专线等配套服务设施，解决人才后顾之忧。建立人才服务专员制度，为高层次人才提供“一站式”服务，包括项目申报、政策咨询、生活保障等。设立人才奖励基金，对在科技创新、产业发展中作出突出贡献的人才给予表彰奖励，营造尊重人才、关爱人才的良好氛围。</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3672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36985380">
            <w:pPr>
              <w:pageBreakBefore w:val="0"/>
              <w:tabs>
                <w:tab w:val="left" w:pos="6725"/>
              </w:tabs>
              <w:kinsoku/>
              <w:wordWrap/>
              <w:overflowPunct/>
              <w:topLinePunct w:val="0"/>
              <w:autoSpaceDE/>
              <w:autoSpaceDN/>
              <w:bidi w:val="0"/>
              <w:spacing w:after="0" w:afterLines="0" w:line="240" w:lineRule="auto"/>
              <w:jc w:val="center"/>
              <w:rPr>
                <w:rFonts w:hint="eastAsia" w:ascii="仿宋_GB2312" w:hAnsi="仿宋_GB2312" w:eastAsia="仿宋_GB2312" w:cs="仿宋_GB2312"/>
                <w:b w:val="0"/>
                <w:bCs w:val="0"/>
                <w:sz w:val="32"/>
                <w:szCs w:val="32"/>
                <w:highlight w:val="none"/>
              </w:rPr>
            </w:pPr>
            <w:r>
              <w:rPr>
                <w:rFonts w:hint="eastAsia" w:ascii="黑体" w:hAnsi="黑体" w:eastAsia="黑体" w:cs="黑体"/>
                <w:b w:val="0"/>
                <w:bCs w:val="0"/>
                <w:sz w:val="24"/>
                <w:highlight w:val="none"/>
                <w:lang w:bidi="ar"/>
              </w:rPr>
              <w:t>专栏5  科技创新重点工程</w:t>
            </w:r>
          </w:p>
        </w:tc>
      </w:tr>
      <w:tr w14:paraId="690F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2A764E02">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24"/>
                <w:highlight w:val="none"/>
              </w:rPr>
              <w:t>加快推进昌江区未来生物技术及微生物蛋白孵化基地建设，引入生物医药项目完成小试、中试等创新型企业。加快推进十万株菌种库建设项目、生物医药创新孵化基地及配套项目等重大项目落地。</w:t>
            </w:r>
          </w:p>
        </w:tc>
      </w:tr>
    </w:tbl>
    <w:p w14:paraId="3377F9F8">
      <w:pPr>
        <w:pageBreakBefore w:val="0"/>
        <w:numPr>
          <w:ilvl w:val="255"/>
          <w:numId w:val="0"/>
        </w:numPr>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bookmarkStart w:id="1241" w:name="_Toc31478"/>
      <w:bookmarkStart w:id="1242" w:name="_Toc18967"/>
      <w:bookmarkStart w:id="1243" w:name="_Toc14579"/>
      <w:bookmarkStart w:id="1244" w:name="_Toc22354"/>
      <w:bookmarkStart w:id="1245" w:name="_Toc1367"/>
      <w:bookmarkStart w:id="1246" w:name="_Toc12429"/>
      <w:bookmarkStart w:id="1247" w:name="_Toc18120"/>
      <w:bookmarkStart w:id="1248" w:name="_Toc12943"/>
      <w:r>
        <w:rPr>
          <w:rFonts w:hint="eastAsia" w:ascii="仿宋_GB2312" w:hAnsi="仿宋_GB2312" w:eastAsia="仿宋_GB2312" w:cs="仿宋_GB2312"/>
          <w:b w:val="0"/>
          <w:bCs w:val="0"/>
          <w:sz w:val="32"/>
          <w:szCs w:val="32"/>
          <w:highlight w:val="none"/>
        </w:rPr>
        <w:br w:type="page"/>
      </w:r>
    </w:p>
    <w:p w14:paraId="0F99E830">
      <w:pPr>
        <w:keepNext w:val="0"/>
        <w:keepLines w:val="0"/>
        <w:pageBreakBefore w:val="0"/>
        <w:widowControl w:val="0"/>
        <w:kinsoku/>
        <w:wordWrap/>
        <w:overflowPunct/>
        <w:topLinePunct w:val="0"/>
        <w:autoSpaceDE/>
        <w:autoSpaceDN/>
        <w:bidi w:val="0"/>
        <w:adjustRightInd w:val="0"/>
        <w:snapToGrid w:val="0"/>
        <w:spacing w:after="0" w:afterLines="0" w:line="560" w:lineRule="exact"/>
        <w:jc w:val="center"/>
        <w:textAlignment w:val="auto"/>
        <w:outlineLvl w:val="0"/>
        <w:rPr>
          <w:rFonts w:hint="eastAsia" w:ascii="方正小标宋简体" w:eastAsia="方正小标宋简体"/>
          <w:b w:val="0"/>
          <w:bCs w:val="0"/>
          <w:spacing w:val="-11"/>
          <w:sz w:val="36"/>
          <w:szCs w:val="36"/>
          <w:highlight w:val="none"/>
        </w:rPr>
      </w:pPr>
      <w:bookmarkStart w:id="1249" w:name="_Toc14589"/>
      <w:bookmarkStart w:id="1250" w:name="_Toc17976"/>
      <w:bookmarkStart w:id="1251" w:name="_Toc19793"/>
      <w:bookmarkStart w:id="1252" w:name="_Toc269"/>
      <w:bookmarkStart w:id="1253" w:name="_Toc18735"/>
      <w:bookmarkStart w:id="1254" w:name="_Toc12385"/>
      <w:bookmarkStart w:id="1255" w:name="_Toc19817"/>
      <w:bookmarkStart w:id="1256" w:name="_Toc22292"/>
      <w:bookmarkStart w:id="1257" w:name="_Toc12047"/>
      <w:bookmarkStart w:id="1258" w:name="_Toc30905"/>
      <w:bookmarkStart w:id="1259" w:name="_Toc14879"/>
      <w:bookmarkStart w:id="1260" w:name="_Toc28021"/>
      <w:bookmarkStart w:id="1261" w:name="_Toc9390"/>
      <w:bookmarkStart w:id="1262" w:name="_Toc9219"/>
      <w:bookmarkStart w:id="1263" w:name="_Toc14961"/>
      <w:bookmarkStart w:id="1264" w:name="_Toc30368"/>
      <w:bookmarkStart w:id="1265" w:name="_Toc29490"/>
      <w:bookmarkStart w:id="1266" w:name="_Toc18188"/>
      <w:bookmarkStart w:id="1267" w:name="_Toc12338"/>
      <w:bookmarkStart w:id="1268" w:name="_Toc28071"/>
      <w:bookmarkStart w:id="1269" w:name="_Toc231562057"/>
      <w:r>
        <w:rPr>
          <w:rFonts w:hint="eastAsia" w:ascii="方正小标宋简体" w:eastAsia="方正小标宋简体"/>
          <w:b w:val="0"/>
          <w:bCs w:val="0"/>
          <w:sz w:val="36"/>
          <w:szCs w:val="36"/>
          <w:highlight w:val="none"/>
        </w:rPr>
        <w:t xml:space="preserve">第五篇 </w:t>
      </w:r>
      <w:r>
        <w:rPr>
          <w:rFonts w:hint="eastAsia" w:ascii="方正小标宋简体" w:eastAsia="方正小标宋简体"/>
          <w:b w:val="0"/>
          <w:bCs w:val="0"/>
          <w:spacing w:val="-11"/>
          <w:sz w:val="36"/>
          <w:szCs w:val="36"/>
          <w:highlight w:val="none"/>
        </w:rPr>
        <w:t xml:space="preserve"> 完善现代基础设施体系，夯实经济社会发展硬支撑</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14:paraId="3AB92E9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125C8903">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统筹推进交通、能源、水利、数字及智慧物流等领域基础设施建设，形成覆盖“陆、铁、水、网、能”多维一体的现代化基础设施体系。坚持系统谋划、协同发展、高标准建设，打造“外通内畅、绿色高效、智慧安全”的现代基础设施支撑体系，为承接产业转移、扩大对外开放、推进城市现代化和区域产业升级提供坚实保障。</w:t>
      </w:r>
    </w:p>
    <w:p w14:paraId="4466D3CE">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1270" w:name="_Toc20123"/>
      <w:bookmarkStart w:id="1271" w:name="_Toc24228"/>
      <w:bookmarkStart w:id="1272" w:name="_Toc9616"/>
      <w:bookmarkStart w:id="1273" w:name="_Toc1002"/>
      <w:bookmarkStart w:id="1274" w:name="_Toc31263"/>
      <w:bookmarkStart w:id="1275" w:name="_Toc7770"/>
      <w:bookmarkStart w:id="1276" w:name="_Toc23535"/>
      <w:bookmarkStart w:id="1277" w:name="_Toc2358"/>
      <w:bookmarkStart w:id="1278" w:name="_Toc231562058"/>
      <w:bookmarkStart w:id="1279" w:name="_Toc24303"/>
      <w:bookmarkStart w:id="1280" w:name="_Toc20711"/>
      <w:bookmarkStart w:id="1281" w:name="_Toc1285"/>
      <w:bookmarkStart w:id="1282" w:name="_Toc19678"/>
      <w:bookmarkStart w:id="1283" w:name="_Toc13143"/>
      <w:bookmarkStart w:id="1284" w:name="_Toc17979"/>
      <w:bookmarkStart w:id="1285" w:name="_Toc4418"/>
      <w:bookmarkStart w:id="1286" w:name="_Toc20539"/>
      <w:bookmarkStart w:id="1287" w:name="_Toc31156"/>
      <w:bookmarkStart w:id="1288" w:name="_Toc22395"/>
      <w:bookmarkStart w:id="1289" w:name="_Toc6497"/>
      <w:bookmarkStart w:id="1290" w:name="_Toc29802"/>
      <w:bookmarkStart w:id="1291" w:name="_Toc3935"/>
      <w:bookmarkStart w:id="1292" w:name="_Toc30110"/>
      <w:bookmarkStart w:id="1293" w:name="_Toc23292"/>
      <w:bookmarkStart w:id="1294" w:name="_Toc15862"/>
      <w:bookmarkStart w:id="1295" w:name="_Toc8263"/>
      <w:bookmarkStart w:id="1296" w:name="_Toc9611"/>
      <w:bookmarkStart w:id="1297" w:name="_Toc9776"/>
      <w:bookmarkStart w:id="1298" w:name="_Toc17528"/>
      <w:r>
        <w:rPr>
          <w:rFonts w:hint="eastAsia" w:ascii="黑体" w:hAnsi="黑体" w:eastAsia="黑体"/>
          <w:b w:val="0"/>
          <w:bCs w:val="0"/>
          <w:sz w:val="32"/>
          <w:szCs w:val="32"/>
          <w:highlight w:val="none"/>
        </w:rPr>
        <w:t>第一章  建设现代化综合交通运输系统</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202FAB57">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299" w:name="_Toc30381"/>
      <w:bookmarkStart w:id="1300" w:name="_Toc21246"/>
      <w:bookmarkStart w:id="1301" w:name="_Toc19964"/>
      <w:bookmarkStart w:id="1302" w:name="_Toc20730"/>
      <w:bookmarkStart w:id="1303" w:name="_Toc21876"/>
      <w:bookmarkStart w:id="1304" w:name="_Toc983"/>
      <w:bookmarkStart w:id="1305" w:name="_Toc18883"/>
      <w:bookmarkStart w:id="1306" w:name="_Toc9487"/>
      <w:bookmarkStart w:id="1307" w:name="_Toc31225"/>
      <w:bookmarkStart w:id="1308" w:name="_Toc20202"/>
      <w:bookmarkStart w:id="1309" w:name="_Toc27223"/>
      <w:bookmarkStart w:id="1310" w:name="_Toc21141"/>
      <w:bookmarkStart w:id="1311" w:name="_Toc23047"/>
      <w:bookmarkStart w:id="1312" w:name="_Toc231562059"/>
      <w:bookmarkStart w:id="1313" w:name="_Toc18442"/>
      <w:bookmarkStart w:id="1314" w:name="_Toc27896"/>
      <w:bookmarkStart w:id="1315" w:name="_Toc28633"/>
      <w:bookmarkStart w:id="1316" w:name="_Toc29674"/>
      <w:bookmarkStart w:id="1317" w:name="_Toc29741"/>
      <w:bookmarkStart w:id="1318" w:name="_Toc24588"/>
      <w:bookmarkStart w:id="1319" w:name="_Toc10718"/>
      <w:bookmarkStart w:id="1320" w:name="_Toc13838"/>
      <w:bookmarkStart w:id="1321" w:name="_Toc27847"/>
      <w:bookmarkStart w:id="1322" w:name="_Toc19611"/>
      <w:r>
        <w:rPr>
          <w:rFonts w:hint="eastAsia" w:ascii="楷体_GB2312" w:hAnsi="楷体_GB2312" w:eastAsia="楷体_GB2312" w:cs="楷体_GB2312"/>
          <w:b w:val="0"/>
          <w:bCs w:val="0"/>
          <w:sz w:val="32"/>
          <w:szCs w:val="32"/>
          <w:highlight w:val="none"/>
        </w:rPr>
        <w:t>第一节  强化水运枢纽功能</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356F9D0A">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建成昌江航道提升工程。协同市级部门，全力推动昌江（昌江段）航道等级提升工程，力争达到</w:t>
      </w:r>
      <w:r>
        <w:rPr>
          <w:rFonts w:ascii="Times New Roman" w:hAnsi="Times New Roman" w:eastAsia="仿宋_GB2312" w:cs="Times New Roman"/>
          <w:b w:val="0"/>
          <w:bCs w:val="0"/>
          <w:sz w:val="32"/>
          <w:szCs w:val="32"/>
          <w:highlight w:val="none"/>
        </w:rPr>
        <w:t>Ⅲ</w:t>
      </w:r>
      <w:r>
        <w:rPr>
          <w:rFonts w:hint="eastAsia" w:ascii="仿宋_GB2312" w:hAnsi="仿宋_GB2312" w:eastAsia="仿宋_GB2312" w:cs="仿宋_GB2312"/>
          <w:b w:val="0"/>
          <w:bCs w:val="0"/>
          <w:sz w:val="32"/>
          <w:szCs w:val="32"/>
          <w:highlight w:val="none"/>
        </w:rPr>
        <w:t>级及以上航道标准（通航1000吨级船舶），显著提升通航能力和常年保障水平，为大宗货物低成本运输奠定基础。</w:t>
      </w:r>
    </w:p>
    <w:p w14:paraId="75E374F5">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打造综合物流枢纽。以码头为核心，高水平规划建设鱼山码头物流园区。重点打造多式联运功能区，建设与铁路专用线无缝衔接的换装场地，实现水铁高效转运。发展仓储配送中心，提供高标准仓储、智能分拣、城市配送等服务。建立大宗商品交易与供应链服务平台，吸引贸易、物流企业集聚，提供信息、金融等增值服务。发展口岸服务功能（预留/争取），积极对接景德镇口岸发展规划，争取设立综合保税区，进一步打通国内外贸易渠道。完善集疏运体系，优化连接码头和物流园区的上景高速鱼山互通及连接线、城市主干道网络，确保货物快速集散。</w:t>
      </w:r>
    </w:p>
    <w:p w14:paraId="54561B8F">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323" w:name="_Toc10634"/>
      <w:bookmarkStart w:id="1324" w:name="_Toc231562060"/>
      <w:bookmarkStart w:id="1325" w:name="_Toc14122"/>
      <w:bookmarkStart w:id="1326" w:name="_Toc2291"/>
      <w:bookmarkStart w:id="1327" w:name="_Toc22096"/>
      <w:bookmarkStart w:id="1328" w:name="_Toc31901"/>
      <w:bookmarkStart w:id="1329" w:name="_Toc4875"/>
      <w:bookmarkStart w:id="1330" w:name="_Toc13817"/>
      <w:bookmarkStart w:id="1331" w:name="_Toc32119"/>
      <w:bookmarkStart w:id="1332" w:name="_Toc12266"/>
      <w:bookmarkStart w:id="1333" w:name="_Toc20698"/>
      <w:bookmarkStart w:id="1334" w:name="_Toc8792"/>
      <w:bookmarkStart w:id="1335" w:name="_Toc11520"/>
      <w:bookmarkStart w:id="1336" w:name="_Toc31341"/>
      <w:bookmarkStart w:id="1337" w:name="_Toc21418"/>
      <w:bookmarkStart w:id="1338" w:name="_Toc32672"/>
      <w:bookmarkStart w:id="1339" w:name="_Toc10654"/>
      <w:bookmarkStart w:id="1340" w:name="_Toc17023"/>
      <w:bookmarkStart w:id="1341" w:name="_Toc21142"/>
      <w:bookmarkStart w:id="1342" w:name="_Toc15247"/>
      <w:bookmarkStart w:id="1343" w:name="_Toc4218"/>
      <w:bookmarkStart w:id="1344" w:name="_Toc5165"/>
      <w:bookmarkStart w:id="1345" w:name="_Toc13609"/>
      <w:bookmarkStart w:id="1346" w:name="_Toc22934"/>
      <w:r>
        <w:rPr>
          <w:rFonts w:hint="eastAsia" w:ascii="楷体_GB2312" w:hAnsi="楷体_GB2312" w:eastAsia="楷体_GB2312" w:cs="楷体_GB2312"/>
          <w:b w:val="0"/>
          <w:bCs w:val="0"/>
          <w:sz w:val="32"/>
          <w:szCs w:val="32"/>
          <w:highlight w:val="none"/>
        </w:rPr>
        <w:t>第二节  夯实铁路骨干支撑</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bookmarkEnd w:id="1340"/>
    <w:bookmarkEnd w:id="1341"/>
    <w:bookmarkEnd w:id="1342"/>
    <w:bookmarkEnd w:id="1343"/>
    <w:bookmarkEnd w:id="1344"/>
    <w:bookmarkEnd w:id="1345"/>
    <w:bookmarkEnd w:id="1346"/>
    <w:p w14:paraId="032D72A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全力保障重大铁路项目建设。积极争取景鹰瑞铁路纳入国家中长期规划并在昌江区设立货运或客货兼顾站点，全面提升区域铁路集疏运能力。强化区域铁路货运能力，打通连接赣东、赣南及海西经济区的新通道。</w:t>
      </w:r>
    </w:p>
    <w:p w14:paraId="4AE2E2F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提升铁路货运服务能力。结合景鹰瑞铁路设站及鱼山物流园需求，规划建设连接物流园区的铁路专用线，实现“最后一公里”贯通，使铁路货运能力深度融入多式联运体系。研究争取盘活电厂闲置铁路专用线并接入昌江产业园，服务大宗商品运输。</w:t>
      </w:r>
    </w:p>
    <w:p w14:paraId="520C6F76">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347" w:name="_Toc17383"/>
      <w:bookmarkStart w:id="1348" w:name="_Toc4437"/>
      <w:bookmarkStart w:id="1349" w:name="_Toc14990"/>
      <w:bookmarkStart w:id="1350" w:name="_Toc565"/>
      <w:bookmarkStart w:id="1351" w:name="_Toc31202"/>
      <w:bookmarkStart w:id="1352" w:name="_Toc27921"/>
      <w:bookmarkStart w:id="1353" w:name="_Toc31815"/>
      <w:bookmarkStart w:id="1354" w:name="_Toc10991"/>
      <w:bookmarkStart w:id="1355" w:name="_Toc266"/>
      <w:bookmarkStart w:id="1356" w:name="_Toc29371"/>
      <w:bookmarkStart w:id="1357" w:name="_Toc20432"/>
      <w:bookmarkStart w:id="1358" w:name="_Toc20282"/>
      <w:bookmarkStart w:id="1359" w:name="_Toc26372"/>
      <w:bookmarkStart w:id="1360" w:name="_Toc11389"/>
      <w:bookmarkStart w:id="1361" w:name="_Toc544"/>
      <w:bookmarkStart w:id="1362" w:name="_Toc6923"/>
      <w:bookmarkStart w:id="1363" w:name="_Toc231562061"/>
      <w:bookmarkStart w:id="1364" w:name="_Toc22622"/>
      <w:bookmarkStart w:id="1365" w:name="_Toc32760"/>
      <w:bookmarkStart w:id="1366" w:name="_Toc31788"/>
      <w:bookmarkStart w:id="1367" w:name="_Toc13966"/>
      <w:bookmarkStart w:id="1368" w:name="_Toc28335"/>
      <w:bookmarkStart w:id="1369" w:name="_Toc4086"/>
      <w:bookmarkStart w:id="1370" w:name="_Toc9763"/>
      <w:r>
        <w:rPr>
          <w:rFonts w:hint="eastAsia" w:ascii="楷体_GB2312" w:hAnsi="楷体_GB2312" w:eastAsia="楷体_GB2312" w:cs="楷体_GB2312"/>
          <w:b w:val="0"/>
          <w:bCs w:val="0"/>
          <w:sz w:val="32"/>
          <w:szCs w:val="32"/>
          <w:highlight w:val="none"/>
        </w:rPr>
        <w:t>第三节  提升公路集散效率</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38FBE9D6">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构建对外快速直连通道。全力推进景上高速（昌江段）高标准建设，确保按期通车。打通昌江区直连长三角的快速通道，显著缩短与沿海港口、发达地区的时空距离。科学优化高速出口与地方路网的衔接布局，实现与产业园区、物流枢纽的高效接驳。</w:t>
      </w:r>
    </w:p>
    <w:p w14:paraId="129CBAAF">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优化区域公路网络。加强与市级规划衔接，推进区域内国省干线升级改造，完善连接港口、铁路站场、产业园区、主要城镇的快速通道网络，提升路网通行能力和可靠性。重点推动昌江区荷航大道建设工程，积极争取绕城高速在荷塘区域增设出入口，纳入市级交通建设统筹安排。</w:t>
      </w:r>
    </w:p>
    <w:p w14:paraId="1D769C8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发展智慧绿色货运。推动“互联网+货运”模式广泛应用，构建集运力调度、仓储管理、在途跟踪、信息服务于一体的智慧物流平台。推动物流领域的绿色低碳转型，大力推广新能源和清洁能源运输工具的应用，优化充换电、加氢等配套设施网络，系统性引导传统货运向绿色、集约、高效的现代货运模式转变。</w:t>
      </w:r>
    </w:p>
    <w:p w14:paraId="2AC95E08">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371" w:name="_Toc30664"/>
      <w:bookmarkStart w:id="1372" w:name="_Toc9710"/>
      <w:bookmarkStart w:id="1373" w:name="_Toc7291"/>
      <w:bookmarkStart w:id="1374" w:name="_Toc19062"/>
      <w:bookmarkStart w:id="1375" w:name="_Toc9357"/>
      <w:bookmarkStart w:id="1376" w:name="_Toc4491"/>
      <w:bookmarkStart w:id="1377" w:name="_Toc9832"/>
      <w:bookmarkStart w:id="1378" w:name="_Toc15544"/>
      <w:bookmarkStart w:id="1379" w:name="_Toc28486"/>
      <w:bookmarkStart w:id="1380" w:name="_Toc27383"/>
      <w:bookmarkStart w:id="1381" w:name="_Toc11398"/>
      <w:bookmarkStart w:id="1382" w:name="_Toc231562062"/>
      <w:bookmarkStart w:id="1383" w:name="_Toc22823"/>
      <w:bookmarkStart w:id="1384" w:name="_Toc26889"/>
      <w:bookmarkStart w:id="1385" w:name="_Toc9182"/>
      <w:bookmarkStart w:id="1386" w:name="_Toc31610"/>
      <w:bookmarkStart w:id="1387" w:name="_Toc27230"/>
      <w:bookmarkStart w:id="1388" w:name="_Toc718"/>
      <w:bookmarkStart w:id="1389" w:name="_Toc23965"/>
      <w:bookmarkStart w:id="1390" w:name="_Toc30369"/>
      <w:bookmarkStart w:id="1391" w:name="_Toc17345"/>
      <w:bookmarkStart w:id="1392" w:name="_Toc26550"/>
      <w:bookmarkStart w:id="1393" w:name="_Toc3662"/>
      <w:bookmarkStart w:id="1394" w:name="_Toc12620"/>
      <w:bookmarkStart w:id="1395" w:name="_Toc21688"/>
      <w:bookmarkStart w:id="1396" w:name="_Toc30527"/>
      <w:bookmarkStart w:id="1397" w:name="_Toc17712"/>
      <w:bookmarkStart w:id="1398" w:name="_Toc4723"/>
      <w:bookmarkStart w:id="1399" w:name="_Toc16594"/>
      <w:r>
        <w:rPr>
          <w:rFonts w:hint="eastAsia" w:ascii="楷体_GB2312" w:hAnsi="楷体_GB2312" w:eastAsia="楷体_GB2312" w:cs="楷体_GB2312"/>
          <w:b w:val="0"/>
          <w:bCs w:val="0"/>
          <w:sz w:val="32"/>
          <w:szCs w:val="32"/>
          <w:highlight w:val="none"/>
        </w:rPr>
        <w:t>第四节  构建高效“多式联运”体系</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14:paraId="37FC64EB">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探索“多式联</w:t>
      </w:r>
      <w:r>
        <w:rPr>
          <w:rFonts w:hint="eastAsia" w:ascii="仿宋_GB2312" w:hAnsi="仿宋_GB2312" w:eastAsia="仿宋_GB2312" w:cs="仿宋_GB2312"/>
          <w:b w:val="0"/>
          <w:bCs w:val="0"/>
          <w:sz w:val="32"/>
          <w:szCs w:val="32"/>
          <w:highlight w:val="none"/>
          <w:lang w:val="en-US" w:eastAsia="zh-CN"/>
        </w:rPr>
        <w:t>运</w:t>
      </w:r>
      <w:r>
        <w:rPr>
          <w:rFonts w:hint="eastAsia" w:ascii="仿宋_GB2312" w:hAnsi="仿宋_GB2312" w:eastAsia="仿宋_GB2312" w:cs="仿宋_GB2312"/>
          <w:b w:val="0"/>
          <w:bCs w:val="0"/>
          <w:sz w:val="32"/>
          <w:szCs w:val="32"/>
          <w:highlight w:val="none"/>
        </w:rPr>
        <w:t>”新模式。探索推广大宗货物“一票制”联运服务。鼓励发展“公水联运”“水铁联运”“公铁联运”等模式。</w:t>
      </w:r>
    </w:p>
    <w:p w14:paraId="67768E5E">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建设多式联运信息平台。推动与市级平台对接，整合港口、铁路、公路、物流企业信息，实现车（船）、货、箱、场等要素智能匹配和全程可视化。深度应用大数据、云计算、人工智能等技术，赋能运输组织、运力调度、仓储管理等环节的智能化决策。</w:t>
      </w:r>
    </w:p>
    <w:p w14:paraId="2EC637D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培育多式联运经营主体。引进和培育具有跨运输方式整合能力的龙头物流企业，鼓励和引导物流企业加快数字化、网络化、智能化转型。共同构筑起高效便捷、安全可靠、绿色低碳、具有国际竞争力的现代化智慧物流服务生态。</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D5F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14:paraId="42E450EC">
            <w:pPr>
              <w:pageBreakBefore w:val="0"/>
              <w:tabs>
                <w:tab w:val="left" w:pos="6725"/>
              </w:tabs>
              <w:kinsoku/>
              <w:wordWrap/>
              <w:overflowPunct/>
              <w:topLinePunct w:val="0"/>
              <w:autoSpaceDE/>
              <w:autoSpaceDN/>
              <w:bidi w:val="0"/>
              <w:spacing w:after="0" w:afterLines="0" w:line="240" w:lineRule="auto"/>
              <w:jc w:val="center"/>
              <w:rPr>
                <w:rFonts w:hint="eastAsia" w:ascii="仿宋_GB2312" w:hAnsi="仿宋_GB2312" w:eastAsia="仿宋_GB2312" w:cs="仿宋_GB2312"/>
                <w:b w:val="0"/>
                <w:bCs w:val="0"/>
                <w:sz w:val="32"/>
                <w:szCs w:val="32"/>
                <w:highlight w:val="none"/>
              </w:rPr>
            </w:pPr>
            <w:r>
              <w:rPr>
                <w:rFonts w:hint="eastAsia" w:ascii="黑体" w:hAnsi="黑体" w:eastAsia="黑体" w:cs="黑体"/>
                <w:b w:val="0"/>
                <w:bCs w:val="0"/>
                <w:sz w:val="24"/>
                <w:highlight w:val="none"/>
                <w:lang w:bidi="ar"/>
              </w:rPr>
              <w:t>专栏6  交通基础设施重点工程</w:t>
            </w:r>
          </w:p>
        </w:tc>
      </w:tr>
      <w:tr w14:paraId="3892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418FF86F">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1.高速公路</w:t>
            </w:r>
          </w:p>
          <w:p w14:paraId="5C67806F">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推进景上高速昌江区道路高标准建设，优化高速出口与地方路网、产业园区及物流枢纽的衔接布局</w:t>
            </w:r>
            <w:r>
              <w:rPr>
                <w:rFonts w:hint="eastAsia" w:ascii="仿宋_GB2312" w:hAnsi="仿宋_GB2312" w:eastAsia="仿宋_GB2312" w:cs="仿宋_GB2312"/>
                <w:b w:val="0"/>
                <w:bCs w:val="0"/>
                <w:sz w:val="24"/>
                <w:highlight w:val="none"/>
                <w:lang w:bidi="ar"/>
              </w:rPr>
              <w:t>。</w:t>
            </w:r>
          </w:p>
          <w:p w14:paraId="105B1010">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2.航道</w:t>
            </w:r>
          </w:p>
          <w:p w14:paraId="0B00D1CF">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推进昌江航道等级提升工程，确保达到Ⅲ级及以上通航标准，同步完善智能化航道养护与监测设施。</w:t>
            </w:r>
          </w:p>
          <w:p w14:paraId="2DA8A63D">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3.公路网络</w:t>
            </w:r>
          </w:p>
          <w:p w14:paraId="66AF2DD1">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24"/>
                <w:highlight w:val="none"/>
              </w:rPr>
              <w:t>实施景德镇市昌江区荷航大道建设工程、景德镇市昌江区丽阳镇环月亮湖景区道路建设项目、景德镇市昌江区鲇鱼山镇鱼山大桥重建工程、景德镇市昌江区尧南站路网改造提升工程、皖赣线铁路景南道口平改立改造工程等一批关键路桥工程。以景德镇市昌江区农村公路提升改造工程为抓手，加快推进农村公路提升改造。</w:t>
            </w:r>
          </w:p>
        </w:tc>
      </w:tr>
    </w:tbl>
    <w:p w14:paraId="15AB0D4E">
      <w:pPr>
        <w:rPr>
          <w:rFonts w:hint="eastAsia" w:ascii="黑体" w:hAnsi="黑体" w:eastAsia="黑体"/>
          <w:b w:val="0"/>
          <w:bCs w:val="0"/>
          <w:sz w:val="32"/>
          <w:szCs w:val="32"/>
          <w:highlight w:val="none"/>
        </w:rPr>
      </w:pPr>
      <w:bookmarkStart w:id="1400" w:name="_Toc5369"/>
      <w:bookmarkStart w:id="1401" w:name="_Toc11392"/>
      <w:bookmarkStart w:id="1402" w:name="_Toc3379"/>
      <w:bookmarkStart w:id="1403" w:name="_Toc6007"/>
      <w:bookmarkStart w:id="1404" w:name="_Toc23815"/>
      <w:bookmarkStart w:id="1405" w:name="_Toc21002"/>
      <w:bookmarkStart w:id="1406" w:name="_Toc11571"/>
      <w:bookmarkStart w:id="1407" w:name="_Toc2750"/>
      <w:bookmarkStart w:id="1408" w:name="_Toc27074"/>
      <w:bookmarkStart w:id="1409" w:name="_Toc14484"/>
      <w:bookmarkStart w:id="1410" w:name="_Toc19114"/>
      <w:bookmarkStart w:id="1411" w:name="_Toc1619"/>
      <w:bookmarkStart w:id="1412" w:name="_Toc231562063"/>
      <w:r>
        <w:rPr>
          <w:rFonts w:hint="eastAsia" w:ascii="黑体" w:hAnsi="黑体" w:eastAsia="黑体"/>
          <w:b w:val="0"/>
          <w:bCs w:val="0"/>
          <w:sz w:val="32"/>
          <w:szCs w:val="32"/>
          <w:highlight w:val="none"/>
        </w:rPr>
        <w:br w:type="page"/>
      </w:r>
    </w:p>
    <w:p w14:paraId="12760C3D">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1413" w:name="_Toc29177"/>
      <w:bookmarkStart w:id="1414" w:name="_Toc4732"/>
      <w:bookmarkStart w:id="1415" w:name="_Toc29495"/>
      <w:bookmarkStart w:id="1416" w:name="_Toc515"/>
      <w:r>
        <w:rPr>
          <w:rFonts w:hint="eastAsia" w:ascii="黑体" w:hAnsi="黑体" w:eastAsia="黑体"/>
          <w:b w:val="0"/>
          <w:bCs w:val="0"/>
          <w:sz w:val="32"/>
          <w:szCs w:val="32"/>
          <w:highlight w:val="none"/>
        </w:rPr>
        <w:t>第二章  高标准建设现代化水利网络</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14:paraId="6D78C175">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417" w:name="_Toc3469"/>
      <w:bookmarkStart w:id="1418" w:name="_Toc3944"/>
      <w:bookmarkStart w:id="1419" w:name="_Toc19383"/>
      <w:bookmarkStart w:id="1420" w:name="_Toc4209"/>
      <w:bookmarkStart w:id="1421" w:name="_Toc28863"/>
      <w:bookmarkStart w:id="1422" w:name="_Toc29613"/>
      <w:bookmarkStart w:id="1423" w:name="_Toc18877"/>
      <w:bookmarkStart w:id="1424" w:name="_Toc19376"/>
      <w:bookmarkStart w:id="1425" w:name="_Toc23126"/>
      <w:bookmarkStart w:id="1426" w:name="_Toc231562064"/>
      <w:bookmarkStart w:id="1427" w:name="_Toc19814"/>
      <w:bookmarkStart w:id="1428" w:name="_Toc23273"/>
      <w:bookmarkStart w:id="1429" w:name="_Toc7007"/>
      <w:bookmarkStart w:id="1430" w:name="_Toc29085"/>
      <w:bookmarkStart w:id="1431" w:name="_Toc28429"/>
      <w:bookmarkStart w:id="1432" w:name="_Toc6746"/>
      <w:bookmarkStart w:id="1433" w:name="_Toc13313"/>
      <w:bookmarkStart w:id="1434" w:name="_Toc11050"/>
      <w:bookmarkStart w:id="1435" w:name="_Toc28389"/>
      <w:bookmarkStart w:id="1436" w:name="_Toc21039"/>
      <w:bookmarkStart w:id="1437" w:name="_Toc11546"/>
      <w:bookmarkStart w:id="1438" w:name="_Toc31397"/>
      <w:bookmarkStart w:id="1439" w:name="_Toc24654"/>
      <w:bookmarkStart w:id="1440" w:name="_Toc32736"/>
      <w:bookmarkStart w:id="1441" w:name="_Toc20102"/>
      <w:bookmarkStart w:id="1442" w:name="_Toc21117"/>
      <w:bookmarkStart w:id="1443" w:name="_Toc20942"/>
      <w:bookmarkStart w:id="1444" w:name="_Toc12405"/>
      <w:bookmarkStart w:id="1445" w:name="_Toc9240"/>
      <w:r>
        <w:rPr>
          <w:rFonts w:hint="eastAsia" w:ascii="楷体_GB2312" w:hAnsi="楷体_GB2312" w:eastAsia="楷体_GB2312" w:cs="楷体_GB2312"/>
          <w:b w:val="0"/>
          <w:bCs w:val="0"/>
          <w:sz w:val="32"/>
          <w:szCs w:val="32"/>
          <w:highlight w:val="none"/>
        </w:rPr>
        <w:t>第一节  完善防洪减灾体系，确保安全可靠</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7AC43386">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系统提升流域防洪排涝能力。坚持“蓄、滞、泄、排、御”多措并举，加快现代化水网建设。重点统筹推进沿江西路至吕蒙大桥片区等关键区域的防洪排涝工程，强化城市防洪堤、排涝泵站等基础设施建设。加强对现有水库、堤防的除险加固和日常管护，确保其在关键时期发挥作用。</w:t>
      </w:r>
    </w:p>
    <w:p w14:paraId="6058557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防汛抗旱应急管理体系。完善水情、雨情、工情监测预警系统，提高预测预报的精准度和时效性。修订和完善防汛抗旱应急预案，加强专业抢险队伍建设和应急物资储备，定期组织开展应急演练，提升应对极端天气等突发事件的能力。</w:t>
      </w:r>
    </w:p>
    <w:p w14:paraId="7B3F340D">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446" w:name="_Toc6788"/>
      <w:bookmarkStart w:id="1447" w:name="_Toc17504"/>
      <w:bookmarkStart w:id="1448" w:name="_Toc18945"/>
      <w:bookmarkStart w:id="1449" w:name="_Toc6363"/>
      <w:bookmarkStart w:id="1450" w:name="_Toc14009"/>
      <w:bookmarkStart w:id="1451" w:name="_Toc1452"/>
      <w:bookmarkStart w:id="1452" w:name="_Toc29679"/>
      <w:bookmarkStart w:id="1453" w:name="_Toc31119"/>
      <w:bookmarkStart w:id="1454" w:name="_Toc6251"/>
      <w:bookmarkStart w:id="1455" w:name="_Toc504"/>
      <w:bookmarkStart w:id="1456" w:name="_Toc12959"/>
      <w:bookmarkStart w:id="1457" w:name="_Toc10569"/>
      <w:bookmarkStart w:id="1458" w:name="_Toc30870"/>
      <w:bookmarkStart w:id="1459" w:name="_Toc29601"/>
      <w:bookmarkStart w:id="1460" w:name="_Toc231562065"/>
      <w:bookmarkStart w:id="1461" w:name="_Toc23284"/>
      <w:bookmarkStart w:id="1462" w:name="_Toc1949"/>
      <w:bookmarkStart w:id="1463" w:name="_Toc31127"/>
      <w:bookmarkStart w:id="1464" w:name="_Toc11745"/>
      <w:bookmarkStart w:id="1465" w:name="_Toc32385"/>
      <w:bookmarkStart w:id="1466" w:name="_Toc22657"/>
      <w:bookmarkStart w:id="1467" w:name="_Toc812"/>
      <w:bookmarkStart w:id="1468" w:name="_Toc17014"/>
      <w:bookmarkStart w:id="1469" w:name="_Toc18793"/>
      <w:bookmarkStart w:id="1470" w:name="_Toc6592"/>
      <w:bookmarkStart w:id="1471" w:name="_Toc14996"/>
      <w:bookmarkStart w:id="1472" w:name="_Toc32002"/>
      <w:bookmarkStart w:id="1473" w:name="_Toc5078"/>
      <w:bookmarkStart w:id="1474" w:name="_Toc207"/>
      <w:r>
        <w:rPr>
          <w:rFonts w:hint="eastAsia" w:ascii="楷体_GB2312" w:hAnsi="楷体_GB2312" w:eastAsia="楷体_GB2312" w:cs="楷体_GB2312"/>
          <w:b w:val="0"/>
          <w:bCs w:val="0"/>
          <w:sz w:val="32"/>
          <w:szCs w:val="32"/>
          <w:highlight w:val="none"/>
        </w:rPr>
        <w:t>第二节  高效整合水资源，提升配置效率</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14:paraId="6E983739">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优化水资源统一调度与配置。统筹生活、生产和生态用水，强化水资源消耗总量和强度“双控”。建立健全重点河流、重点取用水户的水量分配方案和动态管控机制。加强区域水资源联合调度，充分发挥水库、闸坝等水利工程的调节功能，最大限度提高水资源配置效率和供水保障率。</w:t>
      </w:r>
    </w:p>
    <w:p w14:paraId="19567F4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进水利基础设施智慧化。加快推进智慧水利建设，运用物联网、大数据、人工智能等技术，构建集水情测报、工程监控、水资源管理、防汛调度于一体的智慧水网平台。推动水库、水闸、泵站等水利工程的自动化、智能化改造，提升水网运行管理的精细化水平和决策支持能力。</w:t>
      </w:r>
    </w:p>
    <w:p w14:paraId="5B03D22B">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全面推进节水型社会建设。深入实施国家节水行动，大力推进工业、农业、生活等各领域节水。推广节水灌溉技术，实施工业节水改造，倡导居民节约用水。建立健全节水激励政策和用水定额管理制度，形成全社会共同参与节水的良好风尚。</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B1E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3079ADC2">
            <w:pPr>
              <w:pageBreakBefore w:val="0"/>
              <w:tabs>
                <w:tab w:val="left" w:pos="6725"/>
              </w:tabs>
              <w:kinsoku/>
              <w:wordWrap/>
              <w:overflowPunct/>
              <w:topLinePunct w:val="0"/>
              <w:autoSpaceDE/>
              <w:autoSpaceDN/>
              <w:bidi w:val="0"/>
              <w:spacing w:after="0" w:afterLines="0" w:line="240" w:lineRule="auto"/>
              <w:jc w:val="center"/>
              <w:rPr>
                <w:rFonts w:hint="eastAsia" w:ascii="仿宋_GB2312" w:hAnsi="仿宋_GB2312" w:eastAsia="仿宋_GB2312" w:cs="仿宋_GB2312"/>
                <w:b w:val="0"/>
                <w:bCs w:val="0"/>
                <w:sz w:val="32"/>
                <w:szCs w:val="32"/>
                <w:highlight w:val="none"/>
              </w:rPr>
            </w:pPr>
            <w:r>
              <w:rPr>
                <w:rFonts w:hint="eastAsia" w:ascii="黑体" w:hAnsi="黑体" w:eastAsia="黑体" w:cs="黑体"/>
                <w:b w:val="0"/>
                <w:bCs w:val="0"/>
                <w:sz w:val="24"/>
                <w:highlight w:val="none"/>
                <w:lang w:bidi="ar"/>
              </w:rPr>
              <w:t>专栏7  水利、供水基础设施重点工程</w:t>
            </w:r>
          </w:p>
        </w:tc>
      </w:tr>
      <w:tr w14:paraId="4216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56D394BA">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24"/>
                <w:highlight w:val="none"/>
              </w:rPr>
              <w:t>加快实施昌江区部分城中村排水防涝设施项目和昌江区城乡供水一体化项目建设，有序推进昌江区住宅小区二次供水及管网设施改造项目、昌江区山田水库清淤扩容工程、昌江支流治理整治工程、昌江区域水资源综合整治工程等一批项目建设</w:t>
            </w:r>
            <w:r>
              <w:rPr>
                <w:rFonts w:hint="eastAsia" w:ascii="仿宋_GB2312" w:hAnsi="仿宋_GB2312" w:eastAsia="仿宋_GB2312" w:cs="仿宋_GB2312"/>
                <w:b w:val="0"/>
                <w:bCs w:val="0"/>
                <w:sz w:val="24"/>
                <w:highlight w:val="none"/>
                <w:lang w:bidi="ar"/>
              </w:rPr>
              <w:t>。</w:t>
            </w:r>
          </w:p>
        </w:tc>
      </w:tr>
    </w:tbl>
    <w:p w14:paraId="7952550A">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1475" w:name="_Toc20358"/>
      <w:bookmarkStart w:id="1476" w:name="_Toc26019"/>
      <w:bookmarkStart w:id="1477" w:name="_Toc24094"/>
      <w:bookmarkStart w:id="1478" w:name="_Toc18564"/>
      <w:bookmarkStart w:id="1479" w:name="_Toc18116"/>
      <w:bookmarkStart w:id="1480" w:name="_Toc20973"/>
      <w:bookmarkStart w:id="1481" w:name="_Toc26028"/>
      <w:bookmarkStart w:id="1482" w:name="_Toc25392"/>
      <w:bookmarkStart w:id="1483" w:name="_Toc2429"/>
      <w:bookmarkStart w:id="1484" w:name="_Toc1117"/>
      <w:bookmarkStart w:id="1485" w:name="_Toc3922"/>
      <w:bookmarkStart w:id="1486" w:name="_Toc2833"/>
      <w:bookmarkStart w:id="1487" w:name="_Toc22489"/>
      <w:bookmarkStart w:id="1488" w:name="_Toc8740"/>
      <w:bookmarkStart w:id="1489" w:name="_Toc13472"/>
      <w:bookmarkStart w:id="1490" w:name="_Toc14183"/>
      <w:bookmarkStart w:id="1491" w:name="_Toc2323"/>
      <w:bookmarkStart w:id="1492" w:name="_Toc7063"/>
      <w:bookmarkStart w:id="1493" w:name="_Toc17579"/>
      <w:bookmarkStart w:id="1494" w:name="_Toc28970"/>
      <w:bookmarkStart w:id="1495" w:name="_Toc10128"/>
      <w:bookmarkStart w:id="1496" w:name="_Toc14223"/>
      <w:bookmarkStart w:id="1497" w:name="_Toc231562066"/>
      <w:bookmarkStart w:id="1498" w:name="_Toc20564"/>
      <w:bookmarkStart w:id="1499" w:name="_Toc2236"/>
      <w:bookmarkStart w:id="1500" w:name="_Toc4274"/>
      <w:bookmarkStart w:id="1501" w:name="_Toc2815"/>
      <w:bookmarkStart w:id="1502" w:name="_Toc26320"/>
      <w:bookmarkStart w:id="1503" w:name="_Toc24915"/>
      <w:r>
        <w:rPr>
          <w:rFonts w:hint="eastAsia" w:ascii="黑体" w:hAnsi="黑体" w:eastAsia="黑体"/>
          <w:b w:val="0"/>
          <w:bCs w:val="0"/>
          <w:sz w:val="32"/>
          <w:szCs w:val="32"/>
          <w:highlight w:val="none"/>
        </w:rPr>
        <w:t>第三章  推动新型能源体系建设</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3F93B01E">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504" w:name="_Toc5630"/>
      <w:bookmarkStart w:id="1505" w:name="_Toc3851"/>
      <w:bookmarkStart w:id="1506" w:name="_Toc25111"/>
      <w:bookmarkStart w:id="1507" w:name="_Toc23145"/>
      <w:bookmarkStart w:id="1508" w:name="_Toc2199"/>
      <w:bookmarkStart w:id="1509" w:name="_Toc10790"/>
      <w:bookmarkStart w:id="1510" w:name="_Toc18559"/>
      <w:bookmarkStart w:id="1511" w:name="_Toc23311"/>
      <w:bookmarkStart w:id="1512" w:name="_Toc9130"/>
      <w:bookmarkStart w:id="1513" w:name="_Toc31128"/>
      <w:bookmarkStart w:id="1514" w:name="_Toc29478"/>
      <w:bookmarkStart w:id="1515" w:name="_Toc26929"/>
      <w:bookmarkStart w:id="1516" w:name="_Toc31034"/>
      <w:bookmarkStart w:id="1517" w:name="_Toc15846"/>
      <w:bookmarkStart w:id="1518" w:name="_Toc17251"/>
      <w:bookmarkStart w:id="1519" w:name="_Toc5101"/>
      <w:bookmarkStart w:id="1520" w:name="_Toc13864"/>
      <w:bookmarkStart w:id="1521" w:name="_Toc28832"/>
      <w:bookmarkStart w:id="1522" w:name="_Toc231562067"/>
      <w:bookmarkStart w:id="1523" w:name="_Toc23349"/>
      <w:bookmarkStart w:id="1524" w:name="_Toc350"/>
      <w:bookmarkStart w:id="1525" w:name="_Toc17826"/>
      <w:bookmarkStart w:id="1526" w:name="_Toc10528"/>
      <w:bookmarkStart w:id="1527" w:name="_Toc18043"/>
      <w:bookmarkStart w:id="1528" w:name="_Toc15438"/>
      <w:bookmarkStart w:id="1529" w:name="_Toc27922"/>
      <w:bookmarkStart w:id="1530" w:name="_Toc16517"/>
      <w:bookmarkStart w:id="1531" w:name="_Toc29567"/>
      <w:bookmarkStart w:id="1532" w:name="_Toc18079"/>
      <w:r>
        <w:rPr>
          <w:rFonts w:hint="eastAsia" w:ascii="楷体_GB2312" w:hAnsi="楷体_GB2312" w:eastAsia="楷体_GB2312" w:cs="楷体_GB2312"/>
          <w:b w:val="0"/>
          <w:bCs w:val="0"/>
          <w:sz w:val="32"/>
          <w:szCs w:val="32"/>
          <w:highlight w:val="none"/>
        </w:rPr>
        <w:t>第一节  提升能源安全保障能力</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14:paraId="25DA1B76">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优化能源基础设施布局。积极衔接上级能源规划，</w:t>
      </w:r>
      <w:r>
        <w:rPr>
          <w:rFonts w:hint="eastAsia" w:ascii="仿宋_GB2312" w:hAnsi="仿宋_GB2312" w:eastAsia="仿宋_GB2312" w:cs="仿宋_GB2312"/>
          <w:b w:val="0"/>
          <w:bCs w:val="0"/>
          <w:sz w:val="32"/>
          <w:szCs w:val="32"/>
          <w:highlight w:val="none"/>
          <w:lang w:val="en-US" w:eastAsia="zh-CN"/>
        </w:rPr>
        <w:t>密切</w:t>
      </w:r>
      <w:r>
        <w:rPr>
          <w:rFonts w:hint="eastAsia" w:ascii="仿宋_GB2312" w:hAnsi="仿宋_GB2312" w:eastAsia="仿宋_GB2312" w:cs="仿宋_GB2312"/>
          <w:b w:val="0"/>
          <w:bCs w:val="0"/>
          <w:sz w:val="32"/>
          <w:szCs w:val="32"/>
          <w:highlight w:val="none"/>
        </w:rPr>
        <w:t>配合推进电力、油气等能源基础设施建设，提升能源供应保障能力。完善能源应急保障机制，提高能源安全保障水平。完善城乡能源供应网络，重点提升农村电网和燃气管网服务水平。</w:t>
      </w:r>
    </w:p>
    <w:p w14:paraId="17B8EA7C">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能源供应的多元化和稳定性。在保障生态环保和安全的前提下，全力配合推进景德镇电厂二期（2台100万千瓦级高效清洁煤电机组）项目等支撑性电源项目落地建设，增强电力供应基础。同时，加强与外部能源供应方的战略合作，拓展油、气、煤等一次能源的输入渠道，形成多源互补的能源供应格局，降低对单一能源或单一通道的依赖。</w:t>
      </w:r>
    </w:p>
    <w:p w14:paraId="3BABC226">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533" w:name="_Toc27763"/>
      <w:bookmarkStart w:id="1534" w:name="_Toc6134"/>
      <w:bookmarkStart w:id="1535" w:name="_Toc10250"/>
      <w:bookmarkStart w:id="1536" w:name="_Toc3102"/>
      <w:bookmarkStart w:id="1537" w:name="_Toc5812"/>
      <w:bookmarkStart w:id="1538" w:name="_Toc11297"/>
      <w:bookmarkStart w:id="1539" w:name="_Toc548"/>
      <w:bookmarkStart w:id="1540" w:name="_Toc16580"/>
      <w:bookmarkStart w:id="1541" w:name="_Toc8054"/>
      <w:bookmarkStart w:id="1542" w:name="_Toc32597"/>
      <w:bookmarkStart w:id="1543" w:name="_Toc9447"/>
      <w:bookmarkStart w:id="1544" w:name="_Toc20453"/>
      <w:bookmarkStart w:id="1545" w:name="_Toc1739"/>
      <w:bookmarkStart w:id="1546" w:name="_Toc12549"/>
      <w:bookmarkStart w:id="1547" w:name="_Toc7493"/>
      <w:bookmarkStart w:id="1548" w:name="_Toc8813"/>
      <w:bookmarkStart w:id="1549" w:name="_Toc4547"/>
      <w:bookmarkStart w:id="1550" w:name="_Toc4770"/>
      <w:bookmarkStart w:id="1551" w:name="_Toc231562068"/>
      <w:bookmarkStart w:id="1552" w:name="_Toc23970"/>
      <w:bookmarkStart w:id="1553" w:name="_Toc3125"/>
      <w:bookmarkStart w:id="1554" w:name="_Toc11966"/>
      <w:bookmarkStart w:id="1555" w:name="_Toc7180"/>
      <w:bookmarkStart w:id="1556" w:name="_Toc26409"/>
      <w:bookmarkStart w:id="1557" w:name="_Toc32614"/>
      <w:bookmarkStart w:id="1558" w:name="_Toc21500"/>
      <w:bookmarkStart w:id="1559" w:name="_Toc26983"/>
      <w:bookmarkStart w:id="1560" w:name="_Toc11120"/>
      <w:bookmarkStart w:id="1561" w:name="_Toc19402"/>
      <w:r>
        <w:rPr>
          <w:rFonts w:hint="eastAsia" w:ascii="楷体_GB2312" w:hAnsi="楷体_GB2312" w:eastAsia="楷体_GB2312" w:cs="楷体_GB2312"/>
          <w:b w:val="0"/>
          <w:bCs w:val="0"/>
          <w:sz w:val="32"/>
          <w:szCs w:val="32"/>
          <w:highlight w:val="none"/>
        </w:rPr>
        <w:t xml:space="preserve">第二节  </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r>
        <w:rPr>
          <w:rFonts w:hint="eastAsia" w:ascii="楷体_GB2312" w:hAnsi="楷体_GB2312" w:eastAsia="楷体_GB2312" w:cs="楷体_GB2312"/>
          <w:b w:val="0"/>
          <w:bCs w:val="0"/>
          <w:sz w:val="32"/>
          <w:szCs w:val="32"/>
          <w:highlight w:val="none"/>
        </w:rPr>
        <w:t>提高新型能源利用效率</w:t>
      </w:r>
      <w:bookmarkEnd w:id="1551"/>
      <w:bookmarkEnd w:id="1552"/>
      <w:bookmarkEnd w:id="1553"/>
      <w:bookmarkEnd w:id="1554"/>
      <w:bookmarkEnd w:id="1555"/>
      <w:bookmarkEnd w:id="1556"/>
      <w:bookmarkEnd w:id="1557"/>
      <w:bookmarkEnd w:id="1558"/>
      <w:bookmarkEnd w:id="1559"/>
      <w:bookmarkEnd w:id="1560"/>
      <w:bookmarkEnd w:id="1561"/>
    </w:p>
    <w:p w14:paraId="25F3F526">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进清洁能源和可再生能源基础设施建设。积极推进新能源基础设施建设，因地制宜、规模化开发利用太阳能、风能、生物质能等清洁能源。鼓励在产业园区、公共建筑、居民住宅等区域建设分布式光伏项目。探索发展新型储能，提升电网对高比例可再生能源的消纳和调控能力。</w:t>
      </w:r>
    </w:p>
    <w:p w14:paraId="72E79A23">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进能源消费侧的节能与智能化管理。加快传统能源基础设施的绿色低碳改造，在工业、建筑、交通等重点领域推广应用节能技术和设备。推进能源消费侧的智能化管理，建设智慧能源管理系统，以需求侧响应、能效优化等手段，提升终端能源利用效率。建立绿色能源认证和交易机制，引导全社会扩大绿色能源消费。</w:t>
      </w:r>
    </w:p>
    <w:tbl>
      <w:tblPr>
        <w:tblStyle w:val="42"/>
        <w:tblpPr w:leftFromText="180" w:rightFromText="180" w:vertAnchor="text" w:horzAnchor="page" w:tblpXSpec="center" w:tblpY="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C9D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6FB5F37A">
            <w:pPr>
              <w:pageBreakBefore w:val="0"/>
              <w:tabs>
                <w:tab w:val="left" w:pos="6725"/>
              </w:tabs>
              <w:kinsoku/>
              <w:wordWrap/>
              <w:overflowPunct/>
              <w:topLinePunct w:val="0"/>
              <w:autoSpaceDE/>
              <w:autoSpaceDN/>
              <w:bidi w:val="0"/>
              <w:spacing w:after="0" w:afterLines="0" w:line="240" w:lineRule="auto"/>
              <w:jc w:val="center"/>
              <w:rPr>
                <w:rFonts w:hint="eastAsia" w:ascii="仿宋_GB2312" w:hAnsi="仿宋_GB2312" w:eastAsia="仿宋_GB2312" w:cs="仿宋_GB2312"/>
                <w:b w:val="0"/>
                <w:bCs w:val="0"/>
                <w:sz w:val="32"/>
                <w:szCs w:val="32"/>
                <w:highlight w:val="none"/>
              </w:rPr>
            </w:pPr>
            <w:r>
              <w:rPr>
                <w:rFonts w:hint="eastAsia" w:ascii="黑体" w:hAnsi="黑体" w:eastAsia="黑体" w:cs="黑体"/>
                <w:b w:val="0"/>
                <w:bCs w:val="0"/>
                <w:sz w:val="24"/>
                <w:highlight w:val="none"/>
                <w:lang w:bidi="ar"/>
              </w:rPr>
              <w:t>专栏8  能源基础设施重点工程</w:t>
            </w:r>
          </w:p>
        </w:tc>
      </w:tr>
      <w:tr w14:paraId="42B6E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2B78EC6B">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24"/>
                <w:highlight w:val="none"/>
              </w:rPr>
              <w:t>推进景德镇电厂二期2x1000MW机组工程项目等支撑性电源项目落地；建设昌江区省级产业园绿能项目、昌江区200MW/400MWh储能电站项目，统筹屋顶光伏、风力发电、储能自用及充电桩设施，构建园区微电网系统。</w:t>
            </w:r>
          </w:p>
        </w:tc>
      </w:tr>
    </w:tbl>
    <w:p w14:paraId="372C9AB7">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1562" w:name="_Toc30529"/>
      <w:bookmarkStart w:id="1563" w:name="_Toc28260"/>
      <w:bookmarkStart w:id="1564" w:name="_Toc231562069"/>
      <w:bookmarkStart w:id="1565" w:name="_Toc20640"/>
      <w:bookmarkStart w:id="1566" w:name="_Toc28030"/>
      <w:bookmarkStart w:id="1567" w:name="_Toc26316"/>
      <w:bookmarkStart w:id="1568" w:name="_Toc19149"/>
      <w:bookmarkStart w:id="1569" w:name="_Toc22908"/>
      <w:bookmarkStart w:id="1570" w:name="_Toc10683"/>
      <w:bookmarkStart w:id="1571" w:name="_Toc22210"/>
      <w:bookmarkStart w:id="1572" w:name="_Toc27838"/>
      <w:bookmarkStart w:id="1573" w:name="_Toc5246"/>
      <w:bookmarkStart w:id="1574" w:name="_Toc16930"/>
      <w:bookmarkStart w:id="1575" w:name="_Toc10474"/>
      <w:bookmarkStart w:id="1576" w:name="_Toc28125"/>
      <w:bookmarkStart w:id="1577" w:name="_Toc22048"/>
      <w:bookmarkStart w:id="1578" w:name="_Toc5029"/>
      <w:bookmarkStart w:id="1579" w:name="_Toc14314"/>
      <w:bookmarkStart w:id="1580" w:name="_Toc16183"/>
      <w:bookmarkStart w:id="1581" w:name="_Toc21231"/>
      <w:bookmarkStart w:id="1582" w:name="_Toc5267"/>
      <w:bookmarkStart w:id="1583" w:name="_Toc14469"/>
      <w:bookmarkStart w:id="1584" w:name="_Toc13008"/>
      <w:bookmarkStart w:id="1585" w:name="_Toc28947"/>
      <w:bookmarkStart w:id="1586" w:name="_Toc27908"/>
      <w:r>
        <w:rPr>
          <w:rFonts w:hint="eastAsia" w:ascii="黑体" w:hAnsi="黑体" w:eastAsia="黑体"/>
          <w:b w:val="0"/>
          <w:bCs w:val="0"/>
          <w:sz w:val="32"/>
          <w:szCs w:val="32"/>
          <w:highlight w:val="none"/>
        </w:rPr>
        <w:t>第四章  适度超前布局数字基础设施</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20CE8166">
      <w:pPr>
        <w:pStyle w:val="41"/>
        <w:pageBreakBefore w:val="0"/>
        <w:kinsoku/>
        <w:wordWrap/>
        <w:overflowPunct/>
        <w:topLinePunct w:val="0"/>
        <w:autoSpaceDE/>
        <w:autoSpaceDN/>
        <w:bidi w:val="0"/>
        <w:adjustRightInd/>
        <w:snapToGrid/>
        <w:spacing w:after="0" w:afterLines="0" w:line="560" w:lineRule="exact"/>
        <w:ind w:left="0" w:leftChars="0" w:firstLine="64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适度超前部署数字基础设施，加快建设5G、千兆光网、卫星互联网等新一代通信网络，构建高速泛在、云网融合、智能敏捷、安全可控的立体化网络体系，持续提升网络覆盖质量与服务能级，夯实经济社会全面数字化转型的网络支撑。统筹完善一体化算力基础设施体系，积极融入国家“东数西算”工程和全国一体化算力网战略布局，推进区域性算力枢纽与绿色数据中心集群建设，打造集算力、算法、数据、应用资源于一体的协同服务体系，强化普惠性公共算力供给，为产业与技术创新提供算力支撑。</w:t>
      </w:r>
    </w:p>
    <w:p w14:paraId="4F5E9B7C">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bookmarkStart w:id="1587" w:name="_Toc4784"/>
      <w:bookmarkStart w:id="1588" w:name="_Toc3104"/>
      <w:bookmarkStart w:id="1589" w:name="_Toc27652"/>
      <w:bookmarkStart w:id="1590" w:name="_Toc1491"/>
      <w:bookmarkStart w:id="1591" w:name="_Toc7791"/>
      <w:bookmarkStart w:id="1592" w:name="_Toc214611247"/>
      <w:bookmarkStart w:id="1593" w:name="_Toc12144"/>
      <w:bookmarkStart w:id="1594" w:name="_Toc7653"/>
      <w:bookmarkStart w:id="1595" w:name="_Toc17326"/>
      <w:bookmarkStart w:id="1596" w:name="_Toc14824"/>
      <w:bookmarkStart w:id="1597" w:name="_Toc215695240"/>
      <w:bookmarkStart w:id="1598" w:name="_Toc12879"/>
      <w:r>
        <w:rPr>
          <w:rFonts w:hint="eastAsia" w:ascii="仿宋_GB2312" w:hAnsi="仿宋_GB2312" w:eastAsia="仿宋_GB2312" w:cs="仿宋_GB2312"/>
          <w:b w:val="0"/>
          <w:bCs w:val="0"/>
          <w:sz w:val="32"/>
          <w:szCs w:val="32"/>
          <w:highlight w:val="none"/>
        </w:rPr>
        <w:br w:type="page"/>
      </w:r>
    </w:p>
    <w:p w14:paraId="6561166F">
      <w:pPr>
        <w:keepNext w:val="0"/>
        <w:keepLines w:val="0"/>
        <w:pageBreakBefore w:val="0"/>
        <w:widowControl w:val="0"/>
        <w:kinsoku/>
        <w:wordWrap/>
        <w:overflowPunct/>
        <w:topLinePunct w:val="0"/>
        <w:autoSpaceDE/>
        <w:autoSpaceDN/>
        <w:bidi w:val="0"/>
        <w:adjustRightInd w:val="0"/>
        <w:snapToGrid w:val="0"/>
        <w:spacing w:after="0" w:afterLines="0" w:line="560" w:lineRule="exact"/>
        <w:jc w:val="center"/>
        <w:textAlignment w:val="auto"/>
        <w:outlineLvl w:val="0"/>
        <w:rPr>
          <w:rFonts w:hint="eastAsia" w:ascii="方正小标宋简体" w:eastAsia="方正小标宋简体"/>
          <w:b w:val="0"/>
          <w:bCs w:val="0"/>
          <w:sz w:val="36"/>
          <w:szCs w:val="36"/>
          <w:highlight w:val="none"/>
        </w:rPr>
      </w:pPr>
      <w:bookmarkStart w:id="1599" w:name="_Toc2246"/>
      <w:bookmarkStart w:id="1600" w:name="_Toc22383"/>
      <w:bookmarkStart w:id="1601" w:name="_Toc16868"/>
      <w:bookmarkStart w:id="1602" w:name="_Toc26748"/>
      <w:bookmarkStart w:id="1603" w:name="_Toc26233"/>
      <w:bookmarkStart w:id="1604" w:name="_Toc8360"/>
      <w:bookmarkStart w:id="1605" w:name="_Toc9380"/>
      <w:bookmarkStart w:id="1606" w:name="_Toc19930"/>
      <w:bookmarkStart w:id="1607" w:name="_Toc8329"/>
      <w:bookmarkStart w:id="1608" w:name="_Toc16045"/>
      <w:bookmarkStart w:id="1609" w:name="_Toc23940"/>
      <w:bookmarkStart w:id="1610" w:name="_Toc957"/>
      <w:bookmarkStart w:id="1611" w:name="_Toc27713"/>
      <w:bookmarkStart w:id="1612" w:name="_Toc23960"/>
      <w:bookmarkStart w:id="1613" w:name="_Toc8851"/>
      <w:bookmarkStart w:id="1614" w:name="_Toc27384"/>
      <w:bookmarkStart w:id="1615" w:name="_Toc24271"/>
      <w:bookmarkStart w:id="1616" w:name="_Toc23554"/>
      <w:bookmarkStart w:id="1617" w:name="_Toc19024"/>
      <w:bookmarkStart w:id="1618" w:name="_Toc231562070"/>
      <w:bookmarkStart w:id="1619" w:name="_Toc29913"/>
      <w:r>
        <w:rPr>
          <w:rFonts w:hint="eastAsia" w:ascii="方正小标宋简体" w:eastAsia="方正小标宋简体"/>
          <w:b w:val="0"/>
          <w:bCs w:val="0"/>
          <w:sz w:val="36"/>
          <w:szCs w:val="36"/>
          <w:highlight w:val="none"/>
        </w:rPr>
        <w:t xml:space="preserve">第六篇  </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r>
        <w:rPr>
          <w:rFonts w:hint="eastAsia" w:ascii="方正小标宋简体" w:eastAsia="方正小标宋简体"/>
          <w:b w:val="0"/>
          <w:bCs w:val="0"/>
          <w:sz w:val="36"/>
          <w:szCs w:val="36"/>
          <w:highlight w:val="none"/>
        </w:rPr>
        <w:t>积极</w:t>
      </w:r>
      <w:r>
        <w:rPr>
          <w:rFonts w:hint="eastAsia" w:ascii="方正小标宋简体" w:eastAsia="方正小标宋简体"/>
          <w:b w:val="0"/>
          <w:bCs w:val="0"/>
          <w:sz w:val="36"/>
          <w:szCs w:val="36"/>
          <w:highlight w:val="none"/>
          <w:lang w:val="en-US" w:eastAsia="zh-CN"/>
        </w:rPr>
        <w:t>融入</w:t>
      </w:r>
      <w:r>
        <w:rPr>
          <w:rFonts w:hint="eastAsia" w:ascii="方正小标宋简体" w:eastAsia="方正小标宋简体"/>
          <w:b w:val="0"/>
          <w:bCs w:val="0"/>
          <w:sz w:val="36"/>
          <w:szCs w:val="36"/>
          <w:highlight w:val="none"/>
        </w:rPr>
        <w:t>国内大市场，激发区域消费投资活力</w:t>
      </w:r>
      <w:bookmarkEnd w:id="1615"/>
      <w:bookmarkEnd w:id="1616"/>
      <w:bookmarkEnd w:id="1617"/>
      <w:bookmarkEnd w:id="1618"/>
      <w:bookmarkEnd w:id="1619"/>
    </w:p>
    <w:bookmarkEnd w:id="1223"/>
    <w:p w14:paraId="487D4A6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330710B2">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以积极服务和融入新发展格局为战略基点，统筹推进消费、投资和流通三大环节，打通经济循环关键堵点。强化重大项目统筹、创新投融资模式，引导资本投向重点产业和民生领域。加快现代流通网络建设，破除要素流动壁垒，实现商品与要素高效流动。推动供需动态平衡，增强经济内生动力和韧性。</w:t>
      </w:r>
    </w:p>
    <w:p w14:paraId="6E7AA60A">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1620" w:name="_Toc231562071"/>
      <w:bookmarkStart w:id="1621" w:name="_Toc19694"/>
      <w:bookmarkStart w:id="1622" w:name="_Toc30911"/>
      <w:bookmarkStart w:id="1623" w:name="_Toc6532"/>
      <w:bookmarkStart w:id="1624" w:name="_Toc26562"/>
      <w:bookmarkStart w:id="1625" w:name="_Toc29157"/>
      <w:bookmarkStart w:id="1626" w:name="_Toc5106"/>
      <w:bookmarkStart w:id="1627" w:name="_Toc30392"/>
      <w:bookmarkStart w:id="1628" w:name="_Toc32158"/>
      <w:bookmarkStart w:id="1629" w:name="_Toc3582"/>
      <w:bookmarkStart w:id="1630" w:name="_Toc6023"/>
      <w:bookmarkStart w:id="1631" w:name="_Toc20005"/>
      <w:bookmarkStart w:id="1632" w:name="_Toc23203"/>
      <w:bookmarkStart w:id="1633" w:name="_Toc28541"/>
      <w:bookmarkStart w:id="1634" w:name="_Toc22868"/>
      <w:bookmarkStart w:id="1635" w:name="_Toc16541"/>
      <w:bookmarkStart w:id="1636" w:name="_Toc25182"/>
      <w:bookmarkStart w:id="1637" w:name="_Toc16144"/>
      <w:bookmarkStart w:id="1638" w:name="_Toc22342"/>
      <w:bookmarkStart w:id="1639" w:name="_Toc21587"/>
      <w:bookmarkStart w:id="1640" w:name="_Toc12905"/>
      <w:bookmarkStart w:id="1641" w:name="_Toc8010"/>
      <w:bookmarkStart w:id="1642" w:name="_Toc21455"/>
      <w:bookmarkStart w:id="1643" w:name="_Toc2748"/>
      <w:bookmarkStart w:id="1644" w:name="_Toc2192"/>
      <w:bookmarkStart w:id="1645" w:name="_Toc73"/>
      <w:bookmarkStart w:id="1646" w:name="_Toc23481"/>
      <w:bookmarkStart w:id="1647" w:name="_Toc214611248"/>
      <w:bookmarkStart w:id="1648" w:name="_Toc19839"/>
      <w:bookmarkStart w:id="1649" w:name="_Toc15688"/>
      <w:bookmarkStart w:id="1650" w:name="_Toc15888"/>
      <w:bookmarkStart w:id="1651" w:name="_Toc215695241"/>
      <w:bookmarkStart w:id="1652" w:name="_Toc14855"/>
      <w:r>
        <w:rPr>
          <w:rFonts w:hint="eastAsia" w:ascii="黑体" w:hAnsi="黑体" w:eastAsia="黑体"/>
          <w:b w:val="0"/>
          <w:bCs w:val="0"/>
          <w:sz w:val="32"/>
          <w:szCs w:val="32"/>
          <w:highlight w:val="none"/>
        </w:rPr>
        <w:t>第一章  大力提振消费</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p>
    <w:p w14:paraId="7F418987">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653" w:name="_Toc19349"/>
      <w:bookmarkStart w:id="1654" w:name="_Toc24593"/>
      <w:bookmarkStart w:id="1655" w:name="_Toc20365"/>
      <w:bookmarkStart w:id="1656" w:name="_Toc24763"/>
      <w:bookmarkStart w:id="1657" w:name="_Toc28427"/>
      <w:bookmarkStart w:id="1658" w:name="_Toc32251"/>
      <w:bookmarkStart w:id="1659" w:name="_Toc6553"/>
      <w:bookmarkStart w:id="1660" w:name="_Toc7968"/>
      <w:bookmarkStart w:id="1661" w:name="_Toc4915"/>
      <w:bookmarkStart w:id="1662" w:name="_Toc29602"/>
      <w:bookmarkStart w:id="1663" w:name="_Toc12488"/>
      <w:bookmarkStart w:id="1664" w:name="_Toc4588"/>
      <w:bookmarkStart w:id="1665" w:name="_Toc25712"/>
      <w:bookmarkStart w:id="1666" w:name="_Toc3827"/>
      <w:bookmarkStart w:id="1667" w:name="_Toc215695242"/>
      <w:bookmarkStart w:id="1668" w:name="_Toc29340"/>
      <w:bookmarkStart w:id="1669" w:name="_Toc6982"/>
      <w:bookmarkStart w:id="1670" w:name="_Toc27077"/>
      <w:bookmarkStart w:id="1671" w:name="_Toc2851"/>
      <w:bookmarkStart w:id="1672" w:name="_Toc23703"/>
      <w:bookmarkStart w:id="1673" w:name="_Toc31966"/>
      <w:bookmarkStart w:id="1674" w:name="_Toc24309"/>
      <w:bookmarkStart w:id="1675" w:name="_Toc9785"/>
      <w:bookmarkStart w:id="1676" w:name="_Toc214611249"/>
      <w:bookmarkStart w:id="1677" w:name="_Toc19744"/>
      <w:bookmarkStart w:id="1678" w:name="_Toc13956"/>
      <w:bookmarkStart w:id="1679" w:name="_Toc6717"/>
      <w:bookmarkStart w:id="1680" w:name="_Toc1656"/>
      <w:bookmarkStart w:id="1681" w:name="_Toc24962"/>
      <w:bookmarkStart w:id="1682" w:name="_Toc231562072"/>
      <w:bookmarkStart w:id="1683" w:name="_Toc13976"/>
      <w:bookmarkStart w:id="1684" w:name="_Toc11635"/>
      <w:bookmarkStart w:id="1685" w:name="_Toc19963"/>
      <w:r>
        <w:rPr>
          <w:rFonts w:hint="eastAsia" w:ascii="楷体_GB2312" w:hAnsi="楷体_GB2312" w:eastAsia="楷体_GB2312" w:cs="楷体_GB2312"/>
          <w:b w:val="0"/>
          <w:bCs w:val="0"/>
          <w:sz w:val="32"/>
          <w:szCs w:val="32"/>
          <w:highlight w:val="none"/>
        </w:rPr>
        <w:t>第一节  构建现代商业体系</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5712928C">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优化商业网络布局。立足区域发展实际，科学规划商业空间布局，构建“核心商圈－特色街区－社区商业”三级商业网络体系。做强昌南里、古窑印象、景德镇农产品批发市场、豪德建材市场等核心商圈，合理布局社区商业中心，形成层次分明、功能互补的商业发展格局。优化商业设施布局，提升商业服务覆盖面和便利度，满足居民多元化消费需求。统筹周边区域消费潜力，联动乐平等周边人口集聚区，将昌江大型商贸联合体、核心消费载体打造成为区域消费集聚地。</w:t>
      </w:r>
    </w:p>
    <w:p w14:paraId="1417ECF3">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培育壮大市场主体。深入实施“贸易兴区”四年行动计划，系统推进强平台、育主体、畅物流、促消费四大专项行动。建立限上企业培育库，推进限下转限上，强化专业市场统计试点。支持传统商贸企业转型升级，鼓励电商企业参与“网上年货节”“双十一”等活动，培育“荷塘酱坊”“古镇丽阳”等本地电商品牌。完善区、乡、村三级商业服务网络与物流体系，畅通城乡流通“微循环”，增强市场主体活力和竞争力。</w:t>
      </w:r>
    </w:p>
    <w:p w14:paraId="121B999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商业基础设施。加快推进昌江大型商贸联合体建设，提升商业设施现代化水平。改造提升传统商业设施，完善停车场、充电桩等配套设施。推动商业设施与公共交通无缝衔接，提升消费便利性。加强商业街区环境整治，营造舒适宜人的消费空间，为消费升级提供硬件支撑。</w:t>
      </w:r>
    </w:p>
    <w:p w14:paraId="203C5153">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686" w:name="_Toc30666"/>
      <w:bookmarkStart w:id="1687" w:name="_Toc25559"/>
      <w:bookmarkStart w:id="1688" w:name="_Toc7502"/>
      <w:bookmarkStart w:id="1689" w:name="_Toc18742"/>
      <w:bookmarkStart w:id="1690" w:name="_Toc14302"/>
      <w:bookmarkStart w:id="1691" w:name="_Toc14429"/>
      <w:bookmarkStart w:id="1692" w:name="_Toc23900"/>
      <w:bookmarkStart w:id="1693" w:name="_Toc1453"/>
      <w:bookmarkStart w:id="1694" w:name="_Toc231562073"/>
      <w:bookmarkStart w:id="1695" w:name="_Toc14697"/>
      <w:bookmarkStart w:id="1696" w:name="_Toc18614"/>
      <w:bookmarkStart w:id="1697" w:name="_Toc9900"/>
      <w:bookmarkStart w:id="1698" w:name="_Toc30390"/>
      <w:bookmarkStart w:id="1699" w:name="_Toc15613"/>
      <w:bookmarkStart w:id="1700" w:name="_Toc6676"/>
      <w:bookmarkStart w:id="1701" w:name="_Toc30895"/>
      <w:bookmarkStart w:id="1702" w:name="_Toc214611250"/>
      <w:bookmarkStart w:id="1703" w:name="_Toc15340"/>
      <w:bookmarkStart w:id="1704" w:name="_Toc15299"/>
      <w:bookmarkStart w:id="1705" w:name="_Toc10155"/>
      <w:bookmarkStart w:id="1706" w:name="_Toc5535"/>
      <w:bookmarkStart w:id="1707" w:name="_Toc17633"/>
      <w:bookmarkStart w:id="1708" w:name="_Toc15142"/>
      <w:bookmarkStart w:id="1709" w:name="_Toc215695243"/>
      <w:bookmarkStart w:id="1710" w:name="_Toc324"/>
      <w:bookmarkStart w:id="1711" w:name="_Toc29293"/>
      <w:bookmarkStart w:id="1712" w:name="_Toc3183"/>
      <w:bookmarkStart w:id="1713" w:name="_Toc18946"/>
      <w:bookmarkStart w:id="1714" w:name="_Toc14103"/>
      <w:bookmarkStart w:id="1715" w:name="_Toc5287"/>
      <w:bookmarkStart w:id="1716" w:name="_Toc31011"/>
      <w:bookmarkStart w:id="1717" w:name="_Toc5770"/>
      <w:bookmarkStart w:id="1718" w:name="_Toc27418"/>
      <w:r>
        <w:rPr>
          <w:rFonts w:hint="eastAsia" w:ascii="楷体_GB2312" w:hAnsi="楷体_GB2312" w:eastAsia="楷体_GB2312" w:cs="楷体_GB2312"/>
          <w:b w:val="0"/>
          <w:bCs w:val="0"/>
          <w:sz w:val="32"/>
          <w:szCs w:val="32"/>
          <w:highlight w:val="none"/>
        </w:rPr>
        <w:t>第二节  创新消费供给模式</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14:paraId="6569518E">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发展新型消费业态。整合本地各行业优质商家资源，促进消费资金本地循环，挖掘数据价值培育本地消费新模式，形成数字化消费管理和精准服务能力。培育直播电商、社交电商等新业态，支持“三河·京东购”等电商平台发展。鼓励企业开展数字化营销，拓展线上消费渠道。促进线上线下消费深度融合，培育消费新增长点。</w:t>
      </w:r>
    </w:p>
    <w:p w14:paraId="5163C23B">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打造特色消费场景。加快建设商业综合体，积极发展“首店经济”“首发经济”，引进国内外知名品牌，提升消费吸引力。推动文商旅体融合，发展夜间经济、街区经济、会展经济，打造沉浸式、体验式消费新场景。依托“240小时过境免签”政策，加快昌南里潮玩小镇、宁封窑4A级景区建设，打造青年友好型文旅消费新地标。举办文旅消费季等品牌化、常态化节庆活动，营造浓厚消费氛围。</w:t>
      </w:r>
    </w:p>
    <w:p w14:paraId="0991DEFD">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丰富优质商品供给。增加优质商品和服务供给，满足居民品质化消费需求。培育本土消费品牌，提升产品竞争力。扩大绿色、智能、健康等新兴消费供给。推动养老、育幼、文化、体育等服务消费提质扩容，构建多元化、高品质的消费供给体系。</w:t>
      </w:r>
    </w:p>
    <w:p w14:paraId="20C0EE80">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719" w:name="_Toc12033"/>
      <w:bookmarkStart w:id="1720" w:name="_Toc3857"/>
      <w:bookmarkStart w:id="1721" w:name="_Toc16466"/>
      <w:bookmarkStart w:id="1722" w:name="_Toc25152"/>
      <w:bookmarkStart w:id="1723" w:name="_Toc5421"/>
      <w:bookmarkStart w:id="1724" w:name="_Toc214611251"/>
      <w:bookmarkStart w:id="1725" w:name="_Toc7134"/>
      <w:bookmarkStart w:id="1726" w:name="_Toc8297"/>
      <w:bookmarkStart w:id="1727" w:name="_Toc231562074"/>
      <w:bookmarkStart w:id="1728" w:name="_Toc3467"/>
      <w:bookmarkStart w:id="1729" w:name="_Toc3465"/>
      <w:bookmarkStart w:id="1730" w:name="_Toc23419"/>
      <w:bookmarkStart w:id="1731" w:name="_Toc13876"/>
      <w:bookmarkStart w:id="1732" w:name="_Toc21303"/>
      <w:bookmarkStart w:id="1733" w:name="_Toc5377"/>
      <w:bookmarkStart w:id="1734" w:name="_Toc31362"/>
      <w:bookmarkStart w:id="1735" w:name="_Toc1427"/>
      <w:bookmarkStart w:id="1736" w:name="_Toc31221"/>
      <w:bookmarkStart w:id="1737" w:name="_Toc31900"/>
      <w:bookmarkStart w:id="1738" w:name="_Toc25897"/>
      <w:bookmarkStart w:id="1739" w:name="_Toc13928"/>
      <w:bookmarkStart w:id="1740" w:name="_Toc19888"/>
      <w:bookmarkStart w:id="1741" w:name="_Toc13733"/>
      <w:bookmarkStart w:id="1742" w:name="_Toc13746"/>
      <w:bookmarkStart w:id="1743" w:name="_Toc215695244"/>
      <w:bookmarkStart w:id="1744" w:name="_Toc18815"/>
      <w:bookmarkStart w:id="1745" w:name="_Toc31619"/>
      <w:bookmarkStart w:id="1746" w:name="_Toc18191"/>
      <w:bookmarkStart w:id="1747" w:name="_Toc16509"/>
      <w:bookmarkStart w:id="1748" w:name="_Toc31643"/>
      <w:bookmarkStart w:id="1749" w:name="_Toc17689"/>
      <w:bookmarkStart w:id="1750" w:name="_Toc19234"/>
      <w:bookmarkStart w:id="1751" w:name="_Toc13596"/>
      <w:r>
        <w:rPr>
          <w:rFonts w:hint="eastAsia" w:ascii="楷体_GB2312" w:hAnsi="楷体_GB2312" w:eastAsia="楷体_GB2312" w:cs="楷体_GB2312"/>
          <w:b w:val="0"/>
          <w:bCs w:val="0"/>
          <w:sz w:val="32"/>
          <w:szCs w:val="32"/>
          <w:highlight w:val="none"/>
        </w:rPr>
        <w:t>第三节  优化市场消费环境</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14:paraId="79FD918F">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规范市场经营秩序。加强市场监管，规范夜市经营管理，推动商业街区提质升级。完善商品服务质量监管体系，强化消费者权益保护。推进诚信体系建设，建立失信联合惩戒机制。加强价格监管，维护公平竞争市场环境，让消费者放心消费、安心消费。</w:t>
      </w:r>
    </w:p>
    <w:p w14:paraId="2AA4919D">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政策支持引导。落实消费品以旧换新等促消费政策，创新开展消费促进活动。完善促消费长效机制，健全消费者权益保护机制。优化消费领域基础设施建设投入机制。加强宣传引导，提振消费信心，构建安全放心、便捷舒适的消费环境。</w:t>
      </w:r>
    </w:p>
    <w:p w14:paraId="4E901021">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1752" w:name="_Toc32554"/>
      <w:bookmarkStart w:id="1753" w:name="_Toc21316"/>
      <w:bookmarkStart w:id="1754" w:name="_Toc19906"/>
      <w:bookmarkStart w:id="1755" w:name="_Toc11271"/>
      <w:bookmarkStart w:id="1756" w:name="_Toc30074"/>
      <w:bookmarkStart w:id="1757" w:name="_Toc214611252"/>
      <w:bookmarkStart w:id="1758" w:name="_Toc1227"/>
      <w:bookmarkStart w:id="1759" w:name="_Toc26133"/>
      <w:bookmarkStart w:id="1760" w:name="_Toc20496"/>
      <w:bookmarkStart w:id="1761" w:name="_Toc25812"/>
      <w:bookmarkStart w:id="1762" w:name="_Toc28215"/>
      <w:bookmarkStart w:id="1763" w:name="_Toc29497"/>
      <w:bookmarkStart w:id="1764" w:name="_Toc327"/>
      <w:bookmarkStart w:id="1765" w:name="_Toc15625"/>
      <w:bookmarkStart w:id="1766" w:name="_Toc14587"/>
      <w:bookmarkStart w:id="1767" w:name="_Toc231562075"/>
      <w:bookmarkStart w:id="1768" w:name="_Toc27776"/>
      <w:bookmarkStart w:id="1769" w:name="_Toc27849"/>
      <w:bookmarkStart w:id="1770" w:name="_Toc6364"/>
      <w:bookmarkStart w:id="1771" w:name="_Toc11995"/>
      <w:bookmarkStart w:id="1772" w:name="_Toc1116"/>
      <w:bookmarkStart w:id="1773" w:name="_Toc17285"/>
      <w:bookmarkStart w:id="1774" w:name="_Toc676"/>
      <w:bookmarkStart w:id="1775" w:name="_Toc5086"/>
      <w:bookmarkStart w:id="1776" w:name="_Toc3906"/>
      <w:bookmarkStart w:id="1777" w:name="_Toc31364"/>
      <w:bookmarkStart w:id="1778" w:name="_Toc25642"/>
      <w:bookmarkStart w:id="1779" w:name="_Toc29851"/>
      <w:bookmarkStart w:id="1780" w:name="_Toc4360"/>
      <w:bookmarkStart w:id="1781" w:name="_Toc12633"/>
      <w:bookmarkStart w:id="1782" w:name="_Toc20567"/>
      <w:bookmarkStart w:id="1783" w:name="_Toc215695245"/>
      <w:bookmarkStart w:id="1784" w:name="_Toc4708"/>
      <w:r>
        <w:rPr>
          <w:rFonts w:hint="eastAsia" w:ascii="黑体" w:hAnsi="黑体" w:eastAsia="黑体"/>
          <w:b w:val="0"/>
          <w:bCs w:val="0"/>
          <w:sz w:val="32"/>
          <w:szCs w:val="32"/>
          <w:highlight w:val="none"/>
        </w:rPr>
        <w:t>第二章  扩大有效投资</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14:paraId="4AEBF636">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785" w:name="_Toc15701"/>
      <w:bookmarkStart w:id="1786" w:name="_Toc9958"/>
      <w:bookmarkStart w:id="1787" w:name="_Toc14096"/>
      <w:bookmarkStart w:id="1788" w:name="_Toc2357"/>
      <w:bookmarkStart w:id="1789" w:name="_Toc8820"/>
      <w:bookmarkStart w:id="1790" w:name="_Toc1267"/>
      <w:bookmarkStart w:id="1791" w:name="_Toc5731"/>
      <w:bookmarkStart w:id="1792" w:name="_Toc231562076"/>
      <w:bookmarkStart w:id="1793" w:name="_Toc10724"/>
      <w:bookmarkStart w:id="1794" w:name="_Toc12221"/>
      <w:bookmarkStart w:id="1795" w:name="_Toc1471"/>
      <w:bookmarkStart w:id="1796" w:name="_Toc4749"/>
      <w:bookmarkStart w:id="1797" w:name="_Toc31154"/>
      <w:bookmarkStart w:id="1798" w:name="_Toc7763"/>
      <w:bookmarkStart w:id="1799" w:name="_Toc4306"/>
      <w:bookmarkStart w:id="1800" w:name="_Toc27106"/>
      <w:bookmarkStart w:id="1801" w:name="_Toc6987"/>
      <w:bookmarkStart w:id="1802" w:name="_Toc25641"/>
      <w:bookmarkStart w:id="1803" w:name="_Toc25465"/>
      <w:bookmarkStart w:id="1804" w:name="_Toc3639"/>
      <w:bookmarkStart w:id="1805" w:name="_Toc215695246"/>
      <w:bookmarkStart w:id="1806" w:name="_Toc17952"/>
      <w:bookmarkStart w:id="1807" w:name="_Toc13534"/>
      <w:bookmarkStart w:id="1808" w:name="_Toc19664"/>
      <w:bookmarkStart w:id="1809" w:name="_Toc3733"/>
      <w:bookmarkStart w:id="1810" w:name="_Toc2134"/>
      <w:bookmarkStart w:id="1811" w:name="_Toc26759"/>
      <w:bookmarkStart w:id="1812" w:name="_Toc31007"/>
      <w:bookmarkStart w:id="1813" w:name="_Toc24829"/>
      <w:bookmarkStart w:id="1814" w:name="_Toc12247"/>
      <w:bookmarkStart w:id="1815" w:name="_Toc13106"/>
      <w:bookmarkStart w:id="1816" w:name="_Toc2693"/>
      <w:r>
        <w:rPr>
          <w:rFonts w:hint="eastAsia" w:ascii="楷体_GB2312" w:hAnsi="楷体_GB2312" w:eastAsia="楷体_GB2312" w:cs="楷体_GB2312"/>
          <w:b w:val="0"/>
          <w:bCs w:val="0"/>
          <w:sz w:val="32"/>
          <w:szCs w:val="32"/>
          <w:highlight w:val="none"/>
        </w:rPr>
        <w:t>第一节  强化重大项目统筹</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14:paraId="1EFA91D5">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建设数字化投资统筹平台。打造“项目库+资金池+调度系统”三位一体的数字化管理平台，实时跟踪项目进展、资源配置及潜在风险，推动跨部门信息共享，形成审批、监管和绩效考核闭环，实现从项目立项、资金保障、建设实施到竣工验收的全过程管理。</w:t>
      </w:r>
    </w:p>
    <w:p w14:paraId="1D8AE997">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优先保障关键投资要素。建立项目储备库和资金调度机制，确保重点建设项目优先获取建设用地、建设资金、核心设备和专业技术服务。联动产业链协同和上下游资源，提高投资效率，确保资金、技术和物资顺畅流转，实现投资效益最大化。</w:t>
      </w:r>
    </w:p>
    <w:p w14:paraId="5C26A4D3">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严控全生命周期风险。建立项目从前期规划、审批、建设到竣工验收和运营维护的闭环管理体系。强化风险监测与动态评估。对项目建设进度、资金使用情况和资源调配实行动态监控。建立预警机制，对可能影响实施进度、项目质量和投资效益的风险及时研判、处置，确保投资项目安全、高效、可持续运行。</w:t>
      </w:r>
    </w:p>
    <w:p w14:paraId="2A30D543">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817" w:name="_Toc1321"/>
      <w:bookmarkStart w:id="1818" w:name="_Toc19251"/>
      <w:bookmarkStart w:id="1819" w:name="_Toc215695247"/>
      <w:bookmarkStart w:id="1820" w:name="_Toc25800"/>
      <w:bookmarkStart w:id="1821" w:name="_Toc26931"/>
      <w:bookmarkStart w:id="1822" w:name="_Toc10695"/>
      <w:bookmarkStart w:id="1823" w:name="_Toc8077"/>
      <w:bookmarkStart w:id="1824" w:name="_Toc20022"/>
      <w:bookmarkStart w:id="1825" w:name="_Toc24566"/>
      <w:bookmarkStart w:id="1826" w:name="_Toc3171"/>
      <w:bookmarkStart w:id="1827" w:name="_Toc16066"/>
      <w:bookmarkStart w:id="1828" w:name="_Toc11481"/>
      <w:bookmarkStart w:id="1829" w:name="_Toc3904"/>
      <w:bookmarkStart w:id="1830" w:name="_Toc30726"/>
      <w:bookmarkStart w:id="1831" w:name="_Toc23454"/>
      <w:bookmarkStart w:id="1832" w:name="_Toc14121"/>
      <w:bookmarkStart w:id="1833" w:name="_Toc16143"/>
      <w:bookmarkStart w:id="1834" w:name="_Toc10070"/>
      <w:bookmarkStart w:id="1835" w:name="_Toc18011"/>
      <w:bookmarkStart w:id="1836" w:name="_Toc231562077"/>
      <w:bookmarkStart w:id="1837" w:name="_Toc26307"/>
      <w:bookmarkStart w:id="1838" w:name="_Toc27355"/>
      <w:bookmarkStart w:id="1839" w:name="_Toc19074"/>
      <w:bookmarkStart w:id="1840" w:name="_Toc5376"/>
      <w:bookmarkStart w:id="1841" w:name="_Toc24511"/>
      <w:bookmarkStart w:id="1842" w:name="_Toc19953"/>
      <w:bookmarkStart w:id="1843" w:name="_Toc22487"/>
      <w:bookmarkStart w:id="1844" w:name="_Toc23028"/>
      <w:bookmarkStart w:id="1845" w:name="_Toc11397"/>
      <w:bookmarkStart w:id="1846" w:name="_Toc8589"/>
      <w:bookmarkStart w:id="1847" w:name="_Toc22182"/>
      <w:bookmarkStart w:id="1848" w:name="_Toc32734"/>
      <w:r>
        <w:rPr>
          <w:rFonts w:hint="eastAsia" w:ascii="楷体_GB2312" w:hAnsi="楷体_GB2312" w:eastAsia="楷体_GB2312" w:cs="楷体_GB2312"/>
          <w:b w:val="0"/>
          <w:bCs w:val="0"/>
          <w:sz w:val="32"/>
          <w:szCs w:val="32"/>
          <w:highlight w:val="none"/>
        </w:rPr>
        <w:t>第二节  创新投融资模式</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6F61F810">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探索多元化融资渠道。推动政府引导基金、产业基金等参与重大项目投资。鼓励商业银行、保险机构及社会资本共同投入，形成“政府引导+社会资本+金融机构”的多层次投融资体系。探索经营性资产质押、无形资产融资、预期收益权融资等创新方式，为项目提供多元、灵活、可持续的资金支持。</w:t>
      </w:r>
    </w:p>
    <w:p w14:paraId="07EA1B58">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优化区属平台公司作用。引导区属平台公司明确市场化运营定位，优化资产结构，提升资本运营和资源整合能力。推动平台公司参与PPP新机制项目、产业基金投资及城市更新项目，实现资源优化配置、风险可控、收益共享，提升投资效率和资金使用效益。</w:t>
      </w:r>
    </w:p>
    <w:p w14:paraId="3B27C4A7">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849" w:name="_Toc18746"/>
      <w:bookmarkStart w:id="1850" w:name="_Toc26635"/>
      <w:bookmarkStart w:id="1851" w:name="_Toc7748"/>
      <w:bookmarkStart w:id="1852" w:name="_Toc28163"/>
      <w:bookmarkStart w:id="1853" w:name="_Toc16075"/>
      <w:bookmarkStart w:id="1854" w:name="_Toc26416"/>
      <w:bookmarkStart w:id="1855" w:name="_Toc20738"/>
      <w:bookmarkStart w:id="1856" w:name="_Toc18509"/>
      <w:bookmarkStart w:id="1857" w:name="_Toc17043"/>
      <w:bookmarkStart w:id="1858" w:name="_Toc19273"/>
      <w:bookmarkStart w:id="1859" w:name="_Toc4589"/>
      <w:bookmarkStart w:id="1860" w:name="_Toc12346"/>
      <w:bookmarkStart w:id="1861" w:name="_Toc215695248"/>
      <w:bookmarkStart w:id="1862" w:name="_Toc5257"/>
      <w:bookmarkStart w:id="1863" w:name="_Toc2542"/>
      <w:bookmarkStart w:id="1864" w:name="_Toc22088"/>
      <w:bookmarkStart w:id="1865" w:name="_Toc9460"/>
      <w:bookmarkStart w:id="1866" w:name="_Toc14656"/>
      <w:bookmarkStart w:id="1867" w:name="_Toc1911"/>
      <w:bookmarkStart w:id="1868" w:name="_Toc23958"/>
      <w:bookmarkStart w:id="1869" w:name="_Toc5661"/>
      <w:bookmarkStart w:id="1870" w:name="_Toc13184"/>
      <w:bookmarkStart w:id="1871" w:name="_Toc30706"/>
      <w:bookmarkStart w:id="1872" w:name="_Toc25700"/>
      <w:bookmarkStart w:id="1873" w:name="_Toc28379"/>
      <w:bookmarkStart w:id="1874" w:name="_Toc26177"/>
      <w:bookmarkStart w:id="1875" w:name="_Toc12380"/>
      <w:bookmarkStart w:id="1876" w:name="_Toc28127"/>
      <w:bookmarkStart w:id="1877" w:name="_Toc23091"/>
      <w:bookmarkStart w:id="1878" w:name="_Toc20157"/>
      <w:bookmarkStart w:id="1879" w:name="_Toc3488"/>
      <w:bookmarkStart w:id="1880" w:name="_Toc231562078"/>
      <w:r>
        <w:rPr>
          <w:rFonts w:hint="eastAsia" w:ascii="楷体_GB2312" w:hAnsi="楷体_GB2312" w:eastAsia="楷体_GB2312" w:cs="楷体_GB2312"/>
          <w:b w:val="0"/>
          <w:bCs w:val="0"/>
          <w:sz w:val="32"/>
          <w:szCs w:val="32"/>
          <w:highlight w:val="none"/>
        </w:rPr>
        <w:t>第三节  推动有效投资落地</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14:paraId="20A255D1">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精准储备项目与招商目标。健全招商引资和本地重点企业扶持政策，推动企业稳健发展，促进项目有序落地。建立项目储备库和投资地图，明确重点产业、创新项目和高端人才项目。实施领导挂帅、部门推进、属地服务的联动机制，坚持月度通报、季度调度，实现招商、审批、用地、建设全链条动态管理，提高投资落地速度。</w:t>
      </w:r>
    </w:p>
    <w:p w14:paraId="60ECE6A7">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优化招商服务。推行“签约即备案、拿地即开工、竣工即投产”全流程服务机制。搭建投资服务一体化平台，实现注册、融资、审批、人才等事项无缝对接。健全政企沟通机制，推动企业诉求台账销号和线上线下双通道反馈，提升投资企业落地效率。</w:t>
      </w:r>
    </w:p>
    <w:p w14:paraId="4574E0D5">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1881" w:name="_Toc15240"/>
      <w:bookmarkStart w:id="1882" w:name="_Toc31711"/>
      <w:bookmarkStart w:id="1883" w:name="_Toc2500"/>
      <w:bookmarkStart w:id="1884" w:name="_Toc3952"/>
      <w:bookmarkStart w:id="1885" w:name="_Toc30985"/>
      <w:bookmarkStart w:id="1886" w:name="_Toc21011"/>
      <w:bookmarkStart w:id="1887" w:name="_Toc11200"/>
      <w:bookmarkStart w:id="1888" w:name="_Toc17363"/>
      <w:bookmarkStart w:id="1889" w:name="_Toc8781"/>
      <w:bookmarkStart w:id="1890" w:name="_Toc406"/>
      <w:bookmarkStart w:id="1891" w:name="_Toc1876"/>
      <w:bookmarkStart w:id="1892" w:name="_Toc1207"/>
      <w:bookmarkStart w:id="1893" w:name="_Toc23932"/>
      <w:bookmarkStart w:id="1894" w:name="_Toc19339"/>
      <w:bookmarkStart w:id="1895" w:name="_Toc32258"/>
      <w:bookmarkStart w:id="1896" w:name="_Toc2378"/>
      <w:bookmarkStart w:id="1897" w:name="_Toc6344"/>
      <w:bookmarkStart w:id="1898" w:name="_Toc2337"/>
      <w:bookmarkStart w:id="1899" w:name="_Toc10851"/>
      <w:bookmarkStart w:id="1900" w:name="_Toc15319"/>
      <w:bookmarkStart w:id="1901" w:name="_Toc20560"/>
      <w:bookmarkStart w:id="1902" w:name="_Toc5213"/>
      <w:bookmarkStart w:id="1903" w:name="_Toc17053"/>
      <w:bookmarkStart w:id="1904" w:name="_Toc19724"/>
      <w:bookmarkStart w:id="1905" w:name="_Toc15392"/>
      <w:bookmarkStart w:id="1906" w:name="_Toc16500"/>
      <w:bookmarkStart w:id="1907" w:name="_Toc15378"/>
      <w:bookmarkStart w:id="1908" w:name="_Toc10673"/>
      <w:bookmarkStart w:id="1909" w:name="_Toc17164"/>
      <w:bookmarkStart w:id="1910" w:name="_Toc231562079"/>
      <w:bookmarkStart w:id="1911" w:name="_Toc29420"/>
      <w:bookmarkStart w:id="1912" w:name="_Toc215695250"/>
      <w:bookmarkStart w:id="1913" w:name="_Toc10520"/>
      <w:bookmarkStart w:id="1914" w:name="_Toc19445"/>
      <w:bookmarkStart w:id="1915" w:name="_Toc9040"/>
      <w:bookmarkStart w:id="1916" w:name="_Toc214611255"/>
      <w:bookmarkStart w:id="1917" w:name="_Toc6930"/>
      <w:bookmarkStart w:id="1918" w:name="_Toc21664"/>
      <w:bookmarkStart w:id="1919" w:name="_Toc24704"/>
      <w:r>
        <w:rPr>
          <w:rFonts w:hint="eastAsia" w:ascii="黑体" w:hAnsi="黑体" w:eastAsia="黑体"/>
          <w:b w:val="0"/>
          <w:bCs w:val="0"/>
          <w:sz w:val="32"/>
          <w:szCs w:val="32"/>
          <w:highlight w:val="none"/>
        </w:rPr>
        <w:t>第三章  积极落实统一市场制度规则</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14:paraId="32AEA0F2">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920" w:name="_Toc22935"/>
      <w:bookmarkStart w:id="1921" w:name="_Toc9438"/>
      <w:bookmarkStart w:id="1922" w:name="_Toc8699"/>
      <w:bookmarkStart w:id="1923" w:name="_Toc30729"/>
      <w:bookmarkStart w:id="1924" w:name="_Toc19973"/>
      <w:bookmarkStart w:id="1925" w:name="_Toc17517"/>
      <w:bookmarkStart w:id="1926" w:name="_Toc23859"/>
      <w:bookmarkStart w:id="1927" w:name="_Toc23821"/>
      <w:bookmarkStart w:id="1928" w:name="_Toc8546"/>
      <w:bookmarkStart w:id="1929" w:name="_Toc22300"/>
      <w:bookmarkStart w:id="1930" w:name="_Toc30838"/>
      <w:bookmarkStart w:id="1931" w:name="_Toc1360"/>
      <w:bookmarkStart w:id="1932" w:name="_Toc32432"/>
      <w:bookmarkStart w:id="1933" w:name="_Toc7106"/>
      <w:bookmarkStart w:id="1934" w:name="_Toc22303"/>
      <w:bookmarkStart w:id="1935" w:name="_Toc28688"/>
      <w:bookmarkStart w:id="1936" w:name="_Toc231562080"/>
      <w:bookmarkStart w:id="1937" w:name="_Toc31394"/>
      <w:bookmarkStart w:id="1938" w:name="_Toc1616"/>
      <w:bookmarkStart w:id="1939" w:name="_Toc2004"/>
      <w:bookmarkStart w:id="1940" w:name="_Toc18365"/>
      <w:bookmarkStart w:id="1941" w:name="_Toc20791"/>
      <w:bookmarkStart w:id="1942" w:name="_Toc20837"/>
      <w:bookmarkStart w:id="1943" w:name="_Toc32380"/>
      <w:bookmarkStart w:id="1944" w:name="_Toc1604"/>
      <w:bookmarkStart w:id="1945" w:name="_Toc8271"/>
      <w:bookmarkStart w:id="1946" w:name="_Toc25789"/>
      <w:bookmarkStart w:id="1947" w:name="_Toc8011"/>
      <w:bookmarkStart w:id="1948" w:name="_Toc21277"/>
      <w:bookmarkStart w:id="1949" w:name="_Toc32488"/>
      <w:bookmarkStart w:id="1950" w:name="_Toc21887"/>
      <w:r>
        <w:rPr>
          <w:rFonts w:hint="eastAsia" w:ascii="楷体_GB2312" w:hAnsi="楷体_GB2312" w:eastAsia="楷体_GB2312" w:cs="楷体_GB2312"/>
          <w:b w:val="0"/>
          <w:bCs w:val="0"/>
          <w:sz w:val="32"/>
          <w:szCs w:val="32"/>
          <w:highlight w:val="none"/>
        </w:rPr>
        <w:t>第一节  加大产权保护力度</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p>
    <w:p w14:paraId="0FA17B6F">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健全以公平为原则的产权保护制度。</w:t>
      </w:r>
      <w:r>
        <w:rPr>
          <w:rFonts w:ascii="仿宋_GB2312" w:hAnsi="仿宋_GB2312" w:eastAsia="仿宋_GB2312" w:cs="仿宋_GB2312"/>
          <w:b w:val="0"/>
          <w:bCs w:val="0"/>
          <w:sz w:val="32"/>
          <w:szCs w:val="32"/>
          <w:highlight w:val="none"/>
        </w:rPr>
        <w:t>依法平等保护各种所有制经济产权，配合上级开展反垄断执法，严厉打击虚假宣传、商业诋毁等不正当竞争行为。</w:t>
      </w:r>
      <w:r>
        <w:rPr>
          <w:rFonts w:hint="eastAsia" w:ascii="仿宋_GB2312" w:hAnsi="仿宋_GB2312" w:eastAsia="仿宋_GB2312" w:cs="仿宋_GB2312"/>
          <w:b w:val="0"/>
          <w:bCs w:val="0"/>
          <w:sz w:val="32"/>
          <w:szCs w:val="32"/>
          <w:highlight w:val="none"/>
        </w:rPr>
        <w:t>完善涉企产权案件办理程序，加大冤错案件甄别和纠正力度，切实保护企业和企业家财产权、经营权。</w:t>
      </w:r>
    </w:p>
    <w:p w14:paraId="47A1A8D9">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知识产权全链条保护。围绕重点产业，建立健全知识产权快速协同保护与知识产权纠纷多元化解决机制。加大对专利、商标、版权、商业秘密等侵权行为惩治力度，降低维权成本。探索建立知识产权质押融资、保险、证券化等服务体系，促进知识产权的创造、运用和价值实现。</w:t>
      </w:r>
    </w:p>
    <w:p w14:paraId="19074583">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951" w:name="_Toc231562081"/>
      <w:bookmarkStart w:id="1952" w:name="_Toc24638"/>
      <w:bookmarkStart w:id="1953" w:name="_Toc14085"/>
      <w:bookmarkStart w:id="1954" w:name="_Toc24906"/>
      <w:bookmarkStart w:id="1955" w:name="_Toc15655"/>
      <w:bookmarkStart w:id="1956" w:name="_Toc9118"/>
      <w:bookmarkStart w:id="1957" w:name="_Toc32751"/>
      <w:bookmarkStart w:id="1958" w:name="_Toc7817"/>
      <w:bookmarkStart w:id="1959" w:name="_Toc25846"/>
      <w:bookmarkStart w:id="1960" w:name="_Toc12126"/>
      <w:bookmarkStart w:id="1961" w:name="_Toc17867"/>
      <w:bookmarkStart w:id="1962" w:name="_Toc14639"/>
      <w:bookmarkStart w:id="1963" w:name="_Toc10796"/>
      <w:bookmarkStart w:id="1964" w:name="_Toc26451"/>
      <w:bookmarkStart w:id="1965" w:name="_Toc17339"/>
      <w:bookmarkStart w:id="1966" w:name="_Toc3005"/>
      <w:bookmarkStart w:id="1967" w:name="_Toc2242"/>
      <w:bookmarkStart w:id="1968" w:name="_Toc4657"/>
      <w:bookmarkStart w:id="1969" w:name="_Toc11391"/>
      <w:bookmarkStart w:id="1970" w:name="_Toc21545"/>
      <w:bookmarkStart w:id="1971" w:name="_Toc24281"/>
      <w:bookmarkStart w:id="1972" w:name="_Toc13274"/>
      <w:bookmarkStart w:id="1973" w:name="_Toc31192"/>
      <w:bookmarkStart w:id="1974" w:name="_Toc27246"/>
      <w:bookmarkStart w:id="1975" w:name="_Toc17191"/>
      <w:bookmarkStart w:id="1976" w:name="_Toc32411"/>
      <w:bookmarkStart w:id="1977" w:name="_Toc30681"/>
      <w:bookmarkStart w:id="1978" w:name="_Toc18493"/>
      <w:bookmarkStart w:id="1979" w:name="_Toc21517"/>
      <w:bookmarkStart w:id="1980" w:name="_Toc2560"/>
      <w:bookmarkStart w:id="1981" w:name="_Toc965"/>
      <w:r>
        <w:rPr>
          <w:rFonts w:hint="eastAsia" w:ascii="楷体_GB2312" w:hAnsi="楷体_GB2312" w:eastAsia="楷体_GB2312" w:cs="楷体_GB2312"/>
          <w:b w:val="0"/>
          <w:bCs w:val="0"/>
          <w:sz w:val="32"/>
          <w:szCs w:val="32"/>
          <w:highlight w:val="none"/>
        </w:rPr>
        <w:t>第二节  全面落实市场准入制度</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14:paraId="45EE084B">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严格执行统一的市场准入制度。全面落实“全国一张清单”管理模式，统筹做好增量审查与存量清理，常态化开展市场准入壁垒清理整治专项行动。研究市场准入效能评估指标，稳步开展市场准入效能评估。落实统一的市场主体登记制度和企业登记前置审批事项目录，巩固提升跨区注册登记无差别服务水平。</w:t>
      </w:r>
    </w:p>
    <w:p w14:paraId="3B5CFA06">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反垄断和反不正当竞争执法。全面清理废除妨碍统一市场和公平竞争的各种规定和做法，确保各类市场主体在资质许可、政府采购、政策兑现等方面享有平等待遇。聚焦平台经济、公用事业、医药等民生重点领域，依法查处滥用市场支配地位、垄断协议、滥用行政权力排除和限制竞争等行为。严厉打击仿冒混淆、虚假宣传、商业诋毁、网络“黑灰产”等不正当竞争行为，维护公平有序的市场竞争环境。</w:t>
      </w:r>
    </w:p>
    <w:p w14:paraId="3E0D21ED">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建立健全公平竞争审查制度。将公平竞争审查覆盖到所有涉及市场主体经济活动的政策措施。建立第三方评估和定期清理机制，及时纠正妨碍公平竞争的政策文件。加强对招投标、政府采购等领域的监管，破除地方保护和行政性垄断。</w:t>
      </w:r>
    </w:p>
    <w:p w14:paraId="352E65E3">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1982" w:name="_Toc8967"/>
      <w:bookmarkStart w:id="1983" w:name="_Toc26861"/>
      <w:bookmarkStart w:id="1984" w:name="_Toc6127"/>
      <w:bookmarkStart w:id="1985" w:name="_Toc231562082"/>
      <w:bookmarkStart w:id="1986" w:name="_Toc11343"/>
      <w:bookmarkStart w:id="1987" w:name="_Toc4942"/>
      <w:bookmarkStart w:id="1988" w:name="_Toc11766"/>
      <w:bookmarkStart w:id="1989" w:name="_Toc13018"/>
      <w:bookmarkStart w:id="1990" w:name="_Toc20608"/>
      <w:bookmarkStart w:id="1991" w:name="_Toc4680"/>
      <w:bookmarkStart w:id="1992" w:name="_Toc9149"/>
      <w:bookmarkStart w:id="1993" w:name="_Toc6971"/>
      <w:bookmarkStart w:id="1994" w:name="_Toc22543"/>
      <w:bookmarkStart w:id="1995" w:name="_Toc7469"/>
      <w:bookmarkStart w:id="1996" w:name="_Toc15268"/>
      <w:bookmarkStart w:id="1997" w:name="_Toc22525"/>
      <w:bookmarkStart w:id="1998" w:name="_Toc9077"/>
      <w:bookmarkStart w:id="1999" w:name="_Toc12975"/>
      <w:bookmarkStart w:id="2000" w:name="_Toc7563"/>
      <w:r>
        <w:rPr>
          <w:rFonts w:hint="eastAsia" w:ascii="楷体_GB2312" w:hAnsi="楷体_GB2312" w:eastAsia="楷体_GB2312" w:cs="楷体_GB2312"/>
          <w:b w:val="0"/>
          <w:bCs w:val="0"/>
          <w:sz w:val="32"/>
          <w:szCs w:val="32"/>
          <w:highlight w:val="none"/>
        </w:rPr>
        <w:t xml:space="preserve">第三节  </w:t>
      </w:r>
      <w:bookmarkStart w:id="2001" w:name="_Toc750"/>
      <w:bookmarkStart w:id="2002" w:name="_Toc14133"/>
      <w:bookmarkStart w:id="2003" w:name="_Toc5540"/>
      <w:bookmarkStart w:id="2004" w:name="_Toc11316"/>
      <w:bookmarkStart w:id="2005" w:name="_Toc15466"/>
      <w:bookmarkStart w:id="2006" w:name="_Toc32428"/>
      <w:bookmarkStart w:id="2007" w:name="_Toc6554"/>
      <w:bookmarkStart w:id="2008" w:name="_Toc10256"/>
      <w:bookmarkStart w:id="2009" w:name="_Toc14117"/>
      <w:bookmarkStart w:id="2010" w:name="_Toc14758"/>
      <w:bookmarkStart w:id="2011" w:name="_Toc7092"/>
      <w:bookmarkStart w:id="2012" w:name="_Toc14860"/>
      <w:r>
        <w:rPr>
          <w:rFonts w:hint="eastAsia" w:ascii="楷体_GB2312" w:hAnsi="楷体_GB2312" w:eastAsia="楷体_GB2312" w:cs="楷体_GB2312"/>
          <w:b w:val="0"/>
          <w:bCs w:val="0"/>
          <w:sz w:val="32"/>
          <w:szCs w:val="32"/>
          <w:highlight w:val="none"/>
        </w:rPr>
        <w:t>健全社会信用体系</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14:paraId="0E8BEB82">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信用信息归集共享和信用评价机制。依托公共信用信息平台，依法依规扩大归集共享市场主体信用信息范围，包括工商登记、行政许可、行政处罚、司法判决、荣誉表彰等。建立健全公共信用综合评价体系，为市场监管和公共服务提供信用参考。</w:t>
      </w:r>
    </w:p>
    <w:p w14:paraId="73BE2C43">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深化信用信息的分级分类监管和应用。建立健全企业信用风险分类管理机制，根据信用等级高低，在监管方式、检查频次、融资信贷、评优评先等方面实施差异化监管与精准服务。大力推广“信易贷”等模式，降低守信中小微企业的融资成本。</w:t>
      </w:r>
    </w:p>
    <w:p w14:paraId="4655E03F">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Calibri" w:eastAsia="仿宋_GB2312" w:cs="Times New Roman"/>
          <w:b w:val="0"/>
          <w:bCs w:val="0"/>
          <w:sz w:val="32"/>
          <w:szCs w:val="32"/>
          <w:highlight w:val="none"/>
        </w:rPr>
      </w:pPr>
      <w:r>
        <w:rPr>
          <w:rFonts w:hint="eastAsia" w:ascii="仿宋_GB2312" w:hAnsi="仿宋_GB2312" w:eastAsia="仿宋_GB2312" w:cs="仿宋_GB2312"/>
          <w:b w:val="0"/>
          <w:bCs w:val="0"/>
          <w:sz w:val="32"/>
          <w:szCs w:val="32"/>
          <w:highlight w:val="none"/>
        </w:rPr>
        <w:t>健全守信激励和失信惩戒机制。依法依规建立严重失信主体名单认定和联合惩戒机制，加大对失信行为的惩戒力度。完善信用修复机制，鼓励失信主体进行失信行为纠正、履行社会责任等。加强诚信文化宣传教育，营造守信受益、失信惩戒的社会氛围。</w:t>
      </w:r>
      <w:bookmarkStart w:id="2013" w:name="_Toc29067"/>
      <w:bookmarkStart w:id="2014" w:name="_Toc231562083"/>
      <w:bookmarkStart w:id="2015" w:name="_Toc29765"/>
      <w:bookmarkStart w:id="2016" w:name="_Toc30710"/>
      <w:bookmarkStart w:id="2017" w:name="_Toc89"/>
      <w:bookmarkStart w:id="2018" w:name="_Toc20374"/>
      <w:bookmarkStart w:id="2019" w:name="_Toc12709"/>
      <w:bookmarkStart w:id="2020" w:name="_Toc32343"/>
      <w:bookmarkStart w:id="2021" w:name="_Toc32350"/>
      <w:bookmarkStart w:id="2022" w:name="_Toc2475"/>
      <w:bookmarkStart w:id="2023" w:name="_Toc2944"/>
      <w:bookmarkStart w:id="2024" w:name="_Toc1373"/>
      <w:bookmarkStart w:id="2025" w:name="_Toc15444"/>
      <w:bookmarkStart w:id="2026" w:name="_Toc28077"/>
      <w:bookmarkStart w:id="2027" w:name="_Toc4488"/>
    </w:p>
    <w:p w14:paraId="4456B5E4">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028" w:name="_Toc13295"/>
      <w:bookmarkStart w:id="2029" w:name="_Toc778"/>
      <w:bookmarkStart w:id="2030" w:name="_Toc12897"/>
      <w:bookmarkStart w:id="2031" w:name="_Toc664"/>
      <w:r>
        <w:rPr>
          <w:rFonts w:hint="eastAsia" w:ascii="楷体_GB2312" w:hAnsi="楷体_GB2312" w:eastAsia="楷体_GB2312" w:cs="楷体_GB2312"/>
          <w:b w:val="0"/>
          <w:bCs w:val="0"/>
          <w:sz w:val="32"/>
          <w:szCs w:val="32"/>
          <w:highlight w:val="none"/>
        </w:rPr>
        <w:t xml:space="preserve">第四节 </w:t>
      </w:r>
      <w:bookmarkStart w:id="2032" w:name="_Toc6897"/>
      <w:r>
        <w:rPr>
          <w:rFonts w:hint="eastAsia" w:ascii="楷体_GB2312" w:hAnsi="楷体_GB2312" w:eastAsia="楷体_GB2312" w:cs="楷体_GB2312"/>
          <w:b w:val="0"/>
          <w:bCs w:val="0"/>
          <w:sz w:val="32"/>
          <w:szCs w:val="32"/>
          <w:highlight w:val="none"/>
        </w:rPr>
        <w:t xml:space="preserve"> </w:t>
      </w:r>
      <w:bookmarkStart w:id="2033" w:name="_Toc4019"/>
      <w:bookmarkStart w:id="2034" w:name="_Toc29950"/>
      <w:bookmarkStart w:id="2035" w:name="_Toc6621"/>
      <w:bookmarkStart w:id="2036" w:name="_Toc30435"/>
      <w:bookmarkStart w:id="2037" w:name="_Toc19811"/>
      <w:bookmarkStart w:id="2038" w:name="_Toc29660"/>
      <w:bookmarkStart w:id="2039" w:name="_Toc32658"/>
      <w:bookmarkStart w:id="2040" w:name="_Toc5925"/>
      <w:bookmarkStart w:id="2041" w:name="_Toc23686"/>
      <w:bookmarkStart w:id="2042" w:name="_Toc29334"/>
      <w:bookmarkStart w:id="2043" w:name="_Toc9359"/>
      <w:r>
        <w:rPr>
          <w:rFonts w:hint="eastAsia" w:ascii="楷体_GB2312" w:hAnsi="楷体_GB2312" w:eastAsia="楷体_GB2312" w:cs="楷体_GB2312"/>
          <w:b w:val="0"/>
          <w:bCs w:val="0"/>
          <w:sz w:val="32"/>
          <w:szCs w:val="32"/>
          <w:highlight w:val="none"/>
        </w:rPr>
        <w:t>完善要素市场化配置机制</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p>
    <w:p w14:paraId="39DF2FE8">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推动土地要素高效配置。完善城乡统一的建设用地市场，健全“增存挂钩”机制，提高土地利用效率。在符合国土空间规划的前提下，探索增加混合产业用地供给，满足市场主体多样化的用地需求。稳慎</w:t>
      </w:r>
      <w:r>
        <w:rPr>
          <w:rFonts w:hint="eastAsia" w:ascii="仿宋_GB2312" w:hAnsi="仿宋_GB2312" w:eastAsia="仿宋_GB2312" w:cs="仿宋_GB2312"/>
          <w:b w:val="0"/>
          <w:bCs w:val="0"/>
          <w:sz w:val="32"/>
          <w:szCs w:val="32"/>
          <w:highlight w:val="none"/>
          <w:lang w:val="en-US" w:eastAsia="zh-CN"/>
        </w:rPr>
        <w:t>落实</w:t>
      </w:r>
      <w:r>
        <w:rPr>
          <w:rFonts w:hint="eastAsia" w:ascii="仿宋_GB2312" w:hAnsi="仿宋_GB2312" w:eastAsia="仿宋_GB2312" w:cs="仿宋_GB2312"/>
          <w:b w:val="0"/>
          <w:bCs w:val="0"/>
          <w:sz w:val="32"/>
          <w:szCs w:val="32"/>
          <w:highlight w:val="none"/>
        </w:rPr>
        <w:t>农村集体经营性建设用地入市改革，保障乡村产业发展用地。</w:t>
      </w:r>
    </w:p>
    <w:p w14:paraId="452AD77D">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促进劳动力要素顺畅流动。深化户籍制度改革，促进农业转移人口市民化。健全城乡统一、规范有序的人力资源市场，破除影响劳动力自由流动的制度障碍。完善劳动者权益保障制度，构建和谐劳动关系。</w:t>
      </w:r>
    </w:p>
    <w:p w14:paraId="3EA59AFF">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bookmarkStart w:id="2044" w:name="_Toc1400"/>
      <w:r>
        <w:rPr>
          <w:rFonts w:hint="eastAsia" w:ascii="仿宋_GB2312" w:hAnsi="仿宋_GB2312" w:eastAsia="仿宋_GB2312" w:cs="仿宋_GB2312"/>
          <w:b w:val="0"/>
          <w:bCs w:val="0"/>
          <w:sz w:val="32"/>
          <w:szCs w:val="32"/>
          <w:highlight w:val="none"/>
        </w:rPr>
        <w:t>引导资本要素服务实体经济。积极引导和规范产业基金、创业投资基金、股权投资基金健康发展，鼓励其更多投向科技创新和实体经济领域。大力发展普惠金融，创新金融产品和服务，提高金融服务实体经济特别是中小微企业的能力。</w:t>
      </w:r>
      <w:bookmarkEnd w:id="1912"/>
      <w:bookmarkEnd w:id="1913"/>
      <w:bookmarkEnd w:id="1914"/>
      <w:bookmarkEnd w:id="1915"/>
      <w:bookmarkEnd w:id="1916"/>
      <w:bookmarkEnd w:id="1917"/>
      <w:bookmarkEnd w:id="1918"/>
      <w:bookmarkEnd w:id="1919"/>
      <w:bookmarkEnd w:id="2044"/>
      <w:bookmarkStart w:id="2045" w:name="_Toc214611258"/>
      <w:bookmarkStart w:id="2046" w:name="_Toc215695253"/>
    </w:p>
    <w:p w14:paraId="26DEF5D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推动数据要素高效配置。统筹推进数据要素市场建设与数据资源体系建设，完善基础制度、促进数据高效流通、培育数据服务产业，充分发挥数据要素对产业发展、科技创新和社会治理的支撑作用。</w:t>
      </w:r>
    </w:p>
    <w:p w14:paraId="361175CB">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bookmarkStart w:id="2047" w:name="_Toc3250"/>
      <w:bookmarkStart w:id="2048" w:name="_Toc12769"/>
      <w:bookmarkStart w:id="2049" w:name="_Toc21948"/>
      <w:bookmarkStart w:id="2050" w:name="_Toc11920"/>
      <w:bookmarkStart w:id="2051" w:name="_Toc15254"/>
      <w:bookmarkStart w:id="2052" w:name="_Toc24066"/>
      <w:bookmarkStart w:id="2053" w:name="_Toc17649"/>
      <w:bookmarkStart w:id="2054" w:name="_Toc24266"/>
      <w:bookmarkStart w:id="2055" w:name="_Toc16867"/>
      <w:bookmarkStart w:id="2056" w:name="_Toc27595"/>
      <w:r>
        <w:rPr>
          <w:rFonts w:hint="eastAsia" w:ascii="仿宋_GB2312" w:hAnsi="仿宋_GB2312" w:eastAsia="仿宋_GB2312" w:cs="仿宋_GB2312"/>
          <w:b w:val="0"/>
          <w:bCs w:val="0"/>
          <w:sz w:val="32"/>
          <w:szCs w:val="32"/>
          <w:highlight w:val="none"/>
        </w:rPr>
        <w:br w:type="page"/>
      </w:r>
    </w:p>
    <w:p w14:paraId="02F01374">
      <w:pPr>
        <w:keepNext w:val="0"/>
        <w:keepLines w:val="0"/>
        <w:pageBreakBefore w:val="0"/>
        <w:widowControl w:val="0"/>
        <w:kinsoku/>
        <w:wordWrap/>
        <w:overflowPunct/>
        <w:topLinePunct w:val="0"/>
        <w:autoSpaceDE/>
        <w:autoSpaceDN/>
        <w:bidi w:val="0"/>
        <w:adjustRightInd w:val="0"/>
        <w:snapToGrid w:val="0"/>
        <w:spacing w:after="0" w:afterLines="0" w:line="560" w:lineRule="exact"/>
        <w:jc w:val="center"/>
        <w:textAlignment w:val="auto"/>
        <w:outlineLvl w:val="0"/>
        <w:rPr>
          <w:rFonts w:hint="eastAsia" w:ascii="方正小标宋简体" w:eastAsia="方正小标宋简体"/>
          <w:b w:val="0"/>
          <w:bCs w:val="0"/>
          <w:sz w:val="36"/>
          <w:szCs w:val="36"/>
          <w:highlight w:val="none"/>
        </w:rPr>
      </w:pPr>
      <w:bookmarkStart w:id="2057" w:name="_Toc23573"/>
      <w:bookmarkStart w:id="2058" w:name="_Toc8957"/>
      <w:bookmarkStart w:id="2059" w:name="_Toc5387"/>
      <w:bookmarkStart w:id="2060" w:name="_Toc26906"/>
      <w:bookmarkStart w:id="2061" w:name="_Toc23955"/>
      <w:bookmarkStart w:id="2062" w:name="_Toc9489"/>
      <w:bookmarkStart w:id="2063" w:name="_Toc26521"/>
      <w:bookmarkStart w:id="2064" w:name="_Toc231562084"/>
      <w:bookmarkStart w:id="2065" w:name="_Toc28216"/>
      <w:bookmarkStart w:id="2066" w:name="_Toc24065"/>
      <w:bookmarkStart w:id="2067" w:name="_Toc32504"/>
      <w:bookmarkStart w:id="2068" w:name="_Toc25095"/>
      <w:bookmarkStart w:id="2069" w:name="_Toc18185"/>
      <w:bookmarkStart w:id="2070" w:name="_Toc27231"/>
      <w:bookmarkStart w:id="2071" w:name="_Toc6315"/>
      <w:bookmarkStart w:id="2072" w:name="_Toc8384"/>
      <w:bookmarkStart w:id="2073" w:name="_Toc24192"/>
      <w:bookmarkStart w:id="2074" w:name="_Toc19856"/>
      <w:bookmarkStart w:id="2075" w:name="_Toc27608"/>
      <w:bookmarkStart w:id="2076" w:name="_Toc10994"/>
      <w:bookmarkStart w:id="2077" w:name="_Toc18708"/>
      <w:r>
        <w:rPr>
          <w:rFonts w:hint="eastAsia" w:ascii="方正小标宋简体" w:eastAsia="方正小标宋简体"/>
          <w:b w:val="0"/>
          <w:bCs w:val="0"/>
          <w:sz w:val="36"/>
          <w:szCs w:val="36"/>
          <w:highlight w:val="none"/>
        </w:rPr>
        <w:t>第七篇  深化体制改革推进，强化高质量发展保障</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p>
    <w:p w14:paraId="28A6699C">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bookmarkStart w:id="2078" w:name="_Toc214611259"/>
    </w:p>
    <w:p w14:paraId="1F3C18FC">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在区域发展迈入质量、效率与动力同步提升阶段，体制机制改革成为推动高质量发展的核心动力。坚持完善高水平社会主义市场经济体制，健全宏观经济治理体系，确保发展稳健可持续。深化政资关系、推进国企改革与混合所有制发展，优化市场环境，激发市场主体活力。创新投融资模式，优化土地、资本、劳动力和数据要素配置。提升政务效能、优化营商环境、构建亲清政商关系。完善园区管理、推进空间优化与扩区调区，培育战略性产业集群和创新高地，为区域发展提供制度、要素和动力保障。</w:t>
      </w:r>
    </w:p>
    <w:bookmarkEnd w:id="2078"/>
    <w:p w14:paraId="5D682225">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2079" w:name="_Toc13626"/>
      <w:bookmarkStart w:id="2080" w:name="_Toc7268"/>
      <w:bookmarkStart w:id="2081" w:name="_Toc414"/>
      <w:bookmarkStart w:id="2082" w:name="_Toc23782"/>
      <w:bookmarkStart w:id="2083" w:name="_Toc31033"/>
      <w:bookmarkStart w:id="2084" w:name="_Toc32229"/>
      <w:bookmarkStart w:id="2085" w:name="_Toc23396"/>
      <w:bookmarkStart w:id="2086" w:name="_Toc26483"/>
      <w:bookmarkStart w:id="2087" w:name="_Toc3651"/>
      <w:bookmarkStart w:id="2088" w:name="_Toc23981"/>
      <w:bookmarkStart w:id="2089" w:name="_Toc12582"/>
      <w:bookmarkStart w:id="2090" w:name="_Toc29615"/>
      <w:bookmarkStart w:id="2091" w:name="_Toc2521"/>
      <w:bookmarkStart w:id="2092" w:name="_Toc19438"/>
      <w:bookmarkStart w:id="2093" w:name="_Toc26524"/>
      <w:bookmarkStart w:id="2094" w:name="_Toc12640"/>
      <w:bookmarkStart w:id="2095" w:name="_Toc6302"/>
      <w:bookmarkStart w:id="2096" w:name="_Toc6118"/>
      <w:bookmarkStart w:id="2097" w:name="_Toc231562085"/>
      <w:bookmarkStart w:id="2098" w:name="_Toc32584"/>
      <w:bookmarkStart w:id="2099" w:name="_Toc9976"/>
      <w:bookmarkStart w:id="2100" w:name="_Toc6827"/>
      <w:bookmarkStart w:id="2101" w:name="_Toc12411"/>
      <w:bookmarkStart w:id="2102" w:name="_Toc22687"/>
      <w:bookmarkStart w:id="2103" w:name="_Toc24333"/>
      <w:bookmarkStart w:id="2104" w:name="_Toc31684"/>
      <w:bookmarkStart w:id="2105" w:name="_Toc3255"/>
      <w:bookmarkStart w:id="2106" w:name="_Toc6859"/>
      <w:bookmarkStart w:id="2107" w:name="_Toc3249"/>
      <w:bookmarkStart w:id="2108" w:name="_Toc30429"/>
      <w:bookmarkStart w:id="2109" w:name="_Toc27334"/>
      <w:bookmarkStart w:id="2110" w:name="_Toc215695254"/>
      <w:bookmarkStart w:id="2111" w:name="_Toc214611267"/>
      <w:r>
        <w:rPr>
          <w:rFonts w:hint="eastAsia" w:ascii="黑体" w:hAnsi="黑体" w:eastAsia="黑体"/>
          <w:b w:val="0"/>
          <w:bCs w:val="0"/>
          <w:sz w:val="32"/>
          <w:szCs w:val="32"/>
          <w:highlight w:val="none"/>
        </w:rPr>
        <w:t>第一章  增强市场主体活力</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14:paraId="10CDE122">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112" w:name="_Toc31468"/>
      <w:bookmarkStart w:id="2113" w:name="_Toc11100"/>
      <w:bookmarkStart w:id="2114" w:name="_Toc9695"/>
      <w:bookmarkStart w:id="2115" w:name="_Toc3474"/>
      <w:bookmarkStart w:id="2116" w:name="_Toc11309"/>
      <w:bookmarkStart w:id="2117" w:name="_Toc25343"/>
      <w:bookmarkStart w:id="2118" w:name="_Toc22232"/>
      <w:bookmarkStart w:id="2119" w:name="_Toc22658"/>
      <w:bookmarkStart w:id="2120" w:name="_Toc26736"/>
      <w:bookmarkStart w:id="2121" w:name="_Toc1540"/>
      <w:bookmarkStart w:id="2122" w:name="_Toc32254"/>
      <w:bookmarkStart w:id="2123" w:name="_Toc10817"/>
      <w:bookmarkStart w:id="2124" w:name="_Toc30983"/>
      <w:bookmarkStart w:id="2125" w:name="_Toc1771"/>
      <w:bookmarkStart w:id="2126" w:name="_Toc15076"/>
      <w:bookmarkStart w:id="2127" w:name="_Toc7516"/>
      <w:bookmarkStart w:id="2128" w:name="_Toc13015"/>
      <w:bookmarkStart w:id="2129" w:name="_Toc30619"/>
      <w:bookmarkStart w:id="2130" w:name="_Toc231562086"/>
      <w:bookmarkStart w:id="2131" w:name="_Toc22745"/>
      <w:bookmarkStart w:id="2132" w:name="_Toc21656"/>
      <w:bookmarkStart w:id="2133" w:name="_Toc32106"/>
      <w:bookmarkStart w:id="2134" w:name="_Toc22025"/>
      <w:bookmarkStart w:id="2135" w:name="_Toc8601"/>
      <w:bookmarkStart w:id="2136" w:name="_Toc27274"/>
      <w:bookmarkStart w:id="2137" w:name="_Toc16718"/>
      <w:bookmarkStart w:id="2138" w:name="_Toc19356"/>
      <w:bookmarkStart w:id="2139" w:name="_Toc14013"/>
      <w:bookmarkStart w:id="2140" w:name="_Toc27215"/>
      <w:bookmarkStart w:id="2141" w:name="_Toc30562"/>
      <w:bookmarkStart w:id="2142" w:name="_Toc24831"/>
      <w:r>
        <w:rPr>
          <w:rFonts w:hint="eastAsia" w:ascii="楷体_GB2312" w:hAnsi="楷体_GB2312" w:eastAsia="楷体_GB2312" w:cs="楷体_GB2312"/>
          <w:b w:val="0"/>
          <w:bCs w:val="0"/>
          <w:sz w:val="32"/>
          <w:szCs w:val="32"/>
          <w:highlight w:val="none"/>
        </w:rPr>
        <w:t>第一节  深化国有企业改革</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14:paraId="48C3E4C6">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创新国有资本运营模式。健全“政资一体”国有资本运营平台，完善国有资本统一调度与优化配置机制。鼓励国有企业积极探索脱虚向实有效路径，加快向实体化、市场化、效益化转型，提升国有资本运营效率与保值增值水平。引导国有资本聚焦陶瓷文化、城市更新、基础设施等关键领域，实施战略性重组与专业化整合，逐步实现“功能明确、主业清晰、板块协同、结构合理”的区属国有企业新格局。规范混合所有制改革路径，引导社会资本有序参与国有企业投资，构建国有资本与社会资本优势互补、协同发展的良好格局。</w:t>
      </w:r>
    </w:p>
    <w:p w14:paraId="1C480EC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进政企分开、管营分离改革。明确政府职能边界，规范监管权与经营权，推进政企分开、管营分离，确保企业自主经营、依法决策。强化国企董事会、经理层和监事会的制度建设，建立健全内部治理结构。试点推进市场化薪酬、绩效评价和激励约束机制，提升企业活力和创新能力，保障国企改革落地生效。</w:t>
      </w:r>
    </w:p>
    <w:p w14:paraId="1BC10E46">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分类考核体系。根据企业性质、行业特性和区域发展目标，建立分类考核体系。对战略性支柱产业企业重点考核经济效益与产业贡献，对公共服务类企业重点考核社会效益、服务质量及创新能力。将绿色发展指标纳入考核体系，推动企业实现经济效益、社会效益和生态效益同步提升。考核结果与薪酬激励、资源配置和项目审批挂钩，实现精准激励和约束。</w:t>
      </w:r>
    </w:p>
    <w:p w14:paraId="577F852B">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143" w:name="_Toc30264"/>
      <w:bookmarkStart w:id="2144" w:name="_Toc4327"/>
      <w:bookmarkStart w:id="2145" w:name="_Toc30036"/>
      <w:bookmarkStart w:id="2146" w:name="_Toc11345"/>
      <w:bookmarkStart w:id="2147" w:name="_Toc29904"/>
      <w:bookmarkStart w:id="2148" w:name="_Toc1187"/>
      <w:bookmarkStart w:id="2149" w:name="_Toc9125"/>
      <w:bookmarkStart w:id="2150" w:name="_Toc3688"/>
      <w:bookmarkStart w:id="2151" w:name="_Toc17298"/>
      <w:bookmarkStart w:id="2152" w:name="_Toc2761"/>
      <w:bookmarkStart w:id="2153" w:name="_Toc2528"/>
      <w:bookmarkStart w:id="2154" w:name="_Toc13209"/>
      <w:bookmarkStart w:id="2155" w:name="_Toc24876"/>
      <w:bookmarkStart w:id="2156" w:name="_Toc28064"/>
      <w:bookmarkStart w:id="2157" w:name="_Toc24434"/>
      <w:bookmarkStart w:id="2158" w:name="_Toc6296"/>
      <w:bookmarkStart w:id="2159" w:name="_Toc5778"/>
      <w:bookmarkStart w:id="2160" w:name="_Toc13934"/>
      <w:bookmarkStart w:id="2161" w:name="_Toc32378"/>
      <w:bookmarkStart w:id="2162" w:name="_Toc5328"/>
      <w:bookmarkStart w:id="2163" w:name="_Toc6622"/>
      <w:bookmarkStart w:id="2164" w:name="_Toc22837"/>
      <w:bookmarkStart w:id="2165" w:name="_Toc3713"/>
      <w:bookmarkStart w:id="2166" w:name="_Toc21765"/>
      <w:bookmarkStart w:id="2167" w:name="_Toc26124"/>
      <w:bookmarkStart w:id="2168" w:name="_Toc5150"/>
      <w:bookmarkStart w:id="2169" w:name="_Toc22262"/>
      <w:bookmarkStart w:id="2170" w:name="_Toc231562087"/>
      <w:bookmarkStart w:id="2171" w:name="_Toc1058"/>
      <w:bookmarkStart w:id="2172" w:name="_Toc25094"/>
      <w:bookmarkStart w:id="2173" w:name="_Toc14328"/>
      <w:r>
        <w:rPr>
          <w:rFonts w:hint="eastAsia" w:ascii="楷体_GB2312" w:hAnsi="楷体_GB2312" w:eastAsia="楷体_GB2312" w:cs="楷体_GB2312"/>
          <w:b w:val="0"/>
          <w:bCs w:val="0"/>
          <w:sz w:val="32"/>
          <w:szCs w:val="32"/>
          <w:highlight w:val="none"/>
        </w:rPr>
        <w:t>第二节  增强民营经济发展动能</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14:paraId="3AE4B4A9">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构建民营企业梯度培育体系。健全分层分类与梯度培育机制，完善从“梯度发现”到“精准扶持”的工作体系。畅通“个转企、小升规、规改股、股上市”的全链条成长通道。实施差异化支持，引导小微企业向“专精特新”方向发展。推动优质骨干企业建立健全现代企业制度，支持其做强做优，培育一批行业龙头和产业链“链主”企业。</w:t>
      </w:r>
    </w:p>
    <w:p w14:paraId="1E008701">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全面推进民营企业数字化、智能化转型。支持龙头企业和专业服务机构搭建数字化平台，打通供应链协同、生产管理、物流调度等核心数据，带动上下游企业协同数字化升级。引进数字化解决方案供应商，推动中小企业模块化、轻量化数字化改造，提高整体产业竞争力和运营效率。</w:t>
      </w:r>
    </w:p>
    <w:p w14:paraId="0ED22104">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精准有效的要素保障与融资支持。完善面向民营企业的融资政策体系，推广“信贷+担保+保险”等综合融资服务模式，引导产业基金、创业投资基金更多投向民营企业。优化土地供应流程，对产业链重点项目实施整体供地保障。支持民营企业建立现代企业制度，完善法人治理结构，强化企业家队伍培养，构建亲清政商关系，利用“昌江亲清政商关系”平台等渠道，及时回应企业诉求，帮助解决实际困难，提振民营企业发展信心。</w:t>
      </w:r>
    </w:p>
    <w:p w14:paraId="65DFB372">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2174" w:name="_Toc14344"/>
      <w:bookmarkStart w:id="2175" w:name="_Toc31505"/>
      <w:bookmarkStart w:id="2176" w:name="_Toc2936"/>
      <w:bookmarkStart w:id="2177" w:name="_Toc10065"/>
      <w:bookmarkStart w:id="2178" w:name="_Toc30743"/>
      <w:bookmarkStart w:id="2179" w:name="_Toc30864"/>
      <w:bookmarkStart w:id="2180" w:name="_Toc5026"/>
      <w:bookmarkStart w:id="2181" w:name="_Toc25773"/>
      <w:bookmarkStart w:id="2182" w:name="_Toc27157"/>
      <w:bookmarkStart w:id="2183" w:name="_Toc2938"/>
      <w:bookmarkStart w:id="2184" w:name="_Toc7222"/>
      <w:bookmarkStart w:id="2185" w:name="_Toc29533"/>
      <w:bookmarkStart w:id="2186" w:name="_Toc24083"/>
      <w:bookmarkStart w:id="2187" w:name="_Toc27753"/>
      <w:bookmarkStart w:id="2188" w:name="_Toc1186"/>
      <w:bookmarkStart w:id="2189" w:name="_Toc231562088"/>
      <w:bookmarkStart w:id="2190" w:name="_Toc31200"/>
      <w:bookmarkStart w:id="2191" w:name="_Toc10825"/>
      <w:bookmarkStart w:id="2192" w:name="_Toc5256"/>
      <w:bookmarkStart w:id="2193" w:name="_Toc10095"/>
      <w:bookmarkStart w:id="2194" w:name="_Toc13975"/>
      <w:bookmarkStart w:id="2195" w:name="_Toc31216"/>
      <w:bookmarkStart w:id="2196" w:name="_Toc24807"/>
      <w:bookmarkStart w:id="2197" w:name="_Toc30868"/>
      <w:bookmarkStart w:id="2198" w:name="_Toc16118"/>
      <w:bookmarkStart w:id="2199" w:name="_Toc6626"/>
      <w:bookmarkStart w:id="2200" w:name="_Toc11952"/>
      <w:bookmarkStart w:id="2201" w:name="_Toc22909"/>
      <w:r>
        <w:rPr>
          <w:rFonts w:hint="eastAsia" w:ascii="黑体" w:hAnsi="黑体" w:eastAsia="黑体"/>
          <w:b w:val="0"/>
          <w:bCs w:val="0"/>
          <w:sz w:val="32"/>
          <w:szCs w:val="32"/>
          <w:highlight w:val="none"/>
        </w:rPr>
        <w:t>第二章  完善园区产业服务</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p>
    <w:p w14:paraId="6BE60F16">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202" w:name="_Toc4700"/>
      <w:bookmarkStart w:id="2203" w:name="_Toc21614"/>
      <w:bookmarkStart w:id="2204" w:name="_Toc10694"/>
      <w:bookmarkStart w:id="2205" w:name="_Toc19548"/>
      <w:bookmarkStart w:id="2206" w:name="_Toc19924"/>
      <w:bookmarkStart w:id="2207" w:name="_Toc13695"/>
      <w:bookmarkStart w:id="2208" w:name="_Toc27894"/>
      <w:bookmarkStart w:id="2209" w:name="_Toc1249"/>
      <w:bookmarkStart w:id="2210" w:name="_Toc28205"/>
      <w:bookmarkStart w:id="2211" w:name="_Toc12098"/>
      <w:bookmarkStart w:id="2212" w:name="_Toc231562089"/>
      <w:bookmarkStart w:id="2213" w:name="_Toc4302"/>
      <w:bookmarkStart w:id="2214" w:name="_Toc8244"/>
      <w:bookmarkStart w:id="2215" w:name="_Toc16956"/>
      <w:bookmarkStart w:id="2216" w:name="_Toc5855"/>
      <w:bookmarkStart w:id="2217" w:name="_Toc886"/>
      <w:bookmarkStart w:id="2218" w:name="_Toc10287"/>
      <w:bookmarkStart w:id="2219" w:name="_Toc23897"/>
      <w:bookmarkStart w:id="2220" w:name="_Toc29727"/>
      <w:bookmarkStart w:id="2221" w:name="_Toc3216"/>
      <w:bookmarkStart w:id="2222" w:name="_Toc30994"/>
      <w:bookmarkStart w:id="2223" w:name="_Toc10762"/>
      <w:bookmarkStart w:id="2224" w:name="_Toc12481"/>
      <w:bookmarkStart w:id="2225" w:name="_Toc20752"/>
      <w:bookmarkStart w:id="2226" w:name="_Toc30187"/>
      <w:bookmarkStart w:id="2227" w:name="_Toc12504"/>
      <w:bookmarkStart w:id="2228" w:name="_Toc31781"/>
      <w:bookmarkStart w:id="2229" w:name="_Toc2485"/>
      <w:bookmarkStart w:id="2230" w:name="_Toc32028"/>
      <w:r>
        <w:rPr>
          <w:rFonts w:hint="eastAsia" w:ascii="楷体_GB2312" w:hAnsi="楷体_GB2312" w:eastAsia="楷体_GB2312" w:cs="楷体_GB2312"/>
          <w:b w:val="0"/>
          <w:bCs w:val="0"/>
          <w:sz w:val="32"/>
          <w:szCs w:val="32"/>
          <w:highlight w:val="none"/>
        </w:rPr>
        <w:t>第一节  强化产业基础</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p>
    <w:p w14:paraId="011684A5">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培育壮大园区产业集群。围绕“2+1+N”特色产业体系，加快壮大产业集群，推进数字化转型，打造区域产业创新高地。重点发展生物医药、电子信息等主导产业，推动陶瓷产业数字化转型，延伸电子信息产业链条，加快微生物蛋白、锂电新材料等新兴产业集聚。加强与高新区及其他区域的跨产业联动与创新协作，推动技术共享、成果转化和联合攻关。依托鱼山医药产业园省级化工园区平台优势，重点发展生物医药产业，建设中试转化基地，形成完整产业链条。同步推进电子信息产业园建设，实施“消费电子补链计划”，完善“芯片－元器件－PCB－终端”产业链。加快先进陶瓷数字化转型，培育微生物蛋白、锂电新材料等新兴产业，构建各具特色、优势互补的产业集群体系。</w:t>
      </w:r>
    </w:p>
    <w:p w14:paraId="41CE6634">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动园区产业数字化转型。深入实施产业链能力提升、标杆示范引领与产业集群扩面“三大行动”，鼓励企业开展“机器换人、设备换芯、生产换线”，支持“链主”企业建设工业互联网平台，发展共享工厂等新业态。聚力打造数字经济集聚区，巩固电子元器件、半导体照明等基础赛道，加速布局新型显示、人工智能、电子商务、区块链等新兴赛道，壮大数字文创融合赛道，引进培育一批头部与高成长性企业，全面增强区域产业创新能力和综合竞争力。</w:t>
      </w:r>
    </w:p>
    <w:p w14:paraId="08B7EC42">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园区软硬件配套。集聚法律、财务、人力资源等专业服务机构，构建优质产业生态。推进地下管网系统综合改造，实现管线集约化、廊道化布局。加快充电设施网络建设，提升绿色出行保障能力。统筹建设智慧停车与物流中心，推动数据集成与智能化管理。创新园区运维机制，推行市政设施专业化运营，促进管委会职能向监管与服务转型，提升园区治理现代化水平。</w:t>
      </w:r>
    </w:p>
    <w:p w14:paraId="494B8F91">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231" w:name="_Toc17113"/>
      <w:bookmarkStart w:id="2232" w:name="_Toc26081"/>
      <w:bookmarkStart w:id="2233" w:name="_Toc6951"/>
      <w:bookmarkStart w:id="2234" w:name="_Toc14260"/>
      <w:bookmarkStart w:id="2235" w:name="_Toc18259"/>
      <w:bookmarkStart w:id="2236" w:name="_Toc4189"/>
      <w:bookmarkStart w:id="2237" w:name="_Toc13674"/>
      <w:bookmarkStart w:id="2238" w:name="_Toc30091"/>
      <w:bookmarkStart w:id="2239" w:name="_Toc15963"/>
      <w:bookmarkStart w:id="2240" w:name="_Toc29746"/>
      <w:bookmarkStart w:id="2241" w:name="_Toc19792"/>
      <w:bookmarkStart w:id="2242" w:name="_Toc18685"/>
      <w:bookmarkStart w:id="2243" w:name="_Toc14952"/>
      <w:bookmarkStart w:id="2244" w:name="_Toc2193"/>
      <w:bookmarkStart w:id="2245" w:name="_Toc30409"/>
      <w:bookmarkStart w:id="2246" w:name="_Toc5235"/>
      <w:bookmarkStart w:id="2247" w:name="_Toc231562090"/>
      <w:bookmarkStart w:id="2248" w:name="_Toc11686"/>
      <w:bookmarkStart w:id="2249" w:name="_Toc11529"/>
      <w:bookmarkStart w:id="2250" w:name="_Toc4782"/>
      <w:bookmarkStart w:id="2251" w:name="_Toc14274"/>
      <w:bookmarkStart w:id="2252" w:name="_Toc17753"/>
      <w:bookmarkStart w:id="2253" w:name="_Toc31230"/>
      <w:bookmarkStart w:id="2254" w:name="_Toc12748"/>
      <w:bookmarkStart w:id="2255" w:name="_Toc25693"/>
      <w:bookmarkStart w:id="2256" w:name="_Toc20548"/>
      <w:bookmarkStart w:id="2257" w:name="_Toc24412"/>
      <w:bookmarkStart w:id="2258" w:name="_Toc7809"/>
      <w:r>
        <w:rPr>
          <w:rFonts w:hint="eastAsia" w:ascii="楷体_GB2312" w:hAnsi="楷体_GB2312" w:eastAsia="楷体_GB2312" w:cs="楷体_GB2312"/>
          <w:b w:val="0"/>
          <w:bCs w:val="0"/>
          <w:sz w:val="32"/>
          <w:szCs w:val="32"/>
          <w:highlight w:val="none"/>
        </w:rPr>
        <w:t>第二节  创新园区管理体制机制</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14:paraId="4E1C951D">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创新园区高效协同治理模式。巩固提升“三园一平台”发展架构，</w:t>
      </w:r>
      <w:r>
        <w:rPr>
          <w:rFonts w:hint="eastAsia" w:ascii="仿宋_GB2312" w:hAnsi="仿宋_GB2312" w:eastAsia="仿宋_GB2312" w:cs="仿宋_GB2312"/>
          <w:b w:val="0"/>
          <w:bCs w:val="0"/>
          <w:spacing w:val="-8"/>
          <w:sz w:val="32"/>
          <w:szCs w:val="32"/>
          <w:highlight w:val="none"/>
        </w:rPr>
        <w:t>进一步完善“管委会+公司”运营模式，清晰划定管委会与市场主体的职责边界。</w:t>
      </w:r>
      <w:r>
        <w:rPr>
          <w:rFonts w:hint="eastAsia" w:ascii="仿宋_GB2312" w:hAnsi="仿宋_GB2312" w:eastAsia="仿宋_GB2312" w:cs="仿宋_GB2312"/>
          <w:b w:val="0"/>
          <w:bCs w:val="0"/>
          <w:sz w:val="32"/>
          <w:szCs w:val="32"/>
          <w:highlight w:val="none"/>
        </w:rPr>
        <w:t>健全跨园区协同联动机制，促进资源共享、平台共建、政策协同。优化园区综合营商环境，高水平集聚生产性服务业，构建企业社区服务生态，完善园区及周边5分钟生活圈配套，常态化开展产业交流活动，打造高效产业生态圈，推动产城人深度融合。建立动态评估与绩效考核机制，提升园区治理的科学化、精细化水平。</w:t>
      </w:r>
    </w:p>
    <w:p w14:paraId="05D98C9D">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平台公司市场化与资本化转型。推动园区平台公司向市场化、资本化方向发展，明确市场主体定位和经营自主权，优化资产结构，建立绩效考核和激励机制。平台公司在项目投融资、招商、园区服务和资本运作中发挥核心作用，同时承担产业功能优化、公共资源整合等职能。引入专业化团队和咨询顾问，提高项目决策和运营效率，使平台公司成为园区改革落地的制度支撑和执行主体。</w:t>
      </w:r>
    </w:p>
    <w:p w14:paraId="6B0B9F4F">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融资与资源整合机制创新。积极对接平台公司与金融机构，拓展多元融资渠道，引导社会资本参与基础设施、公共服务及产业配套建设，提升园区自主融资能力和发展支撑水平。建立融资风险评估和收益共享机制，确保公共资源与社会资本有效结合，为园区改革、扩区调区和重点功能区开发提供稳定资金支撑。加强资金引导，促进战略性新兴产业、科技创新项目和产业升级项目落地，提升园区整体可持续发展能力。</w:t>
      </w:r>
    </w:p>
    <w:p w14:paraId="51E2EA7B">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259" w:name="_Toc22661"/>
      <w:bookmarkStart w:id="2260" w:name="_Toc20955"/>
      <w:bookmarkStart w:id="2261" w:name="_Toc16749"/>
      <w:bookmarkStart w:id="2262" w:name="_Toc13918"/>
      <w:bookmarkStart w:id="2263" w:name="_Toc5400"/>
      <w:bookmarkStart w:id="2264" w:name="_Toc24020"/>
      <w:bookmarkStart w:id="2265" w:name="_Toc28051"/>
      <w:bookmarkStart w:id="2266" w:name="_Toc2626"/>
      <w:bookmarkStart w:id="2267" w:name="_Toc3772"/>
      <w:bookmarkStart w:id="2268" w:name="_Toc231562091"/>
      <w:bookmarkStart w:id="2269" w:name="_Toc250"/>
      <w:bookmarkStart w:id="2270" w:name="_Toc3886"/>
      <w:bookmarkStart w:id="2271" w:name="_Toc32401"/>
      <w:bookmarkStart w:id="2272" w:name="_Toc21474"/>
      <w:bookmarkStart w:id="2273" w:name="_Toc3438"/>
      <w:bookmarkStart w:id="2274" w:name="_Toc22147"/>
      <w:bookmarkStart w:id="2275" w:name="_Toc21140"/>
      <w:bookmarkStart w:id="2276" w:name="_Toc8474"/>
      <w:bookmarkStart w:id="2277" w:name="_Toc19951"/>
      <w:bookmarkStart w:id="2278" w:name="_Toc13883"/>
      <w:bookmarkStart w:id="2279" w:name="_Toc23035"/>
      <w:bookmarkStart w:id="2280" w:name="_Toc27546"/>
      <w:bookmarkStart w:id="2281" w:name="_Toc32408"/>
      <w:bookmarkStart w:id="2282" w:name="_Toc19124"/>
      <w:bookmarkStart w:id="2283" w:name="_Toc4149"/>
      <w:bookmarkStart w:id="2284" w:name="_Toc13477"/>
      <w:bookmarkStart w:id="2285" w:name="_Toc6335"/>
      <w:bookmarkStart w:id="2286" w:name="_Toc9231"/>
      <w:bookmarkStart w:id="2287" w:name="_Toc28306"/>
      <w:r>
        <w:rPr>
          <w:rFonts w:hint="eastAsia" w:ascii="楷体_GB2312" w:hAnsi="楷体_GB2312" w:eastAsia="楷体_GB2312" w:cs="楷体_GB2312"/>
          <w:b w:val="0"/>
          <w:bCs w:val="0"/>
          <w:sz w:val="32"/>
          <w:szCs w:val="32"/>
          <w:highlight w:val="none"/>
        </w:rPr>
        <w:t>第三节  园区空间优化与扩区调区</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14:paraId="541D15DE">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优化园区空间布局。结合城市总体规划、产业发展战略和生态环境要求，科学规划园区空间布局。妥善处理黑猫搬迁工作相关事项，做好申报</w:t>
      </w:r>
      <w:r>
        <w:rPr>
          <w:rFonts w:hint="eastAsia" w:ascii="仿宋_GB2312" w:hAnsi="仿宋_GB2312" w:eastAsia="仿宋_GB2312" w:cs="仿宋_GB2312"/>
          <w:b w:val="0"/>
          <w:bCs w:val="0"/>
          <w:sz w:val="32"/>
          <w:szCs w:val="32"/>
          <w:highlight w:val="none"/>
          <w:lang w:val="en-US" w:eastAsia="zh-CN"/>
        </w:rPr>
        <w:t>及</w:t>
      </w:r>
      <w:r>
        <w:rPr>
          <w:rFonts w:hint="eastAsia" w:ascii="仿宋_GB2312" w:hAnsi="仿宋_GB2312" w:eastAsia="仿宋_GB2312" w:cs="仿宋_GB2312"/>
          <w:b w:val="0"/>
          <w:bCs w:val="0"/>
          <w:sz w:val="32"/>
          <w:szCs w:val="32"/>
          <w:highlight w:val="none"/>
        </w:rPr>
        <w:t>对接协调工作。明确特色产业集聚区、创新创业孵化区、绿色生态区及生活配套区的功能定位，实现产业、空间和服务的高效匹配。通过规划控制、土地整合和基础设施优化，提升园区承载能力，保障重点产业和创新平台的空间需求。</w:t>
      </w:r>
    </w:p>
    <w:p w14:paraId="701AFEC9">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进园区扩区调区与跨园区协同发展。统筹推进昌江产业园扩区、调区及功能分区优化调整，合理配置产业空间布局，持续增强园区承载能力和产业集聚水平。健全高新区与昌江产业园协同发展机制，深化“一区多园”改革。围绕基础设施共建、公共服务共享、产业链协作、创新平台共建和人才资源互通等重点领域，促进资源要素高效配置，推动形成分工协同、优势互补的发展格局，全面提升园区整体发展效能。</w:t>
      </w:r>
      <w:bookmarkEnd w:id="2230"/>
    </w:p>
    <w:p w14:paraId="44798A69">
      <w:pPr>
        <w:rPr>
          <w:rFonts w:hint="eastAsia" w:ascii="黑体" w:hAnsi="黑体" w:eastAsia="黑体"/>
          <w:b w:val="0"/>
          <w:bCs w:val="0"/>
          <w:sz w:val="32"/>
          <w:szCs w:val="32"/>
          <w:highlight w:val="none"/>
        </w:rPr>
      </w:pPr>
      <w:bookmarkStart w:id="2288" w:name="_Toc30200"/>
      <w:bookmarkStart w:id="2289" w:name="_Toc15316"/>
      <w:bookmarkStart w:id="2290" w:name="_Toc30736"/>
      <w:bookmarkStart w:id="2291" w:name="_Toc19654"/>
      <w:bookmarkStart w:id="2292" w:name="_Toc7419"/>
      <w:bookmarkStart w:id="2293" w:name="_Toc15106"/>
      <w:bookmarkStart w:id="2294" w:name="_Toc14340"/>
      <w:bookmarkStart w:id="2295" w:name="_Toc16805"/>
      <w:bookmarkStart w:id="2296" w:name="_Toc8645"/>
      <w:bookmarkStart w:id="2297" w:name="_Toc16429"/>
      <w:bookmarkStart w:id="2298" w:name="_Toc27685"/>
      <w:bookmarkStart w:id="2299" w:name="_Toc28677"/>
      <w:bookmarkStart w:id="2300" w:name="_Toc1167"/>
      <w:bookmarkStart w:id="2301" w:name="_Toc25445"/>
      <w:bookmarkStart w:id="2302" w:name="_Toc32731"/>
      <w:bookmarkStart w:id="2303" w:name="_Toc29938"/>
      <w:bookmarkStart w:id="2304" w:name="_Toc17430"/>
      <w:bookmarkStart w:id="2305" w:name="_Toc8965"/>
      <w:bookmarkStart w:id="2306" w:name="_Toc31627"/>
      <w:bookmarkStart w:id="2307" w:name="_Toc13251"/>
      <w:bookmarkStart w:id="2308" w:name="_Toc17237"/>
      <w:bookmarkStart w:id="2309" w:name="_Toc4406"/>
      <w:bookmarkStart w:id="2310" w:name="_Toc10679"/>
      <w:bookmarkStart w:id="2311" w:name="_Toc12634"/>
      <w:bookmarkStart w:id="2312" w:name="_Toc231562092"/>
      <w:r>
        <w:rPr>
          <w:rFonts w:hint="eastAsia" w:ascii="黑体" w:hAnsi="黑体" w:eastAsia="黑体"/>
          <w:b w:val="0"/>
          <w:bCs w:val="0"/>
          <w:sz w:val="32"/>
          <w:szCs w:val="32"/>
          <w:highlight w:val="none"/>
        </w:rPr>
        <w:br w:type="page"/>
      </w:r>
    </w:p>
    <w:p w14:paraId="4D9A280C">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2313" w:name="_Toc18087"/>
      <w:bookmarkStart w:id="2314" w:name="_Toc8889"/>
      <w:bookmarkStart w:id="2315" w:name="_Toc16968"/>
      <w:bookmarkStart w:id="2316" w:name="_Toc1570"/>
      <w:r>
        <w:rPr>
          <w:rFonts w:hint="eastAsia" w:ascii="黑体" w:hAnsi="黑体" w:eastAsia="黑体"/>
          <w:b w:val="0"/>
          <w:bCs w:val="0"/>
          <w:sz w:val="32"/>
          <w:szCs w:val="32"/>
          <w:highlight w:val="none"/>
        </w:rPr>
        <w:t>第三章  营造一流营商环境</w:t>
      </w:r>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r>
        <w:rPr>
          <w:rFonts w:hint="eastAsia" w:ascii="黑体" w:hAnsi="黑体" w:eastAsia="黑体"/>
          <w:b w:val="0"/>
          <w:bCs w:val="0"/>
          <w:sz w:val="32"/>
          <w:szCs w:val="32"/>
          <w:highlight w:val="none"/>
        </w:rPr>
        <w:t xml:space="preserve"> </w:t>
      </w:r>
    </w:p>
    <w:p w14:paraId="3AEDE36F">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317" w:name="_Toc1489"/>
      <w:bookmarkStart w:id="2318" w:name="_Toc30484"/>
      <w:bookmarkStart w:id="2319" w:name="_Toc5479"/>
      <w:bookmarkStart w:id="2320" w:name="_Toc12330"/>
      <w:bookmarkStart w:id="2321" w:name="_Toc13120"/>
      <w:bookmarkStart w:id="2322" w:name="_Toc2140"/>
      <w:bookmarkStart w:id="2323" w:name="_Toc29048"/>
      <w:bookmarkStart w:id="2324" w:name="_Toc26147"/>
      <w:bookmarkStart w:id="2325" w:name="_Toc2546"/>
      <w:bookmarkStart w:id="2326" w:name="_Toc16243"/>
      <w:bookmarkStart w:id="2327" w:name="_Toc17117"/>
      <w:bookmarkStart w:id="2328" w:name="_Toc231562093"/>
      <w:bookmarkStart w:id="2329" w:name="_Toc23723"/>
      <w:bookmarkStart w:id="2330" w:name="_Toc30382"/>
      <w:bookmarkStart w:id="2331" w:name="_Toc19087"/>
      <w:bookmarkStart w:id="2332" w:name="_Toc31291"/>
      <w:bookmarkStart w:id="2333" w:name="_Toc32004"/>
      <w:bookmarkStart w:id="2334" w:name="_Toc18650"/>
      <w:bookmarkStart w:id="2335" w:name="_Toc9920"/>
      <w:bookmarkStart w:id="2336" w:name="_Toc3480"/>
      <w:bookmarkStart w:id="2337" w:name="_Toc23523"/>
      <w:bookmarkStart w:id="2338" w:name="_Toc22561"/>
      <w:bookmarkStart w:id="2339" w:name="_Toc5446"/>
      <w:bookmarkStart w:id="2340" w:name="_Toc26553"/>
      <w:bookmarkStart w:id="2341" w:name="_Toc4493"/>
      <w:bookmarkStart w:id="2342" w:name="_Toc31248"/>
      <w:bookmarkStart w:id="2343" w:name="_Toc30582"/>
      <w:bookmarkStart w:id="2344" w:name="_Toc32608"/>
      <w:bookmarkStart w:id="2345" w:name="_Toc2650"/>
      <w:bookmarkStart w:id="2346" w:name="_Toc15463"/>
      <w:bookmarkStart w:id="2347" w:name="_Toc16526"/>
      <w:r>
        <w:rPr>
          <w:rFonts w:hint="eastAsia" w:ascii="楷体_GB2312" w:hAnsi="楷体_GB2312" w:eastAsia="楷体_GB2312" w:cs="楷体_GB2312"/>
          <w:b w:val="0"/>
          <w:bCs w:val="0"/>
          <w:sz w:val="32"/>
          <w:szCs w:val="32"/>
          <w:highlight w:val="none"/>
        </w:rPr>
        <w:t>第一节  优化政务服务</w:t>
      </w:r>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p>
    <w:p w14:paraId="70221918">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进政务服务标准化与流程再造。推进政府职能转变和数字政府建设，推动政务服务事项标准化与“高效办成一件事”。深化“相对集中行政许可权”改革，优化区、乡、村三级政务服务联动，实行“政策找人+数据跑路+部门联办”流程再造，</w:t>
      </w:r>
      <w:r>
        <w:rPr>
          <w:rFonts w:ascii="仿宋_GB2312" w:hAnsi="仿宋_GB2312" w:eastAsia="仿宋_GB2312" w:cs="仿宋_GB2312"/>
          <w:b w:val="0"/>
          <w:bCs w:val="0"/>
          <w:sz w:val="32"/>
          <w:szCs w:val="32"/>
          <w:highlight w:val="none"/>
        </w:rPr>
        <w:t>最大限度减少</w:t>
      </w:r>
      <w:r>
        <w:rPr>
          <w:rFonts w:hint="eastAsia" w:ascii="仿宋_GB2312" w:hAnsi="仿宋_GB2312" w:eastAsia="仿宋_GB2312" w:cs="仿宋_GB2312"/>
          <w:b w:val="0"/>
          <w:bCs w:val="0"/>
          <w:sz w:val="32"/>
          <w:szCs w:val="32"/>
          <w:highlight w:val="none"/>
        </w:rPr>
        <w:t>审批环节和办事时限，形成高效便捷的政务服务闭环。</w:t>
      </w:r>
    </w:p>
    <w:p w14:paraId="21BEF5BD">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提升审批效率与企业服务精准度。推广“高效办成一件事”集成化办理，按照全省政务服务一体化建设规划，推进部门审批系统整合，实现信息互联、业务协同。拓展涉企服务“一窗通办”和“帮代办”机制，对重点项目和民生事项，建立绿色通道和审批时限承诺制。构建覆盖企业注册、融资、人才、创新等全生命周期的服务体系，通过“赣企通”和线上服务平台，实现惠企政策“免申即享、直达快享”。</w:t>
      </w:r>
    </w:p>
    <w:p w14:paraId="117A007A">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348" w:name="_Toc23065"/>
      <w:bookmarkStart w:id="2349" w:name="_Toc2529"/>
      <w:bookmarkStart w:id="2350" w:name="_Toc5345"/>
      <w:bookmarkStart w:id="2351" w:name="_Toc11101"/>
      <w:bookmarkStart w:id="2352" w:name="_Toc28787"/>
      <w:bookmarkStart w:id="2353" w:name="_Toc27329"/>
      <w:bookmarkStart w:id="2354" w:name="_Toc1501"/>
      <w:bookmarkStart w:id="2355" w:name="_Toc9572"/>
      <w:bookmarkStart w:id="2356" w:name="_Toc18901"/>
      <w:bookmarkStart w:id="2357" w:name="_Toc30533"/>
      <w:bookmarkStart w:id="2358" w:name="_Toc13029"/>
      <w:bookmarkStart w:id="2359" w:name="_Toc22431"/>
      <w:bookmarkStart w:id="2360" w:name="_Toc19565"/>
      <w:bookmarkStart w:id="2361" w:name="_Toc6968"/>
      <w:bookmarkStart w:id="2362" w:name="_Toc28949"/>
      <w:bookmarkStart w:id="2363" w:name="_Toc8223"/>
      <w:bookmarkStart w:id="2364" w:name="_Toc7784"/>
      <w:bookmarkStart w:id="2365" w:name="_Toc7435"/>
      <w:bookmarkStart w:id="2366" w:name="_Toc4427"/>
      <w:bookmarkStart w:id="2367" w:name="_Toc23690"/>
      <w:bookmarkStart w:id="2368" w:name="_Toc231562094"/>
      <w:bookmarkStart w:id="2369" w:name="_Toc9524"/>
      <w:bookmarkStart w:id="2370" w:name="_Toc24977"/>
      <w:bookmarkStart w:id="2371" w:name="_Toc2905"/>
      <w:bookmarkStart w:id="2372" w:name="_Toc14711"/>
      <w:bookmarkStart w:id="2373" w:name="_Toc9403"/>
      <w:bookmarkStart w:id="2374" w:name="_Toc22467"/>
      <w:bookmarkStart w:id="2375" w:name="_Toc2912"/>
      <w:bookmarkStart w:id="2376" w:name="_Toc19104"/>
      <w:bookmarkStart w:id="2377" w:name="_Toc8593"/>
      <w:bookmarkStart w:id="2378" w:name="_Toc589"/>
      <w:r>
        <w:rPr>
          <w:rFonts w:hint="eastAsia" w:ascii="楷体_GB2312" w:hAnsi="楷体_GB2312" w:eastAsia="楷体_GB2312" w:cs="楷体_GB2312"/>
          <w:b w:val="0"/>
          <w:bCs w:val="0"/>
          <w:sz w:val="32"/>
          <w:szCs w:val="32"/>
          <w:highlight w:val="none"/>
        </w:rPr>
        <w:t>第二节  规范涉企执法行为</w:t>
      </w:r>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p>
    <w:p w14:paraId="17353A67">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全面推行柔性执法和审慎监管。严格落实行政执法“三项制度”，全面推行“双随机、一公开”监管。对四新经济实行包容审慎监管，延伸推广“企业安静期”“超时默许制”“首违轻微免罚”等创新做法。健全行政裁量权基准制度，规范涉企行政检查，减少对企业正常生产经营活动的不必要干扰。</w:t>
      </w:r>
    </w:p>
    <w:p w14:paraId="7B499B73">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清理涉企收费与不合理制度障碍。系统梳理行政审批、行政事业性收费、中介服务收费等收费事项，建立涉企收费清单管理和公开公示制度。健全涉企收费监测、评估和动态调整机制，依托数字化监管平台对重点领域、重点环节实施全过程监管。严肃查处违规收费行为。完善投诉举报和快速响应机制，畅通企业维权渠道，提升问题发现和处置效率。</w:t>
      </w:r>
    </w:p>
    <w:p w14:paraId="165CD0C0">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379" w:name="_Toc289"/>
      <w:bookmarkStart w:id="2380" w:name="_Toc17415"/>
      <w:bookmarkStart w:id="2381" w:name="_Toc27518"/>
      <w:bookmarkStart w:id="2382" w:name="_Toc9005"/>
      <w:bookmarkStart w:id="2383" w:name="_Toc20296"/>
      <w:bookmarkStart w:id="2384" w:name="_Toc18778"/>
      <w:bookmarkStart w:id="2385" w:name="_Toc8537"/>
      <w:bookmarkStart w:id="2386" w:name="_Toc29888"/>
      <w:bookmarkStart w:id="2387" w:name="_Toc24520"/>
      <w:bookmarkStart w:id="2388" w:name="_Toc21934"/>
      <w:bookmarkStart w:id="2389" w:name="_Toc19409"/>
      <w:bookmarkStart w:id="2390" w:name="_Toc4052"/>
      <w:bookmarkStart w:id="2391" w:name="_Toc26117"/>
      <w:bookmarkStart w:id="2392" w:name="_Toc23728"/>
      <w:bookmarkStart w:id="2393" w:name="_Toc20761"/>
      <w:bookmarkStart w:id="2394" w:name="_Toc16295"/>
      <w:bookmarkStart w:id="2395" w:name="_Toc18223"/>
      <w:bookmarkStart w:id="2396" w:name="_Toc23339"/>
      <w:bookmarkStart w:id="2397" w:name="_Toc972"/>
      <w:bookmarkStart w:id="2398" w:name="_Toc11654"/>
      <w:bookmarkStart w:id="2399" w:name="_Toc4803"/>
      <w:bookmarkStart w:id="2400" w:name="_Toc364"/>
      <w:bookmarkStart w:id="2401" w:name="_Toc30757"/>
      <w:bookmarkStart w:id="2402" w:name="_Toc24549"/>
      <w:bookmarkStart w:id="2403" w:name="_Toc1085"/>
      <w:bookmarkStart w:id="2404" w:name="_Toc1640"/>
      <w:bookmarkStart w:id="2405" w:name="_Toc6020"/>
      <w:bookmarkStart w:id="2406" w:name="_Toc12049"/>
      <w:bookmarkStart w:id="2407" w:name="_Toc26277"/>
      <w:bookmarkStart w:id="2408" w:name="_Toc16433"/>
      <w:bookmarkStart w:id="2409" w:name="_Toc231562095"/>
      <w:r>
        <w:rPr>
          <w:rFonts w:hint="eastAsia" w:ascii="楷体_GB2312" w:hAnsi="楷体_GB2312" w:eastAsia="楷体_GB2312" w:cs="楷体_GB2312"/>
          <w:b w:val="0"/>
          <w:bCs w:val="0"/>
          <w:sz w:val="32"/>
          <w:szCs w:val="32"/>
          <w:highlight w:val="none"/>
        </w:rPr>
        <w:t>第三节  构建亲清政商关系</w:t>
      </w:r>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p>
    <w:p w14:paraId="432EAB9F">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常态化制度化政企沟通渠道。完善“政企圆桌会”“企业家早餐会”“政企联络员+企业直通车”等政企沟通制度，强化企业诉求的快速受理与闭环解决。深化“昌江亲清政商关系”线上平台建设，推动政策精准传达、问题在线反馈、办理过程实时监督，打造“无事不扰、有求必应”的政企沟通新生态。</w:t>
      </w:r>
    </w:p>
    <w:p w14:paraId="08301D79">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发挥商会协会桥梁纽带作用。优化商会协会管理机制，支持</w:t>
      </w:r>
      <w:r>
        <w:rPr>
          <w:rFonts w:hint="eastAsia" w:ascii="仿宋_GB2312" w:hAnsi="仿宋_GB2312" w:eastAsia="仿宋_GB2312" w:cs="仿宋_GB2312"/>
          <w:b w:val="0"/>
          <w:bCs w:val="0"/>
          <w:sz w:val="32"/>
          <w:szCs w:val="32"/>
          <w:highlight w:val="none"/>
          <w:lang w:val="en-US" w:eastAsia="zh-CN"/>
        </w:rPr>
        <w:t>商会协会</w:t>
      </w:r>
      <w:r>
        <w:rPr>
          <w:rFonts w:hint="eastAsia" w:ascii="仿宋_GB2312" w:hAnsi="仿宋_GB2312" w:eastAsia="仿宋_GB2312" w:cs="仿宋_GB2312"/>
          <w:b w:val="0"/>
          <w:bCs w:val="0"/>
          <w:sz w:val="32"/>
          <w:szCs w:val="32"/>
          <w:highlight w:val="none"/>
        </w:rPr>
        <w:t>在政策宣传、诉求反映、纠纷调处、行业自律等方面发挥更大作用。引导商会协会为企业提供全生命周期的专业化服务，提升行业治理能力和合作效率，增强企业发展信心。</w:t>
      </w:r>
    </w:p>
    <w:p w14:paraId="3701213F">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2410" w:name="_Toc11262"/>
      <w:bookmarkStart w:id="2411" w:name="_Toc24980"/>
      <w:bookmarkStart w:id="2412" w:name="_Toc231562096"/>
      <w:bookmarkStart w:id="2413" w:name="_Toc22276"/>
      <w:bookmarkStart w:id="2414" w:name="_Toc1103"/>
      <w:bookmarkStart w:id="2415" w:name="_Toc1702"/>
      <w:bookmarkStart w:id="2416" w:name="_Toc7660"/>
      <w:bookmarkStart w:id="2417" w:name="_Toc32125"/>
      <w:bookmarkStart w:id="2418" w:name="_Toc24640"/>
      <w:bookmarkStart w:id="2419" w:name="_Toc29367"/>
      <w:bookmarkStart w:id="2420" w:name="_Toc22592"/>
      <w:bookmarkStart w:id="2421" w:name="_Toc14410"/>
      <w:bookmarkStart w:id="2422" w:name="_Toc1304"/>
      <w:bookmarkStart w:id="2423" w:name="_Toc29169"/>
      <w:bookmarkStart w:id="2424" w:name="_Toc21753"/>
      <w:bookmarkStart w:id="2425" w:name="_Toc24136"/>
      <w:bookmarkStart w:id="2426" w:name="_Toc12708"/>
      <w:bookmarkStart w:id="2427" w:name="_Toc6058"/>
      <w:bookmarkStart w:id="2428" w:name="_Toc30139"/>
      <w:bookmarkStart w:id="2429" w:name="_Toc22415"/>
      <w:bookmarkStart w:id="2430" w:name="_Toc5754"/>
      <w:bookmarkStart w:id="2431" w:name="_Toc13994"/>
      <w:bookmarkStart w:id="2432" w:name="_Toc19212"/>
      <w:bookmarkStart w:id="2433" w:name="_Toc6293"/>
      <w:bookmarkStart w:id="2434" w:name="_Toc8278"/>
      <w:bookmarkStart w:id="2435" w:name="_Toc14957"/>
      <w:bookmarkStart w:id="2436" w:name="_Toc18671"/>
      <w:bookmarkStart w:id="2437" w:name="_Toc26155"/>
      <w:bookmarkStart w:id="2438" w:name="_Toc13778"/>
      <w:bookmarkStart w:id="2439" w:name="_Toc15223"/>
      <w:bookmarkStart w:id="2440" w:name="_Toc24437"/>
      <w:r>
        <w:rPr>
          <w:rFonts w:hint="eastAsia" w:ascii="黑体" w:hAnsi="黑体" w:eastAsia="黑体"/>
          <w:b w:val="0"/>
          <w:bCs w:val="0"/>
          <w:sz w:val="32"/>
          <w:szCs w:val="32"/>
          <w:highlight w:val="none"/>
        </w:rPr>
        <w:t>第四章  健全经济治理体系</w:t>
      </w:r>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p>
    <w:p w14:paraId="0A201678">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441" w:name="_Toc231562097"/>
      <w:bookmarkStart w:id="2442" w:name="_Toc17785"/>
      <w:bookmarkStart w:id="2443" w:name="_Toc2955"/>
      <w:bookmarkStart w:id="2444" w:name="_Toc19292"/>
      <w:bookmarkStart w:id="2445" w:name="_Toc31979"/>
      <w:bookmarkStart w:id="2446" w:name="_Toc11876"/>
      <w:bookmarkStart w:id="2447" w:name="_Toc11676"/>
      <w:bookmarkStart w:id="2448" w:name="_Toc12414"/>
      <w:bookmarkStart w:id="2449" w:name="_Toc680"/>
      <w:bookmarkStart w:id="2450" w:name="_Toc19857"/>
      <w:bookmarkStart w:id="2451" w:name="_Toc14850"/>
      <w:bookmarkStart w:id="2452" w:name="_Toc22416"/>
      <w:bookmarkStart w:id="2453" w:name="_Toc10886"/>
      <w:bookmarkStart w:id="2454" w:name="_Toc5518"/>
      <w:bookmarkStart w:id="2455" w:name="_Toc10603"/>
      <w:bookmarkStart w:id="2456" w:name="_Toc13462"/>
      <w:bookmarkStart w:id="2457" w:name="_Toc16756"/>
      <w:bookmarkStart w:id="2458" w:name="_Toc29150"/>
      <w:bookmarkStart w:id="2459" w:name="_Toc21340"/>
      <w:bookmarkStart w:id="2460" w:name="_Toc15890"/>
      <w:bookmarkStart w:id="2461" w:name="_Toc31672"/>
      <w:bookmarkStart w:id="2462" w:name="_Toc24610"/>
      <w:bookmarkStart w:id="2463" w:name="_Toc12538"/>
      <w:bookmarkStart w:id="2464" w:name="_Toc18931"/>
      <w:bookmarkStart w:id="2465" w:name="_Toc764"/>
      <w:bookmarkStart w:id="2466" w:name="_Toc31735"/>
      <w:bookmarkStart w:id="2467" w:name="_Toc19370"/>
      <w:bookmarkStart w:id="2468" w:name="_Toc12224"/>
      <w:bookmarkStart w:id="2469" w:name="_Toc16126"/>
      <w:r>
        <w:rPr>
          <w:rFonts w:hint="eastAsia" w:ascii="楷体_GB2312" w:hAnsi="楷体_GB2312" w:eastAsia="楷体_GB2312" w:cs="楷体_GB2312"/>
          <w:b w:val="0"/>
          <w:bCs w:val="0"/>
          <w:sz w:val="32"/>
          <w:szCs w:val="32"/>
          <w:highlight w:val="none"/>
        </w:rPr>
        <w:t xml:space="preserve">第一节  </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r>
        <w:rPr>
          <w:rFonts w:hint="eastAsia" w:ascii="楷体_GB2312" w:hAnsi="楷体_GB2312" w:eastAsia="楷体_GB2312" w:cs="楷体_GB2312"/>
          <w:b w:val="0"/>
          <w:bCs w:val="0"/>
          <w:sz w:val="32"/>
          <w:szCs w:val="32"/>
          <w:highlight w:val="none"/>
        </w:rPr>
        <w:t>完善区级宏观调控体系</w:t>
      </w:r>
      <w:bookmarkEnd w:id="2466"/>
      <w:bookmarkEnd w:id="2467"/>
      <w:bookmarkEnd w:id="2468"/>
      <w:bookmarkEnd w:id="2469"/>
    </w:p>
    <w:p w14:paraId="4B6128C7">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加强经济运行监测预警。建立健全覆盖主要经济指标、重点产业、重点企业的经济运行监测体系。运用大数据强化对经济形势的分析研判和风险预警，提高宏观调控的前瞻性、精准性。完善应对重大突发事件和外部冲击的政策储备和应急预案。</w:t>
      </w:r>
    </w:p>
    <w:p w14:paraId="0420B1DB">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健全规划制定和落实机制。强化发展规划的战略导向，健全规划实施的监测评估、动态调整和考核问责机制。加强年度计划与中长期规划的衔接，确保重大战略、重大项目等落地见效。</w:t>
      </w:r>
    </w:p>
    <w:p w14:paraId="3FDCE10E">
      <w:pPr>
        <w:rPr>
          <w:rFonts w:hint="eastAsia" w:ascii="楷体_GB2312" w:hAnsi="楷体_GB2312" w:eastAsia="楷体_GB2312" w:cs="楷体_GB2312"/>
          <w:b w:val="0"/>
          <w:bCs w:val="0"/>
          <w:sz w:val="32"/>
          <w:szCs w:val="32"/>
          <w:highlight w:val="none"/>
        </w:rPr>
      </w:pPr>
      <w:bookmarkStart w:id="2470" w:name="_Toc28936"/>
      <w:bookmarkStart w:id="2471" w:name="_Toc10847"/>
      <w:bookmarkStart w:id="2472" w:name="_Toc26438"/>
      <w:bookmarkStart w:id="2473" w:name="_Toc7633"/>
      <w:bookmarkStart w:id="2474" w:name="_Toc22328"/>
      <w:bookmarkStart w:id="2475" w:name="_Toc25298"/>
      <w:bookmarkStart w:id="2476" w:name="_Toc4624"/>
      <w:bookmarkStart w:id="2477" w:name="_Toc29663"/>
      <w:bookmarkStart w:id="2478" w:name="_Toc2458"/>
      <w:bookmarkStart w:id="2479" w:name="_Toc8989"/>
      <w:bookmarkStart w:id="2480" w:name="_Toc17212"/>
      <w:bookmarkStart w:id="2481" w:name="_Toc15395"/>
      <w:bookmarkStart w:id="2482" w:name="_Toc231562098"/>
      <w:bookmarkStart w:id="2483" w:name="_Toc29743"/>
      <w:bookmarkStart w:id="2484" w:name="_Toc28472"/>
      <w:bookmarkStart w:id="2485" w:name="_Toc15167"/>
      <w:bookmarkStart w:id="2486" w:name="_Toc2681"/>
      <w:bookmarkStart w:id="2487" w:name="_Toc19833"/>
      <w:bookmarkStart w:id="2488" w:name="_Toc11152"/>
      <w:bookmarkStart w:id="2489" w:name="_Toc760"/>
      <w:bookmarkStart w:id="2490" w:name="_Toc3019"/>
      <w:bookmarkStart w:id="2491" w:name="_Toc30095"/>
      <w:bookmarkStart w:id="2492" w:name="_Toc14919"/>
      <w:bookmarkStart w:id="2493" w:name="_Toc12107"/>
      <w:bookmarkStart w:id="2494" w:name="_Toc31620"/>
      <w:r>
        <w:rPr>
          <w:rFonts w:hint="eastAsia" w:ascii="楷体_GB2312" w:hAnsi="楷体_GB2312" w:eastAsia="楷体_GB2312" w:cs="楷体_GB2312"/>
          <w:b w:val="0"/>
          <w:bCs w:val="0"/>
          <w:sz w:val="32"/>
          <w:szCs w:val="32"/>
          <w:highlight w:val="none"/>
        </w:rPr>
        <w:br w:type="page"/>
      </w:r>
    </w:p>
    <w:p w14:paraId="3EDF9064">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495" w:name="_Toc2879"/>
      <w:bookmarkStart w:id="2496" w:name="_Toc8148"/>
      <w:bookmarkStart w:id="2497" w:name="_Toc7712"/>
      <w:bookmarkStart w:id="2498" w:name="_Toc21590"/>
      <w:r>
        <w:rPr>
          <w:rFonts w:hint="eastAsia" w:ascii="楷体_GB2312" w:hAnsi="楷体_GB2312" w:eastAsia="楷体_GB2312" w:cs="楷体_GB2312"/>
          <w:b w:val="0"/>
          <w:bCs w:val="0"/>
          <w:sz w:val="32"/>
          <w:szCs w:val="32"/>
          <w:highlight w:val="none"/>
        </w:rPr>
        <w:t>第二节  深化财税体制改革</w:t>
      </w:r>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p>
    <w:p w14:paraId="518370DF">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建立现代财政制度。进一步厘清区级财政事权和支出责任，优化财政资源配置。深化零基预算改革，全面实施预算绩效管理，硬化预算约束，将有限的财政资金更多投向科技创新、民生保障、生态环保等重点领域，切实做到“花钱必问效、无效必问责”。</w:t>
      </w:r>
    </w:p>
    <w:p w14:paraId="1C88DF57">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完善地方税收体系。严格落实国家各项减税降费政策，持续为市场主体减负赋能。加强税收征管和服务，依法组织税收收入，为区域经济社会发展提供稳定财力保障。</w:t>
      </w:r>
    </w:p>
    <w:p w14:paraId="07399BC7">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499" w:name="_Toc27780"/>
      <w:bookmarkStart w:id="2500" w:name="_Toc4224"/>
      <w:bookmarkStart w:id="2501" w:name="_Toc15719"/>
      <w:bookmarkStart w:id="2502" w:name="_Toc6225"/>
      <w:bookmarkStart w:id="2503" w:name="_Toc12799"/>
      <w:bookmarkStart w:id="2504" w:name="_Toc12070"/>
      <w:bookmarkStart w:id="2505" w:name="_Toc14208"/>
      <w:bookmarkStart w:id="2506" w:name="_Toc25741"/>
      <w:bookmarkStart w:id="2507" w:name="_Toc24835"/>
      <w:bookmarkStart w:id="2508" w:name="_Toc25119"/>
      <w:bookmarkStart w:id="2509" w:name="_Toc7002"/>
      <w:bookmarkStart w:id="2510" w:name="_Toc231562099"/>
      <w:bookmarkStart w:id="2511" w:name="_Toc16017"/>
      <w:bookmarkStart w:id="2512" w:name="_Toc14054"/>
      <w:bookmarkStart w:id="2513" w:name="_Toc10975"/>
      <w:bookmarkStart w:id="2514" w:name="_Toc6224"/>
      <w:bookmarkStart w:id="2515" w:name="_Toc29784"/>
      <w:bookmarkStart w:id="2516" w:name="_Toc6278"/>
      <w:bookmarkStart w:id="2517" w:name="_Toc13719"/>
      <w:bookmarkStart w:id="2518" w:name="_Toc27416"/>
      <w:bookmarkStart w:id="2519" w:name="_Toc2970"/>
      <w:bookmarkStart w:id="2520" w:name="_Toc26795"/>
      <w:bookmarkStart w:id="2521" w:name="_Toc10822"/>
      <w:bookmarkStart w:id="2522" w:name="_Toc22882"/>
      <w:bookmarkStart w:id="2523" w:name="_Toc26065"/>
      <w:bookmarkStart w:id="2524" w:name="_Toc29728"/>
      <w:bookmarkStart w:id="2525" w:name="_Toc22647"/>
      <w:bookmarkStart w:id="2526" w:name="_Toc5805"/>
      <w:bookmarkStart w:id="2527" w:name="_Toc26598"/>
      <w:r>
        <w:rPr>
          <w:rFonts w:hint="eastAsia" w:ascii="楷体_GB2312" w:hAnsi="楷体_GB2312" w:eastAsia="楷体_GB2312" w:cs="楷体_GB2312"/>
          <w:b w:val="0"/>
          <w:bCs w:val="0"/>
          <w:sz w:val="32"/>
          <w:szCs w:val="32"/>
          <w:highlight w:val="none"/>
        </w:rPr>
        <w:t>第三节  深化金融体制改革</w:t>
      </w:r>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p>
    <w:p w14:paraId="4FCBECEC">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构建多元化金融服务体系。大力发展普惠金融，引导银行、保险等金融机构创新产品和服务，加大对中小微企业、科技创新和绿色发展的支持力度。积极发展多层次资本市场，支持符合条件的企业上市融资、发行债券。规范发展地方金融组织，有效补充传统金融服务。</w:t>
      </w:r>
    </w:p>
    <w:p w14:paraId="0A416907">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金融风险防范化解。完善地方金融监管协调机制，加强对重点领域金融风险的监测、预警和处置。严厉打击非法集资、非法放贷等非法金融活动，坚决守住不发生系统性、区域性金融风险的底线，维护良好金融生态。</w:t>
      </w:r>
      <w:bookmarkEnd w:id="2110"/>
      <w:bookmarkEnd w:id="2111"/>
    </w:p>
    <w:p w14:paraId="4DFEF0A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bookmarkStart w:id="2528" w:name="_Toc5799"/>
      <w:bookmarkStart w:id="2529" w:name="_Toc12106"/>
      <w:bookmarkStart w:id="2530" w:name="_Toc6616"/>
      <w:bookmarkStart w:id="2531" w:name="_Toc15611"/>
      <w:bookmarkStart w:id="2532" w:name="_Toc5941"/>
      <w:bookmarkStart w:id="2533" w:name="_Toc214611275"/>
      <w:bookmarkStart w:id="2534" w:name="_Toc31764"/>
      <w:bookmarkStart w:id="2535" w:name="_Toc16712"/>
      <w:bookmarkStart w:id="2536" w:name="_Toc1518"/>
      <w:bookmarkStart w:id="2537" w:name="_Toc31130"/>
      <w:bookmarkStart w:id="2538" w:name="_Toc30893"/>
      <w:bookmarkStart w:id="2539" w:name="_Toc14034"/>
      <w:bookmarkStart w:id="2540" w:name="_Toc215695269"/>
      <w:r>
        <w:rPr>
          <w:rFonts w:hint="eastAsia" w:ascii="仿宋_GB2312" w:hAnsi="仿宋_GB2312" w:eastAsia="仿宋_GB2312" w:cs="仿宋_GB2312"/>
          <w:b w:val="0"/>
          <w:bCs w:val="0"/>
          <w:sz w:val="32"/>
          <w:szCs w:val="32"/>
          <w:highlight w:val="none"/>
        </w:rPr>
        <w:br w:type="page"/>
      </w:r>
    </w:p>
    <w:p w14:paraId="5E66ACF7">
      <w:pPr>
        <w:keepNext w:val="0"/>
        <w:keepLines w:val="0"/>
        <w:pageBreakBefore w:val="0"/>
        <w:widowControl w:val="0"/>
        <w:kinsoku/>
        <w:wordWrap/>
        <w:overflowPunct/>
        <w:topLinePunct w:val="0"/>
        <w:autoSpaceDE/>
        <w:autoSpaceDN/>
        <w:bidi w:val="0"/>
        <w:adjustRightInd w:val="0"/>
        <w:snapToGrid w:val="0"/>
        <w:spacing w:after="0" w:afterLines="0" w:line="560" w:lineRule="exact"/>
        <w:jc w:val="center"/>
        <w:textAlignment w:val="auto"/>
        <w:outlineLvl w:val="0"/>
        <w:rPr>
          <w:rFonts w:hint="eastAsia" w:ascii="方正小标宋简体" w:eastAsia="方正小标宋简体"/>
          <w:b w:val="0"/>
          <w:bCs w:val="0"/>
          <w:sz w:val="36"/>
          <w:szCs w:val="36"/>
          <w:highlight w:val="none"/>
        </w:rPr>
      </w:pPr>
      <w:bookmarkStart w:id="2541" w:name="_Toc32577"/>
      <w:bookmarkStart w:id="2542" w:name="_Toc5983"/>
      <w:bookmarkStart w:id="2543" w:name="_Toc2971"/>
      <w:bookmarkStart w:id="2544" w:name="_Toc763"/>
      <w:bookmarkStart w:id="2545" w:name="_Toc17779"/>
      <w:bookmarkStart w:id="2546" w:name="_Toc24553"/>
      <w:bookmarkStart w:id="2547" w:name="_Toc23389"/>
      <w:bookmarkStart w:id="2548" w:name="_Toc15859"/>
      <w:bookmarkStart w:id="2549" w:name="_Toc24381"/>
      <w:bookmarkStart w:id="2550" w:name="_Toc1475"/>
      <w:bookmarkStart w:id="2551" w:name="_Toc13745"/>
      <w:bookmarkStart w:id="2552" w:name="_Toc22058"/>
      <w:bookmarkStart w:id="2553" w:name="_Toc30574"/>
      <w:bookmarkStart w:id="2554" w:name="_Toc11265"/>
      <w:bookmarkStart w:id="2555" w:name="_Toc32681"/>
      <w:bookmarkStart w:id="2556" w:name="_Toc1827"/>
      <w:bookmarkStart w:id="2557" w:name="_Toc30011"/>
      <w:bookmarkStart w:id="2558" w:name="_Toc231562100"/>
      <w:bookmarkStart w:id="2559" w:name="_Toc12953"/>
      <w:bookmarkStart w:id="2560" w:name="_Toc27747"/>
      <w:bookmarkStart w:id="2561" w:name="_Toc25820"/>
      <w:r>
        <w:rPr>
          <w:rFonts w:hint="eastAsia" w:ascii="方正小标宋简体" w:eastAsia="方正小标宋简体"/>
          <w:b w:val="0"/>
          <w:bCs w:val="0"/>
          <w:sz w:val="36"/>
          <w:szCs w:val="36"/>
          <w:highlight w:val="none"/>
        </w:rPr>
        <w:t xml:space="preserve">第八篇  </w:t>
      </w:r>
      <w:bookmarkEnd w:id="2528"/>
      <w:r>
        <w:rPr>
          <w:rFonts w:hint="eastAsia" w:ascii="方正小标宋简体" w:eastAsia="方正小标宋简体"/>
          <w:b w:val="0"/>
          <w:bCs w:val="0"/>
          <w:sz w:val="36"/>
          <w:szCs w:val="36"/>
          <w:highlight w:val="none"/>
        </w:rPr>
        <w:t>提升内外循环能力，打造开放发展新高地</w:t>
      </w:r>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14:paraId="187F91BE">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76B52806">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坚持“开放蓄能、发展聚能”战略，以陶瓷文化出海和产业链全球化布局为核心抓手，构建“文化引领、产业联动、全域开放”的对外合作新格局。主动对接融入长三角、粤港澳大湾区等国家战略，强化跨区协同与要素联动，推动区域开放能级跃升。积极扩大自主开放，推动贸易创新发展，畅通国内国际双循环，构建更高水平的开放型经济体系，推动区域经济转型升级与可持续发展。</w:t>
      </w:r>
    </w:p>
    <w:p w14:paraId="3BB074A4">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2562" w:name="_Toc10608"/>
      <w:bookmarkStart w:id="2563" w:name="_Toc30083"/>
      <w:bookmarkStart w:id="2564" w:name="_Toc15071"/>
      <w:bookmarkStart w:id="2565" w:name="_Toc6268"/>
      <w:bookmarkStart w:id="2566" w:name="_Toc11102"/>
      <w:bookmarkStart w:id="2567" w:name="_Toc28421"/>
      <w:bookmarkStart w:id="2568" w:name="_Toc19528"/>
      <w:bookmarkStart w:id="2569" w:name="_Toc17118"/>
      <w:bookmarkStart w:id="2570" w:name="_Toc21483"/>
      <w:bookmarkStart w:id="2571" w:name="_Toc5102"/>
      <w:bookmarkStart w:id="2572" w:name="_Toc214611279"/>
      <w:bookmarkStart w:id="2573" w:name="_Toc20077"/>
      <w:bookmarkStart w:id="2574" w:name="_Toc8009"/>
      <w:bookmarkStart w:id="2575" w:name="_Toc13271"/>
      <w:bookmarkStart w:id="2576" w:name="_Toc11357"/>
      <w:bookmarkStart w:id="2577" w:name="_Toc5640"/>
      <w:bookmarkStart w:id="2578" w:name="_Toc24215"/>
      <w:bookmarkStart w:id="2579" w:name="_Toc6155"/>
      <w:bookmarkStart w:id="2580" w:name="_Toc28408"/>
      <w:bookmarkStart w:id="2581" w:name="_Toc28530"/>
      <w:bookmarkStart w:id="2582" w:name="_Toc231562101"/>
      <w:bookmarkStart w:id="2583" w:name="_Toc25906"/>
      <w:bookmarkStart w:id="2584" w:name="_Toc30477"/>
      <w:bookmarkStart w:id="2585" w:name="_Toc7824"/>
      <w:bookmarkStart w:id="2586" w:name="_Toc215695273"/>
      <w:bookmarkStart w:id="2587" w:name="_Toc7199"/>
      <w:bookmarkStart w:id="2588" w:name="_Toc19806"/>
      <w:bookmarkStart w:id="2589" w:name="_Toc23348"/>
      <w:bookmarkStart w:id="2590" w:name="_Toc9268"/>
      <w:bookmarkStart w:id="2591" w:name="_Toc19407"/>
      <w:bookmarkStart w:id="2592" w:name="_Toc20180"/>
      <w:bookmarkStart w:id="2593" w:name="_Toc11959"/>
      <w:bookmarkStart w:id="2594" w:name="_Toc28285"/>
      <w:bookmarkStart w:id="2595" w:name="_Toc3041"/>
      <w:r>
        <w:rPr>
          <w:rFonts w:hint="eastAsia" w:ascii="黑体" w:hAnsi="黑体" w:eastAsia="黑体"/>
          <w:b w:val="0"/>
          <w:bCs w:val="0"/>
          <w:sz w:val="32"/>
          <w:szCs w:val="32"/>
          <w:highlight w:val="none"/>
        </w:rPr>
        <w:t xml:space="preserve">第一章  </w:t>
      </w:r>
      <w:bookmarkEnd w:id="2562"/>
      <w:r>
        <w:rPr>
          <w:rFonts w:hint="eastAsia" w:ascii="黑体" w:hAnsi="黑体" w:eastAsia="黑体"/>
          <w:b w:val="0"/>
          <w:bCs w:val="0"/>
          <w:sz w:val="32"/>
          <w:szCs w:val="32"/>
          <w:highlight w:val="none"/>
        </w:rPr>
        <w:t>落实国家战略节点</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p>
    <w:p w14:paraId="51259B17">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596" w:name="_Toc1635"/>
      <w:bookmarkStart w:id="2597" w:name="_Toc28635"/>
      <w:bookmarkStart w:id="2598" w:name="_Toc31585"/>
      <w:bookmarkStart w:id="2599" w:name="_Toc8945"/>
      <w:bookmarkStart w:id="2600" w:name="_Toc5443"/>
      <w:bookmarkStart w:id="2601" w:name="_Toc16213"/>
      <w:bookmarkStart w:id="2602" w:name="_Toc29505"/>
      <w:bookmarkStart w:id="2603" w:name="_Toc1253"/>
      <w:bookmarkStart w:id="2604" w:name="_Toc214611280"/>
      <w:bookmarkStart w:id="2605" w:name="_Toc215695274"/>
      <w:bookmarkStart w:id="2606" w:name="_Toc14572"/>
      <w:bookmarkStart w:id="2607" w:name="_Toc21425"/>
      <w:bookmarkStart w:id="2608" w:name="_Toc13696"/>
      <w:bookmarkStart w:id="2609" w:name="_Toc3330"/>
      <w:bookmarkStart w:id="2610" w:name="_Toc1512"/>
      <w:bookmarkStart w:id="2611" w:name="_Toc11232"/>
      <w:bookmarkStart w:id="2612" w:name="_Toc9292"/>
      <w:bookmarkStart w:id="2613" w:name="_Toc231562102"/>
      <w:bookmarkStart w:id="2614" w:name="_Toc19481"/>
      <w:bookmarkStart w:id="2615" w:name="_Toc28851"/>
      <w:bookmarkStart w:id="2616" w:name="_Toc1143"/>
      <w:bookmarkStart w:id="2617" w:name="_Toc27308"/>
      <w:bookmarkStart w:id="2618" w:name="_Toc5909"/>
      <w:bookmarkStart w:id="2619" w:name="_Toc27893"/>
      <w:bookmarkStart w:id="2620" w:name="_Toc20572"/>
      <w:bookmarkStart w:id="2621" w:name="_Toc8506"/>
      <w:bookmarkStart w:id="2622" w:name="_Toc32709"/>
      <w:bookmarkStart w:id="2623" w:name="_Toc4976"/>
      <w:bookmarkStart w:id="2624" w:name="_Toc3943"/>
      <w:bookmarkStart w:id="2625" w:name="_Toc17932"/>
      <w:bookmarkStart w:id="2626" w:name="_Toc19276"/>
      <w:bookmarkStart w:id="2627" w:name="_Toc14667"/>
      <w:bookmarkStart w:id="2628" w:name="_Toc20442"/>
      <w:bookmarkStart w:id="2629" w:name="_Toc18352"/>
      <w:r>
        <w:rPr>
          <w:rFonts w:hint="eastAsia" w:ascii="楷体_GB2312" w:hAnsi="楷体_GB2312" w:eastAsia="楷体_GB2312" w:cs="楷体_GB2312"/>
          <w:b w:val="0"/>
          <w:bCs w:val="0"/>
          <w:sz w:val="32"/>
          <w:szCs w:val="32"/>
          <w:highlight w:val="none"/>
        </w:rPr>
        <w:t xml:space="preserve">第一节  </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r>
        <w:rPr>
          <w:rFonts w:hint="eastAsia" w:ascii="楷体_GB2312" w:hAnsi="楷体_GB2312" w:eastAsia="楷体_GB2312" w:cs="楷体_GB2312"/>
          <w:b w:val="0"/>
          <w:bCs w:val="0"/>
          <w:sz w:val="32"/>
          <w:szCs w:val="32"/>
          <w:highlight w:val="none"/>
        </w:rPr>
        <w:t>深化跨区域产业链协作</w:t>
      </w:r>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p w14:paraId="6F6DC9F4">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驱动产业向价值链高端攀升。引导外贸企业从代工向自主品牌转型，开发符合海外审美的产品，实现文化价值与商业价值同步输出。探索“双飞地”合作模式，深化与长三角、粤港澳大湾区及境外创新高地的协同，构建“研发孵化在外、生产转化在内”的联动格局，推动特色产业更深层次嵌入全球产业链与创新链。鼓励企业利用跨境电商、境外展示中心及国际展会，构建立体化营销网络。支持企业“抱团出海”并扩大出口，积极承接沿线市场需求。</w:t>
      </w:r>
    </w:p>
    <w:p w14:paraId="778F4E06">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主动承接高端制造转移。积极对接长三角、粤港澳大湾区的电子信息、生物医药等外溢资源，探索建立“研发设计在沿海、成果转化在昌江”的协同发展模式。重点承接消费电子、集成电路配套等领域产业转移，发展耐高温陶瓷基板、传感器外壳等关键零部件制造，为头部企业提供原料药委托生产等服务，打造重要的产业协同基地。</w:t>
      </w:r>
    </w:p>
    <w:p w14:paraId="44A3CB1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探索跨区域产业协作模式。创新产业协作机制，高质量建设产业协作园区、飞地园区等合作载体。深化与海西经济区、京津冀等地区龙头企业的对接，搭建文创设计制造平台。</w:t>
      </w:r>
      <w:r>
        <w:rPr>
          <w:rFonts w:hint="eastAsia" w:ascii="仿宋_GB2312" w:hAnsi="仿宋_GB2312" w:eastAsia="仿宋_GB2312" w:cs="仿宋_GB2312"/>
          <w:b w:val="0"/>
          <w:bCs w:val="0"/>
          <w:sz w:val="32"/>
          <w:szCs w:val="32"/>
          <w:highlight w:val="none"/>
          <w:lang w:bidi="ar"/>
        </w:rPr>
        <w:t>依托昌江航道通江达海优势，加强与长江沿线港口城市合作</w:t>
      </w:r>
      <w:r>
        <w:rPr>
          <w:rFonts w:hint="eastAsia" w:ascii="仿宋_GB2312" w:hAnsi="仿宋_GB2312" w:eastAsia="仿宋_GB2312" w:cs="仿宋_GB2312"/>
          <w:b w:val="0"/>
          <w:bCs w:val="0"/>
          <w:sz w:val="32"/>
          <w:szCs w:val="32"/>
          <w:highlight w:val="none"/>
        </w:rPr>
        <w:t>，大力构建跨区域产业协同发展新格局。</w:t>
      </w:r>
    </w:p>
    <w:p w14:paraId="296CFB8F">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630" w:name="_Toc5708"/>
      <w:bookmarkStart w:id="2631" w:name="_Toc215695275"/>
      <w:bookmarkStart w:id="2632" w:name="_Toc24755"/>
      <w:bookmarkStart w:id="2633" w:name="_Toc13066"/>
      <w:bookmarkStart w:id="2634" w:name="_Toc31535"/>
      <w:bookmarkStart w:id="2635" w:name="_Toc25689"/>
      <w:bookmarkStart w:id="2636" w:name="_Toc29980"/>
      <w:bookmarkStart w:id="2637" w:name="_Toc11281"/>
      <w:bookmarkStart w:id="2638" w:name="_Toc214611281"/>
      <w:bookmarkStart w:id="2639" w:name="_Toc14987"/>
      <w:bookmarkStart w:id="2640" w:name="_Toc25774"/>
      <w:bookmarkStart w:id="2641" w:name="_Toc31687"/>
      <w:bookmarkStart w:id="2642" w:name="_Toc6018"/>
      <w:bookmarkStart w:id="2643" w:name="_Toc17340"/>
      <w:bookmarkStart w:id="2644" w:name="_Toc7581"/>
      <w:bookmarkStart w:id="2645" w:name="_Toc19368"/>
      <w:bookmarkStart w:id="2646" w:name="_Toc15588"/>
      <w:bookmarkStart w:id="2647" w:name="_Toc31589"/>
      <w:bookmarkStart w:id="2648" w:name="_Toc5609"/>
      <w:bookmarkStart w:id="2649" w:name="_Toc11785"/>
      <w:bookmarkStart w:id="2650" w:name="_Toc25479"/>
      <w:bookmarkStart w:id="2651" w:name="_Toc14118"/>
      <w:bookmarkStart w:id="2652" w:name="_Toc28673"/>
      <w:bookmarkStart w:id="2653" w:name="_Toc231562103"/>
      <w:bookmarkStart w:id="2654" w:name="_Toc24357"/>
      <w:bookmarkStart w:id="2655" w:name="_Toc31607"/>
      <w:bookmarkStart w:id="2656" w:name="_Toc16854"/>
      <w:bookmarkStart w:id="2657" w:name="_Toc19761"/>
      <w:bookmarkStart w:id="2658" w:name="_Toc27140"/>
      <w:bookmarkStart w:id="2659" w:name="_Toc25257"/>
      <w:bookmarkStart w:id="2660" w:name="_Toc29090"/>
      <w:bookmarkStart w:id="2661" w:name="_Toc23600"/>
      <w:bookmarkStart w:id="2662" w:name="_Toc12355"/>
      <w:bookmarkStart w:id="2663" w:name="_Toc9861"/>
      <w:r>
        <w:rPr>
          <w:rFonts w:hint="eastAsia" w:ascii="楷体_GB2312" w:hAnsi="楷体_GB2312" w:eastAsia="楷体_GB2312" w:cs="楷体_GB2312"/>
          <w:b w:val="0"/>
          <w:bCs w:val="0"/>
          <w:sz w:val="32"/>
          <w:szCs w:val="32"/>
          <w:highlight w:val="none"/>
        </w:rPr>
        <w:t xml:space="preserve">第二节  </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r>
        <w:rPr>
          <w:rFonts w:hint="eastAsia" w:ascii="楷体_GB2312" w:hAnsi="楷体_GB2312" w:eastAsia="楷体_GB2312" w:cs="楷体_GB2312"/>
          <w:b w:val="0"/>
          <w:bCs w:val="0"/>
          <w:sz w:val="32"/>
          <w:szCs w:val="32"/>
          <w:highlight w:val="none"/>
        </w:rPr>
        <w:t>强化跨区域创新协同</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p>
    <w:p w14:paraId="2FE3739D">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rPr>
        <w:t>布局建设“科创飞地”与研发平台。深度融入长三角G60科创走廊，探索在沪杭等创新策源地设立“科创飞地”和“人才飞地”。深化与京津冀、成渝地区的高校、科研院所及央企合作，积极引入集成电路、人工智能等领域研发机构，共建联合实验室、技术创新联盟与产学研基地</w:t>
      </w:r>
      <w:r>
        <w:rPr>
          <w:rFonts w:hint="eastAsia" w:ascii="仿宋_GB2312" w:hAnsi="仿宋_GB2312" w:eastAsia="仿宋_GB2312" w:cs="仿宋_GB2312"/>
          <w:b w:val="0"/>
          <w:bCs w:val="0"/>
          <w:sz w:val="32"/>
          <w:szCs w:val="32"/>
          <w:highlight w:val="none"/>
          <w:lang w:eastAsia="zh-CN"/>
        </w:rPr>
        <w:t>。</w:t>
      </w:r>
    </w:p>
    <w:p w14:paraId="3AC585B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关键核心技术联合攻关。围绕生物医药、微生物蛋白、新材料等重点领域，积极参与长三角科技创新共同体联合攻关机制，探索“揭榜挂帅”等组织方式。支持企业联合成渝等地区科研力量开展技术合作，共同实施重大科技项目，推动优秀科研成果在昌江孵化转化。</w:t>
      </w:r>
    </w:p>
    <w:p w14:paraId="6106A903">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动产业数字化转型与人才共享。嵌入粤港澳大湾区数字产业链，支持企业融入智能制造生态。实施“周末工程师”等柔性引才计划，吸引AI、大数据、创意设计等领域人才，利用人工智能等新技术赋能传统产业转型升级。</w:t>
      </w:r>
    </w:p>
    <w:p w14:paraId="4AE26390">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664" w:name="_Toc26718"/>
      <w:bookmarkStart w:id="2665" w:name="_Toc32056"/>
      <w:bookmarkStart w:id="2666" w:name="_Toc3320"/>
      <w:bookmarkStart w:id="2667" w:name="_Toc4991"/>
      <w:bookmarkStart w:id="2668" w:name="_Toc1269"/>
      <w:bookmarkStart w:id="2669" w:name="_Toc8173"/>
      <w:bookmarkStart w:id="2670" w:name="_Toc7166"/>
      <w:bookmarkStart w:id="2671" w:name="_Toc28777"/>
      <w:bookmarkStart w:id="2672" w:name="_Toc11373"/>
      <w:bookmarkStart w:id="2673" w:name="_Toc3758"/>
      <w:bookmarkStart w:id="2674" w:name="_Toc4549"/>
      <w:bookmarkStart w:id="2675" w:name="_Toc9935"/>
      <w:bookmarkStart w:id="2676" w:name="_Toc231562104"/>
      <w:bookmarkStart w:id="2677" w:name="_Toc26819"/>
      <w:bookmarkStart w:id="2678" w:name="_Toc23508"/>
      <w:bookmarkStart w:id="2679" w:name="_Toc16371"/>
      <w:bookmarkStart w:id="2680" w:name="_Toc18037"/>
      <w:bookmarkStart w:id="2681" w:name="_Toc29104"/>
    </w:p>
    <w:p w14:paraId="7042F06F">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r>
        <w:rPr>
          <w:rFonts w:hint="eastAsia" w:ascii="楷体_GB2312" w:hAnsi="楷体_GB2312" w:eastAsia="楷体_GB2312" w:cs="楷体_GB2312"/>
          <w:b w:val="0"/>
          <w:bCs w:val="0"/>
          <w:sz w:val="32"/>
          <w:szCs w:val="32"/>
          <w:highlight w:val="none"/>
        </w:rPr>
        <w:t>第三节  推动跨区域贸易及文旅联动</w:t>
      </w:r>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p>
    <w:p w14:paraId="0EE50459">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开拓跨境贸易市场渠道。积极对接海南离岛免税渠道，推动生物医药、陶瓷文创等特色产品进入免税销售网络，建立“海南展示销售+昌江研发制造”的产销协同模式。支持企业在海南、粤港澳大湾区设立贸易窗口，利用自贸港政策与跨境贸易体系，拓展东南亚等国际市场。</w:t>
      </w:r>
    </w:p>
    <w:p w14:paraId="73036F02">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大力发展数字贸易与跨境电商。积极发展数字产品与服务贸易，鼓励制造业企业服务化转型。建设对接粤港澳大湾区的跨境电商专线及陶瓷专列，支持企业利用AI工具优化跨境运营，推动“昌江制造”通过数字化平台精准触达全球买家，实现品牌出海。</w:t>
      </w:r>
    </w:p>
    <w:p w14:paraId="5BFFD9C9">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联合开发跨区域精品旅游线路。深化与长江经济带沿线城市合作，共同开发推广特色生态旅游线路。利用海南国际旅游消费中心优势，设计串联两地的“自贸港+陶瓷文化”主题旅游套餐，吸引国内外高端消费群体。携手成渝地区，联合推广陶瓷文化与特色金融产品，共建巴蜀文旅与赣鄱文化交融的体验路线。</w:t>
      </w:r>
    </w:p>
    <w:p w14:paraId="74DE3D8D">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2682" w:name="_Toc26953"/>
      <w:bookmarkStart w:id="2683" w:name="_Toc3756"/>
      <w:bookmarkStart w:id="2684" w:name="_Toc14226"/>
      <w:bookmarkStart w:id="2685" w:name="_Toc18840"/>
      <w:bookmarkStart w:id="2686" w:name="_Toc31175"/>
      <w:bookmarkStart w:id="2687" w:name="_Toc11142"/>
      <w:bookmarkStart w:id="2688" w:name="_Toc26254"/>
      <w:bookmarkStart w:id="2689" w:name="_Toc3841"/>
      <w:bookmarkStart w:id="2690" w:name="_Toc20697"/>
      <w:bookmarkStart w:id="2691" w:name="_Toc30617"/>
      <w:bookmarkStart w:id="2692" w:name="_Toc32397"/>
      <w:bookmarkStart w:id="2693" w:name="_Toc904"/>
      <w:bookmarkStart w:id="2694" w:name="_Toc11806"/>
      <w:bookmarkStart w:id="2695" w:name="_Toc5438"/>
      <w:bookmarkStart w:id="2696" w:name="_Toc31211"/>
      <w:bookmarkStart w:id="2697" w:name="_Toc20121"/>
      <w:bookmarkStart w:id="2698" w:name="_Toc9702"/>
      <w:bookmarkStart w:id="2699" w:name="_Toc1504"/>
      <w:bookmarkStart w:id="2700" w:name="_Toc10527"/>
      <w:bookmarkStart w:id="2701" w:name="_Toc22452"/>
      <w:bookmarkStart w:id="2702" w:name="_Toc22008"/>
      <w:bookmarkStart w:id="2703" w:name="_Toc7585"/>
      <w:bookmarkStart w:id="2704" w:name="_Toc28803"/>
      <w:bookmarkStart w:id="2705" w:name="_Toc2766"/>
      <w:bookmarkStart w:id="2706" w:name="_Toc12182"/>
      <w:bookmarkStart w:id="2707" w:name="_Toc3939"/>
      <w:bookmarkStart w:id="2708" w:name="_Toc9141"/>
      <w:bookmarkStart w:id="2709" w:name="_Toc215695276"/>
      <w:bookmarkStart w:id="2710" w:name="_Toc214611282"/>
      <w:bookmarkStart w:id="2711" w:name="_Toc31996"/>
      <w:bookmarkStart w:id="2712" w:name="_Toc231562105"/>
      <w:bookmarkStart w:id="2713" w:name="_Toc8104"/>
      <w:bookmarkStart w:id="2714" w:name="_Toc585"/>
      <w:bookmarkStart w:id="2715" w:name="_Toc17999"/>
      <w:r>
        <w:rPr>
          <w:rFonts w:hint="eastAsia" w:ascii="黑体" w:hAnsi="黑体" w:eastAsia="黑体"/>
          <w:b w:val="0"/>
          <w:bCs w:val="0"/>
          <w:sz w:val="32"/>
          <w:szCs w:val="32"/>
          <w:highlight w:val="none"/>
        </w:rPr>
        <w:t xml:space="preserve">第二章  </w:t>
      </w:r>
      <w:bookmarkEnd w:id="2682"/>
      <w:r>
        <w:rPr>
          <w:rFonts w:hint="eastAsia" w:ascii="黑体" w:hAnsi="黑体" w:eastAsia="黑体"/>
          <w:b w:val="0"/>
          <w:bCs w:val="0"/>
          <w:sz w:val="32"/>
          <w:szCs w:val="32"/>
          <w:highlight w:val="none"/>
        </w:rPr>
        <w:t>强化省域跨区协同</w:t>
      </w:r>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p>
    <w:p w14:paraId="012F3620">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716" w:name="_Toc124"/>
      <w:bookmarkStart w:id="2717" w:name="_Toc24097"/>
      <w:bookmarkStart w:id="2718" w:name="_Toc3898"/>
      <w:bookmarkStart w:id="2719" w:name="_Toc23697"/>
      <w:bookmarkStart w:id="2720" w:name="_Toc31132"/>
      <w:bookmarkStart w:id="2721" w:name="_Toc28382"/>
      <w:bookmarkStart w:id="2722" w:name="_Toc15815"/>
      <w:bookmarkStart w:id="2723" w:name="_Toc9693"/>
      <w:bookmarkStart w:id="2724" w:name="_Toc29951"/>
      <w:bookmarkStart w:id="2725" w:name="_Toc9073"/>
      <w:bookmarkStart w:id="2726" w:name="_Toc1358"/>
      <w:bookmarkStart w:id="2727" w:name="_Toc30231"/>
      <w:bookmarkStart w:id="2728" w:name="_Toc20403"/>
      <w:bookmarkStart w:id="2729" w:name="_Toc24478"/>
      <w:bookmarkStart w:id="2730" w:name="_Toc21903"/>
      <w:bookmarkStart w:id="2731" w:name="_Toc17344"/>
      <w:bookmarkStart w:id="2732" w:name="_Toc25334"/>
      <w:bookmarkStart w:id="2733" w:name="_Toc29764"/>
      <w:bookmarkStart w:id="2734" w:name="_Toc1729"/>
      <w:bookmarkStart w:id="2735" w:name="_Toc22974"/>
      <w:bookmarkStart w:id="2736" w:name="_Toc11117"/>
      <w:bookmarkStart w:id="2737" w:name="_Toc29272"/>
      <w:bookmarkStart w:id="2738" w:name="_Toc5704"/>
      <w:bookmarkStart w:id="2739" w:name="_Toc231562106"/>
      <w:bookmarkStart w:id="2740" w:name="_Toc21289"/>
      <w:bookmarkStart w:id="2741" w:name="_Toc10535"/>
      <w:bookmarkStart w:id="2742" w:name="_Toc19181"/>
      <w:bookmarkStart w:id="2743" w:name="_Toc7738"/>
      <w:bookmarkStart w:id="2744" w:name="_Toc32010"/>
      <w:bookmarkStart w:id="2745" w:name="_Toc22826"/>
      <w:bookmarkStart w:id="2746" w:name="_Toc12253"/>
      <w:bookmarkStart w:id="2747" w:name="_Toc31047"/>
      <w:bookmarkStart w:id="2748" w:name="_Toc215695277"/>
      <w:bookmarkStart w:id="2749" w:name="_Toc214611284"/>
      <w:r>
        <w:rPr>
          <w:rFonts w:hint="eastAsia" w:ascii="楷体_GB2312" w:hAnsi="楷体_GB2312" w:eastAsia="楷体_GB2312" w:cs="楷体_GB2312"/>
          <w:b w:val="0"/>
          <w:bCs w:val="0"/>
          <w:sz w:val="32"/>
          <w:szCs w:val="32"/>
          <w:highlight w:val="none"/>
        </w:rPr>
        <w:t>第一节  积极嵌入南昌与景德镇发展</w:t>
      </w:r>
      <w:bookmarkEnd w:id="2716"/>
      <w:bookmarkEnd w:id="2717"/>
      <w:bookmarkEnd w:id="2718"/>
      <w:bookmarkEnd w:id="2719"/>
      <w:bookmarkEnd w:id="2720"/>
      <w:r>
        <w:rPr>
          <w:rFonts w:hint="eastAsia" w:ascii="楷体_GB2312" w:hAnsi="楷体_GB2312" w:eastAsia="楷体_GB2312" w:cs="楷体_GB2312"/>
          <w:b w:val="0"/>
          <w:bCs w:val="0"/>
          <w:sz w:val="32"/>
          <w:szCs w:val="32"/>
          <w:highlight w:val="none"/>
        </w:rPr>
        <w:t>框架</w:t>
      </w:r>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p>
    <w:p w14:paraId="25A672E8">
      <w:pPr>
        <w:pageBreakBefore w:val="0"/>
        <w:kinsoku/>
        <w:wordWrap/>
        <w:overflowPunct/>
        <w:topLinePunct w:val="0"/>
        <w:autoSpaceDE/>
        <w:autoSpaceDN/>
        <w:bidi w:val="0"/>
        <w:spacing w:after="0" w:afterLines="0" w:line="560" w:lineRule="exact"/>
        <w:ind w:firstLine="616" w:firstLineChars="200"/>
        <w:rPr>
          <w:rFonts w:hint="eastAsia" w:ascii="仿宋_GB2312" w:hAnsi="仿宋_GB2312" w:eastAsia="仿宋_GB2312" w:cs="仿宋_GB2312"/>
          <w:b w:val="0"/>
          <w:bCs w:val="0"/>
          <w:spacing w:val="-6"/>
          <w:sz w:val="32"/>
          <w:szCs w:val="32"/>
          <w:highlight w:val="none"/>
        </w:rPr>
      </w:pPr>
      <w:r>
        <w:rPr>
          <w:rFonts w:hint="eastAsia" w:ascii="仿宋_GB2312" w:hAnsi="仿宋_GB2312" w:eastAsia="仿宋_GB2312" w:cs="仿宋_GB2312"/>
          <w:b w:val="0"/>
          <w:bCs w:val="0"/>
          <w:spacing w:val="-6"/>
          <w:sz w:val="32"/>
          <w:szCs w:val="32"/>
          <w:highlight w:val="none"/>
        </w:rPr>
        <w:t>强化产业配套协同。依托省级产业园与化工园区载体，精准对接南昌高新区产业发展需求，重点布局LED照明、原料药研发等细分领域，强化区域内供应链协同。积极推进重点领域的配套协作，与南昌共建高效联动的区域产业链、供应链体系，形成优势互补、错位发展的产业格局。</w:t>
      </w:r>
    </w:p>
    <w:p w14:paraId="7AF1F51F">
      <w:pPr>
        <w:pageBreakBefore w:val="0"/>
        <w:kinsoku/>
        <w:wordWrap/>
        <w:overflowPunct/>
        <w:topLinePunct w:val="0"/>
        <w:autoSpaceDE/>
        <w:autoSpaceDN/>
        <w:bidi w:val="0"/>
        <w:spacing w:after="0" w:afterLines="0" w:line="560" w:lineRule="exact"/>
        <w:ind w:firstLine="616"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pacing w:val="-6"/>
          <w:sz w:val="32"/>
          <w:szCs w:val="32"/>
          <w:highlight w:val="none"/>
        </w:rPr>
        <w:t>深化科技与人才协作。联合南昌高校、科研机构共建陶瓷材料、生物医药等联合实验室，推动科技成果转化。推行“人才飞地”模式，鼓励企业在南昌设立研发中心，并联合开展职业技能培训，定向培养陶瓷、航空配套等领域技术人才。</w:t>
      </w:r>
    </w:p>
    <w:p w14:paraId="547CC06A">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750" w:name="_Toc18012"/>
      <w:bookmarkStart w:id="2751" w:name="_Toc3541"/>
      <w:bookmarkStart w:id="2752" w:name="_Toc8767"/>
      <w:bookmarkStart w:id="2753" w:name="_Toc10328"/>
      <w:bookmarkStart w:id="2754" w:name="_Toc23283"/>
      <w:bookmarkStart w:id="2755" w:name="_Toc6218"/>
      <w:bookmarkStart w:id="2756" w:name="_Toc4956"/>
      <w:bookmarkStart w:id="2757" w:name="_Toc12152"/>
      <w:bookmarkStart w:id="2758" w:name="_Toc25529"/>
      <w:bookmarkStart w:id="2759" w:name="_Toc2364"/>
      <w:bookmarkStart w:id="2760" w:name="_Toc26211"/>
      <w:bookmarkStart w:id="2761" w:name="_Toc20818"/>
      <w:bookmarkStart w:id="2762" w:name="_Toc5627"/>
      <w:bookmarkStart w:id="2763" w:name="_Toc31927"/>
      <w:bookmarkStart w:id="2764" w:name="_Toc11851"/>
      <w:bookmarkStart w:id="2765" w:name="_Toc29842"/>
      <w:bookmarkStart w:id="2766" w:name="_Toc26024"/>
      <w:bookmarkStart w:id="2767" w:name="_Toc31307"/>
      <w:bookmarkStart w:id="2768" w:name="_Toc17706"/>
      <w:bookmarkStart w:id="2769" w:name="_Toc10476"/>
      <w:bookmarkStart w:id="2770" w:name="_Toc18550"/>
      <w:bookmarkStart w:id="2771" w:name="_Toc6223"/>
      <w:bookmarkStart w:id="2772" w:name="_Toc30486"/>
      <w:bookmarkStart w:id="2773" w:name="_Toc30330"/>
      <w:bookmarkStart w:id="2774" w:name="_Toc11145"/>
      <w:bookmarkStart w:id="2775" w:name="_Toc28458"/>
      <w:bookmarkStart w:id="2776" w:name="_Toc231562107"/>
      <w:bookmarkStart w:id="2777" w:name="_Toc18327"/>
      <w:bookmarkStart w:id="2778" w:name="_Toc28374"/>
      <w:r>
        <w:rPr>
          <w:rFonts w:hint="eastAsia" w:ascii="楷体_GB2312" w:hAnsi="楷体_GB2312" w:eastAsia="楷体_GB2312" w:cs="楷体_GB2312"/>
          <w:b w:val="0"/>
          <w:bCs w:val="0"/>
          <w:sz w:val="32"/>
          <w:szCs w:val="32"/>
          <w:highlight w:val="none"/>
        </w:rPr>
        <w:t>第二节  主动融入赣东北协同发展</w:t>
      </w:r>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p w14:paraId="6C6CAC92">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共塑赣东北文旅品牌。联合三清山等核心旅游资源，协同开发系列化的赣东北全域旅游产品，共同塑造“国际文化旅游和康养休闲胜地”的整体形象。通过线路共联、市场共拓、品牌共塑，提升区域旅游的吸引力和竞争力，为将赣东北打造成为全国知名的旅游目的地提供强力支撑。</w:t>
      </w:r>
    </w:p>
    <w:p w14:paraId="6BBF59DA">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共筑区域发展平台。协同上饶、鹰潭，共同将赣东北地区建设成为承接东部沿海电子信息产业转移的重要基地、长三角的优质绿色农产品供应地。推动平台共建、政策协同与资源共享，强化区域整体功能，共同提升赣东北在全省乃至长江经济带中的战略能级和发展优势。</w:t>
      </w:r>
    </w:p>
    <w:p w14:paraId="4C926548">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2779" w:name="_Toc215695279"/>
      <w:bookmarkStart w:id="2780" w:name="_Toc1290"/>
      <w:bookmarkStart w:id="2781" w:name="_Toc15408"/>
      <w:bookmarkStart w:id="2782" w:name="_Toc28461"/>
      <w:bookmarkStart w:id="2783" w:name="_Toc1735"/>
      <w:bookmarkStart w:id="2784" w:name="_Toc214611286"/>
      <w:bookmarkStart w:id="2785" w:name="_Toc8125"/>
      <w:bookmarkStart w:id="2786" w:name="_Toc24337"/>
      <w:bookmarkStart w:id="2787" w:name="_Toc20017"/>
      <w:bookmarkStart w:id="2788" w:name="_Toc5162"/>
      <w:bookmarkStart w:id="2789" w:name="_Toc3535"/>
      <w:bookmarkStart w:id="2790" w:name="_Toc30348"/>
      <w:bookmarkStart w:id="2791" w:name="_Toc10720"/>
      <w:bookmarkStart w:id="2792" w:name="_Toc18640"/>
      <w:bookmarkStart w:id="2793" w:name="_Toc29941"/>
      <w:bookmarkStart w:id="2794" w:name="_Toc29394"/>
      <w:bookmarkStart w:id="2795" w:name="_Toc1047"/>
      <w:bookmarkStart w:id="2796" w:name="_Toc22723"/>
      <w:bookmarkStart w:id="2797" w:name="_Toc100"/>
      <w:bookmarkStart w:id="2798" w:name="_Toc2916"/>
      <w:bookmarkStart w:id="2799" w:name="_Toc29916"/>
      <w:bookmarkStart w:id="2800" w:name="_Toc24707"/>
      <w:bookmarkStart w:id="2801" w:name="_Toc13832"/>
      <w:bookmarkStart w:id="2802" w:name="_Toc8502"/>
      <w:bookmarkStart w:id="2803" w:name="_Toc18792"/>
      <w:bookmarkStart w:id="2804" w:name="_Toc231562108"/>
      <w:bookmarkStart w:id="2805" w:name="_Toc27234"/>
      <w:bookmarkStart w:id="2806" w:name="_Toc16316"/>
      <w:bookmarkStart w:id="2807" w:name="_Toc26512"/>
      <w:bookmarkStart w:id="2808" w:name="_Toc12388"/>
      <w:bookmarkStart w:id="2809" w:name="_Toc15818"/>
      <w:bookmarkStart w:id="2810" w:name="_Toc26023"/>
      <w:bookmarkStart w:id="2811" w:name="_Toc15344"/>
      <w:r>
        <w:rPr>
          <w:rFonts w:hint="eastAsia" w:ascii="黑体" w:hAnsi="黑体" w:eastAsia="黑体"/>
          <w:b w:val="0"/>
          <w:bCs w:val="0"/>
          <w:sz w:val="32"/>
          <w:szCs w:val="32"/>
          <w:highlight w:val="none"/>
        </w:rPr>
        <w:t>第三章  拓展市域合作建设</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p>
    <w:p w14:paraId="3FD58F07">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812" w:name="_Toc11358"/>
      <w:bookmarkStart w:id="2813" w:name="_Toc25856"/>
      <w:bookmarkStart w:id="2814" w:name="_Toc7612"/>
      <w:bookmarkStart w:id="2815" w:name="_Toc11016"/>
      <w:bookmarkStart w:id="2816" w:name="_Toc22590"/>
      <w:bookmarkStart w:id="2817" w:name="_Toc10071"/>
      <w:bookmarkStart w:id="2818" w:name="_Toc15810"/>
      <w:bookmarkStart w:id="2819" w:name="_Toc18741"/>
      <w:bookmarkStart w:id="2820" w:name="_Toc5744"/>
      <w:bookmarkStart w:id="2821" w:name="_Toc25237"/>
      <w:bookmarkStart w:id="2822" w:name="_Toc15633"/>
      <w:bookmarkStart w:id="2823" w:name="_Toc5464"/>
      <w:bookmarkStart w:id="2824" w:name="_Toc25784"/>
      <w:bookmarkStart w:id="2825" w:name="_Toc2717"/>
      <w:bookmarkStart w:id="2826" w:name="_Toc15916"/>
      <w:bookmarkStart w:id="2827" w:name="_Toc8229"/>
      <w:bookmarkStart w:id="2828" w:name="_Toc5418"/>
      <w:bookmarkStart w:id="2829" w:name="_Toc17672"/>
      <w:bookmarkStart w:id="2830" w:name="_Toc13813"/>
      <w:bookmarkStart w:id="2831" w:name="_Toc3423"/>
      <w:bookmarkStart w:id="2832" w:name="_Toc24506"/>
      <w:bookmarkStart w:id="2833" w:name="_Toc29377"/>
      <w:bookmarkStart w:id="2834" w:name="_Toc7780"/>
      <w:bookmarkStart w:id="2835" w:name="_Toc14805"/>
      <w:bookmarkStart w:id="2836" w:name="_Toc11048"/>
      <w:bookmarkStart w:id="2837" w:name="_Toc8481"/>
      <w:bookmarkStart w:id="2838" w:name="_Toc6620"/>
      <w:bookmarkStart w:id="2839" w:name="_Toc19800"/>
      <w:bookmarkStart w:id="2840" w:name="_Toc215695280"/>
      <w:bookmarkStart w:id="2841" w:name="_Toc26261"/>
      <w:bookmarkStart w:id="2842" w:name="_Toc30741"/>
      <w:bookmarkStart w:id="2843" w:name="_Toc214611287"/>
      <w:bookmarkStart w:id="2844" w:name="_Toc231562109"/>
      <w:r>
        <w:rPr>
          <w:rFonts w:hint="eastAsia" w:ascii="楷体_GB2312" w:hAnsi="楷体_GB2312" w:eastAsia="楷体_GB2312" w:cs="楷体_GB2312"/>
          <w:b w:val="0"/>
          <w:bCs w:val="0"/>
          <w:sz w:val="32"/>
          <w:szCs w:val="32"/>
          <w:highlight w:val="none"/>
        </w:rPr>
        <w:t>第一节  积极推动形成“千年瓷都”发展合力</w:t>
      </w:r>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p>
    <w:p w14:paraId="00C2D92D">
      <w:pPr>
        <w:pageBreakBefore w:val="0"/>
        <w:kinsoku/>
        <w:wordWrap/>
        <w:overflowPunct/>
        <w:topLinePunct w:val="0"/>
        <w:autoSpaceDE/>
        <w:autoSpaceDN/>
        <w:bidi w:val="0"/>
        <w:spacing w:after="0" w:afterLines="0" w:line="560" w:lineRule="exact"/>
        <w:ind w:firstLine="616" w:firstLineChars="200"/>
        <w:rPr>
          <w:rFonts w:hint="eastAsia" w:ascii="仿宋_GB2312" w:hAnsi="仿宋_GB2312" w:eastAsia="仿宋_GB2312" w:cs="仿宋_GB2312"/>
          <w:b w:val="0"/>
          <w:bCs w:val="0"/>
          <w:spacing w:val="-6"/>
          <w:sz w:val="32"/>
          <w:szCs w:val="32"/>
          <w:highlight w:val="none"/>
        </w:rPr>
      </w:pPr>
      <w:r>
        <w:rPr>
          <w:rFonts w:hint="eastAsia" w:ascii="仿宋_GB2312" w:hAnsi="仿宋_GB2312" w:eastAsia="仿宋_GB2312" w:cs="仿宋_GB2312"/>
          <w:b w:val="0"/>
          <w:bCs w:val="0"/>
          <w:spacing w:val="-6"/>
          <w:sz w:val="32"/>
          <w:szCs w:val="32"/>
          <w:highlight w:val="none"/>
        </w:rPr>
        <w:t>推动陶瓷文化遗产协同保护。</w:t>
      </w:r>
      <w:r>
        <w:rPr>
          <w:rFonts w:hint="eastAsia" w:ascii="仿宋_GB2312" w:hAnsi="仿宋_GB2312" w:eastAsia="仿宋_GB2312" w:cs="仿宋_GB2312"/>
          <w:b w:val="0"/>
          <w:bCs w:val="0"/>
          <w:spacing w:val="-6"/>
          <w:sz w:val="32"/>
          <w:szCs w:val="32"/>
          <w:highlight w:val="none"/>
          <w:lang w:bidi="ar"/>
        </w:rPr>
        <w:t>借助中国陶瓷文化生态保护区政策优势，</w:t>
      </w:r>
      <w:r>
        <w:rPr>
          <w:rFonts w:hint="eastAsia" w:ascii="仿宋_GB2312" w:hAnsi="仿宋_GB2312" w:eastAsia="仿宋_GB2312" w:cs="仿宋_GB2312"/>
          <w:b w:val="0"/>
          <w:bCs w:val="0"/>
          <w:spacing w:val="-6"/>
          <w:sz w:val="32"/>
          <w:szCs w:val="32"/>
          <w:highlight w:val="none"/>
        </w:rPr>
        <w:t>携手珠山、浮梁等区域，</w:t>
      </w:r>
      <w:r>
        <w:rPr>
          <w:rFonts w:hint="eastAsia" w:ascii="仿宋_GB2312" w:hAnsi="仿宋_GB2312" w:eastAsia="仿宋_GB2312" w:cs="仿宋_GB2312"/>
          <w:b w:val="0"/>
          <w:bCs w:val="0"/>
          <w:spacing w:val="-6"/>
          <w:sz w:val="32"/>
          <w:szCs w:val="32"/>
          <w:highlight w:val="none"/>
          <w:lang w:bidi="ar"/>
        </w:rPr>
        <w:t>实现优势互补、错位发展，大力</w:t>
      </w:r>
      <w:r>
        <w:rPr>
          <w:rFonts w:hint="eastAsia" w:ascii="仿宋_GB2312" w:hAnsi="仿宋_GB2312" w:eastAsia="仿宋_GB2312" w:cs="仿宋_GB2312"/>
          <w:b w:val="0"/>
          <w:bCs w:val="0"/>
          <w:spacing w:val="-6"/>
          <w:sz w:val="32"/>
          <w:szCs w:val="32"/>
          <w:highlight w:val="none"/>
        </w:rPr>
        <w:t>构建系统性的陶瓷文化保护新格局。联合推动青花瓷、玲珑瓷、陶瓷雕刻等传统技艺列入人类非物质文化遗产代表作名录，强化陶瓷文化的深度保护与活态传承。</w:t>
      </w:r>
    </w:p>
    <w:p w14:paraId="6D023DC5">
      <w:pPr>
        <w:pageBreakBefore w:val="0"/>
        <w:kinsoku/>
        <w:wordWrap/>
        <w:overflowPunct/>
        <w:topLinePunct w:val="0"/>
        <w:autoSpaceDE/>
        <w:autoSpaceDN/>
        <w:bidi w:val="0"/>
        <w:spacing w:after="0" w:afterLines="0" w:line="560" w:lineRule="exact"/>
        <w:ind w:firstLine="616" w:firstLineChars="200"/>
        <w:rPr>
          <w:rFonts w:hint="eastAsia" w:ascii="仿宋_GB2312" w:hAnsi="仿宋_GB2312" w:eastAsia="仿宋_GB2312" w:cs="仿宋_GB2312"/>
          <w:b w:val="0"/>
          <w:bCs w:val="0"/>
          <w:spacing w:val="-6"/>
          <w:sz w:val="32"/>
          <w:szCs w:val="32"/>
          <w:highlight w:val="none"/>
        </w:rPr>
      </w:pPr>
      <w:r>
        <w:rPr>
          <w:rFonts w:hint="eastAsia" w:ascii="仿宋_GB2312" w:hAnsi="仿宋_GB2312" w:eastAsia="仿宋_GB2312" w:cs="仿宋_GB2312"/>
          <w:b w:val="0"/>
          <w:bCs w:val="0"/>
          <w:spacing w:val="-6"/>
          <w:sz w:val="32"/>
          <w:szCs w:val="32"/>
          <w:highlight w:val="none"/>
        </w:rPr>
        <w:t>打造特色文旅共同体。以“陶瓷+”融合开放为导向，联合古窑民俗博览区、昌南里文化景区等核心资源，联动陶溪川、御窑厂、高岭中国村等关键节点，共同开发主题鲜明、体验独特的精品文旅线路与产品。加强资源互通与客流共享，构建覆盖全域、协同发展的陶瓷文化旅游共同体，显著提升“千年瓷都”的整体吸引力。</w:t>
      </w:r>
    </w:p>
    <w:p w14:paraId="4C2B421A">
      <w:pPr>
        <w:pageBreakBefore w:val="0"/>
        <w:kinsoku/>
        <w:wordWrap/>
        <w:overflowPunct/>
        <w:topLinePunct w:val="0"/>
        <w:autoSpaceDE/>
        <w:autoSpaceDN/>
        <w:bidi w:val="0"/>
        <w:spacing w:after="0" w:afterLines="0" w:line="560" w:lineRule="exact"/>
        <w:ind w:firstLine="616" w:firstLineChars="200"/>
        <w:rPr>
          <w:rFonts w:hint="eastAsia" w:ascii="仿宋_GB2312" w:hAnsi="仿宋_GB2312" w:eastAsia="仿宋_GB2312" w:cs="仿宋_GB2312"/>
          <w:b w:val="0"/>
          <w:bCs w:val="0"/>
          <w:spacing w:val="-6"/>
          <w:sz w:val="32"/>
          <w:szCs w:val="32"/>
          <w:highlight w:val="none"/>
        </w:rPr>
      </w:pPr>
      <w:r>
        <w:rPr>
          <w:rFonts w:hint="eastAsia" w:ascii="仿宋_GB2312" w:hAnsi="仿宋_GB2312" w:eastAsia="仿宋_GB2312" w:cs="仿宋_GB2312"/>
          <w:b w:val="0"/>
          <w:bCs w:val="0"/>
          <w:spacing w:val="-6"/>
          <w:sz w:val="32"/>
          <w:szCs w:val="32"/>
          <w:highlight w:val="none"/>
        </w:rPr>
        <w:t>建设国际陶瓷文化地标。积极引入国际知名IP、高端艺术展览与前沿数字体验技术，助力中国景德镇国际陶瓷博览会的国际化、时尚化水平进一步提升。持续完善昌南里世界陶瓷潮玩小镇、外销瓷博物馆等标杆性项目配套设施建设，以新潮方式诠释陶瓷文化，打造引领潮流、面向世界的陶瓷文化新名片。</w:t>
      </w:r>
    </w:p>
    <w:p w14:paraId="51D45C46">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845" w:name="_Toc13455"/>
      <w:bookmarkStart w:id="2846" w:name="_Toc14789"/>
      <w:bookmarkStart w:id="2847" w:name="_Toc21076"/>
      <w:bookmarkStart w:id="2848" w:name="_Toc10869"/>
      <w:bookmarkStart w:id="2849" w:name="_Toc22754"/>
      <w:bookmarkStart w:id="2850" w:name="_Toc32285"/>
      <w:bookmarkStart w:id="2851" w:name="_Toc15795"/>
      <w:bookmarkStart w:id="2852" w:name="_Toc30151"/>
      <w:bookmarkStart w:id="2853" w:name="_Toc27414"/>
      <w:bookmarkStart w:id="2854" w:name="_Toc4912"/>
      <w:bookmarkStart w:id="2855" w:name="_Toc7133"/>
      <w:bookmarkStart w:id="2856" w:name="_Toc12351"/>
      <w:bookmarkStart w:id="2857" w:name="_Toc32137"/>
      <w:bookmarkStart w:id="2858" w:name="_Toc14620"/>
      <w:bookmarkStart w:id="2859" w:name="_Toc9619"/>
      <w:bookmarkStart w:id="2860" w:name="_Toc23571"/>
      <w:bookmarkStart w:id="2861" w:name="_Toc4725"/>
      <w:bookmarkStart w:id="2862" w:name="_Toc1225"/>
      <w:bookmarkStart w:id="2863" w:name="_Toc9982"/>
      <w:bookmarkStart w:id="2864" w:name="_Toc31652"/>
      <w:bookmarkStart w:id="2865" w:name="_Toc9337"/>
      <w:bookmarkStart w:id="2866" w:name="_Toc14644"/>
      <w:bookmarkStart w:id="2867" w:name="_Toc6428"/>
      <w:bookmarkStart w:id="2868" w:name="_Toc231562110"/>
      <w:bookmarkStart w:id="2869" w:name="_Toc215695281"/>
      <w:bookmarkStart w:id="2870" w:name="_Toc19562"/>
      <w:bookmarkStart w:id="2871" w:name="_Toc214611288"/>
      <w:bookmarkStart w:id="2872" w:name="_Toc5204"/>
      <w:bookmarkStart w:id="2873" w:name="_Toc28343"/>
      <w:bookmarkStart w:id="2874" w:name="_Toc942"/>
      <w:bookmarkStart w:id="2875" w:name="_Toc21351"/>
      <w:bookmarkStart w:id="2876" w:name="_Toc12788"/>
      <w:bookmarkStart w:id="2877" w:name="_Toc3126"/>
      <w:r>
        <w:rPr>
          <w:rFonts w:hint="eastAsia" w:ascii="楷体_GB2312" w:hAnsi="楷体_GB2312" w:eastAsia="楷体_GB2312" w:cs="楷体_GB2312"/>
          <w:b w:val="0"/>
          <w:bCs w:val="0"/>
          <w:sz w:val="32"/>
          <w:szCs w:val="32"/>
          <w:highlight w:val="none"/>
        </w:rPr>
        <w:t>第二节  大力推进中心城区一体化</w:t>
      </w:r>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p>
    <w:p w14:paraId="67626B5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统筹区域协同发展，提升城市核心功能能级。大力推动与高新区深度融合，在资源要素、产业互通、合力攻坚等方面积极探索“两区”全面融合发展新路径。聚焦“三联”定位，加快与乐平、昌南新区融合发展。着力促进企业总部、创新人才、产业基金等高端要素在中心城区高效集聚，强化现代商贸与金融商务服务能力，构建功能互补、协同高效的中心城区发展新格局。</w:t>
      </w:r>
    </w:p>
    <w:p w14:paraId="2EAA3EF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深化“两区”融合发展，构建“一区多园”产业新局。纵深推进“两区”融合，聚焦规划布局、产业发展、基础设施、公共服务“四个融合”关键领域。加强资源整合与机制创新，打造“一区多园、联动发展”的新局面，塑造集约高效、分工有序的产业发展新形态。</w:t>
      </w:r>
    </w:p>
    <w:p w14:paraId="505CAFD3">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聚焦新质生产力培育，打造高质量发展核心引擎。面向未来产业赛道，在中心城区一体化框架下布局前沿技术研发与先进制造环节。推动创新链、产业链、资金链、人才链深度融合，将西城区建设成为引领区域发展的新质生产力引擎区。</w:t>
      </w:r>
    </w:p>
    <w:p w14:paraId="3D52E2FD">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bookmarkStart w:id="2878" w:name="_Toc22678"/>
      <w:bookmarkStart w:id="2879" w:name="_Toc14029"/>
      <w:bookmarkStart w:id="2880" w:name="_Toc2302"/>
      <w:bookmarkStart w:id="2881" w:name="_Toc16103"/>
      <w:bookmarkStart w:id="2882" w:name="_Toc20722"/>
      <w:bookmarkStart w:id="2883" w:name="_Toc14354"/>
      <w:bookmarkStart w:id="2884" w:name="_Toc8977"/>
      <w:bookmarkStart w:id="2885" w:name="_Toc215695283"/>
      <w:bookmarkStart w:id="2886" w:name="_Toc31015"/>
      <w:bookmarkStart w:id="2887" w:name="_Toc214611290"/>
      <w:bookmarkStart w:id="2888" w:name="_Toc4112"/>
      <w:bookmarkStart w:id="2889" w:name="_Toc29840"/>
      <w:r>
        <w:rPr>
          <w:rFonts w:hint="eastAsia" w:ascii="仿宋_GB2312" w:hAnsi="仿宋_GB2312" w:eastAsia="仿宋_GB2312" w:cs="仿宋_GB2312"/>
          <w:b w:val="0"/>
          <w:bCs w:val="0"/>
          <w:sz w:val="32"/>
          <w:szCs w:val="32"/>
          <w:highlight w:val="none"/>
        </w:rPr>
        <w:br w:type="page"/>
      </w:r>
    </w:p>
    <w:p w14:paraId="5222790A">
      <w:pPr>
        <w:keepNext w:val="0"/>
        <w:keepLines w:val="0"/>
        <w:pageBreakBefore w:val="0"/>
        <w:widowControl w:val="0"/>
        <w:kinsoku/>
        <w:wordWrap/>
        <w:overflowPunct/>
        <w:topLinePunct w:val="0"/>
        <w:autoSpaceDE/>
        <w:autoSpaceDN/>
        <w:bidi w:val="0"/>
        <w:adjustRightInd w:val="0"/>
        <w:snapToGrid w:val="0"/>
        <w:spacing w:after="0" w:afterLines="0" w:line="560" w:lineRule="exact"/>
        <w:jc w:val="center"/>
        <w:textAlignment w:val="auto"/>
        <w:outlineLvl w:val="0"/>
        <w:rPr>
          <w:rFonts w:hint="eastAsia" w:ascii="方正小标宋简体" w:eastAsia="方正小标宋简体"/>
          <w:b w:val="0"/>
          <w:bCs w:val="0"/>
          <w:sz w:val="36"/>
          <w:szCs w:val="36"/>
          <w:highlight w:val="none"/>
        </w:rPr>
      </w:pPr>
      <w:bookmarkStart w:id="2890" w:name="_Toc5763"/>
      <w:bookmarkStart w:id="2891" w:name="_Toc10961"/>
      <w:bookmarkStart w:id="2892" w:name="_Toc19975"/>
      <w:bookmarkStart w:id="2893" w:name="_Toc24006"/>
      <w:bookmarkStart w:id="2894" w:name="_Toc10515"/>
      <w:bookmarkStart w:id="2895" w:name="_Toc21804"/>
      <w:bookmarkStart w:id="2896" w:name="_Toc231562111"/>
      <w:bookmarkStart w:id="2897" w:name="_Toc12598"/>
      <w:bookmarkStart w:id="2898" w:name="_Toc10252"/>
      <w:bookmarkStart w:id="2899" w:name="_Toc18050"/>
      <w:bookmarkStart w:id="2900" w:name="_Toc1902"/>
      <w:bookmarkStart w:id="2901" w:name="_Toc3269"/>
      <w:bookmarkStart w:id="2902" w:name="_Toc15710"/>
      <w:bookmarkStart w:id="2903" w:name="_Toc14992"/>
      <w:bookmarkStart w:id="2904" w:name="_Toc28914"/>
      <w:bookmarkStart w:id="2905" w:name="_Toc2803"/>
      <w:bookmarkStart w:id="2906" w:name="_Toc28729"/>
      <w:bookmarkStart w:id="2907" w:name="_Toc723"/>
      <w:bookmarkStart w:id="2908" w:name="_Toc8739"/>
      <w:bookmarkStart w:id="2909" w:name="_Toc23528"/>
      <w:bookmarkStart w:id="2910" w:name="_Toc29751"/>
      <w:r>
        <w:rPr>
          <w:rFonts w:hint="eastAsia" w:ascii="方正小标宋简体" w:eastAsia="方正小标宋简体"/>
          <w:b w:val="0"/>
          <w:bCs w:val="0"/>
          <w:sz w:val="36"/>
          <w:szCs w:val="36"/>
          <w:highlight w:val="none"/>
        </w:rPr>
        <w:t>第九篇  深入推进农业现代化，打造乡村振兴新格局</w:t>
      </w:r>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p>
    <w:p w14:paraId="7CFF151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778CE2BE">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坚持农业农村优先发展，以农业现代化带动农村全面进步、促进农民增收，以乡村振兴统筹推进农业高质量发展和农村现代化建设，推动城乡融合发展，巩固拓展脱贫攻坚成果，提升农村现代生活水平。立足资源禀赋和产业基础，坚持大农业观，围绕农民增收和农村可持续发展，构建产业兴旺、生态优美、生活富裕、治理有效的现代农业农村体系，打造具有昌江辨识度的都市农业新格局。</w:t>
      </w:r>
    </w:p>
    <w:p w14:paraId="6DA09DA0">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2911" w:name="_Toc10337"/>
      <w:bookmarkStart w:id="2912" w:name="_Toc5734"/>
      <w:bookmarkStart w:id="2913" w:name="_Toc23624"/>
      <w:bookmarkStart w:id="2914" w:name="_Toc9547"/>
      <w:bookmarkStart w:id="2915" w:name="_Toc24498"/>
      <w:bookmarkStart w:id="2916" w:name="_Toc26654"/>
      <w:bookmarkStart w:id="2917" w:name="_Toc24972"/>
      <w:bookmarkStart w:id="2918" w:name="_Toc2153"/>
      <w:bookmarkStart w:id="2919" w:name="_Toc13097"/>
      <w:bookmarkStart w:id="2920" w:name="_Toc17276"/>
      <w:bookmarkStart w:id="2921" w:name="_Toc14727"/>
      <w:bookmarkStart w:id="2922" w:name="_Toc23759"/>
      <w:bookmarkStart w:id="2923" w:name="_Toc26529"/>
      <w:bookmarkStart w:id="2924" w:name="_Toc5478"/>
      <w:bookmarkStart w:id="2925" w:name="_Toc30513"/>
      <w:bookmarkStart w:id="2926" w:name="_Toc20703"/>
      <w:bookmarkStart w:id="2927" w:name="_Toc31149"/>
      <w:bookmarkStart w:id="2928" w:name="_Toc6567"/>
      <w:bookmarkStart w:id="2929" w:name="_Toc11824"/>
      <w:bookmarkStart w:id="2930" w:name="_Toc28026"/>
      <w:bookmarkStart w:id="2931" w:name="_Toc214611291"/>
      <w:bookmarkStart w:id="2932" w:name="_Toc10929"/>
      <w:bookmarkStart w:id="2933" w:name="_Toc24991"/>
      <w:bookmarkStart w:id="2934" w:name="_Toc4790"/>
      <w:bookmarkStart w:id="2935" w:name="_Toc7024"/>
      <w:bookmarkStart w:id="2936" w:name="_Toc21196"/>
      <w:bookmarkStart w:id="2937" w:name="_Toc231562112"/>
      <w:bookmarkStart w:id="2938" w:name="_Toc17775"/>
      <w:bookmarkStart w:id="2939" w:name="_Toc17720"/>
      <w:bookmarkStart w:id="2940" w:name="_Toc5922"/>
      <w:bookmarkStart w:id="2941" w:name="_Toc7975"/>
      <w:bookmarkStart w:id="2942" w:name="_Toc13640"/>
      <w:bookmarkStart w:id="2943" w:name="_Toc15516"/>
      <w:bookmarkStart w:id="2944" w:name="_Toc215695284"/>
      <w:r>
        <w:rPr>
          <w:rFonts w:hint="eastAsia" w:ascii="黑体" w:hAnsi="黑体" w:eastAsia="黑体"/>
          <w:b w:val="0"/>
          <w:bCs w:val="0"/>
          <w:sz w:val="32"/>
          <w:szCs w:val="32"/>
          <w:highlight w:val="none"/>
        </w:rPr>
        <w:t xml:space="preserve">第一章  </w:t>
      </w:r>
      <w:bookmarkEnd w:id="2911"/>
      <w:r>
        <w:rPr>
          <w:rFonts w:hint="eastAsia" w:ascii="黑体" w:hAnsi="黑体" w:eastAsia="黑体"/>
          <w:b w:val="0"/>
          <w:bCs w:val="0"/>
          <w:sz w:val="32"/>
          <w:szCs w:val="32"/>
          <w:highlight w:val="none"/>
        </w:rPr>
        <w:t>深入践行大农业观</w:t>
      </w:r>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14:paraId="6665C848">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945" w:name="_Toc12003"/>
      <w:bookmarkStart w:id="2946" w:name="_Toc7606"/>
      <w:bookmarkStart w:id="2947" w:name="_Toc14234"/>
      <w:bookmarkStart w:id="2948" w:name="_Toc24900"/>
      <w:bookmarkStart w:id="2949" w:name="_Toc32227"/>
      <w:bookmarkStart w:id="2950" w:name="_Toc20962"/>
      <w:bookmarkStart w:id="2951" w:name="_Toc22045"/>
      <w:bookmarkStart w:id="2952" w:name="_Toc26234"/>
      <w:bookmarkStart w:id="2953" w:name="_Toc32502"/>
      <w:bookmarkStart w:id="2954" w:name="_Toc1675"/>
      <w:bookmarkStart w:id="2955" w:name="_Toc13985"/>
      <w:bookmarkStart w:id="2956" w:name="_Toc13158"/>
      <w:bookmarkStart w:id="2957" w:name="_Toc7167"/>
      <w:bookmarkStart w:id="2958" w:name="_Toc1133"/>
      <w:bookmarkStart w:id="2959" w:name="_Toc12039"/>
      <w:bookmarkStart w:id="2960" w:name="_Toc10422"/>
      <w:bookmarkStart w:id="2961" w:name="_Toc16059"/>
      <w:bookmarkStart w:id="2962" w:name="_Toc6226"/>
      <w:bookmarkStart w:id="2963" w:name="_Toc5103"/>
      <w:bookmarkStart w:id="2964" w:name="_Toc18525"/>
      <w:bookmarkStart w:id="2965" w:name="_Toc2456"/>
      <w:bookmarkStart w:id="2966" w:name="_Toc24966"/>
      <w:bookmarkStart w:id="2967" w:name="_Toc6821"/>
      <w:bookmarkStart w:id="2968" w:name="_Toc16620"/>
      <w:bookmarkStart w:id="2969" w:name="_Toc202"/>
      <w:bookmarkStart w:id="2970" w:name="_Toc215695285"/>
      <w:bookmarkStart w:id="2971" w:name="_Toc6579"/>
      <w:bookmarkStart w:id="2972" w:name="_Toc11542"/>
      <w:bookmarkStart w:id="2973" w:name="_Toc31870"/>
      <w:bookmarkStart w:id="2974" w:name="_Toc231562113"/>
      <w:bookmarkStart w:id="2975" w:name="_Toc10045"/>
      <w:bookmarkStart w:id="2976" w:name="_Toc19310"/>
      <w:bookmarkStart w:id="2977" w:name="_Toc214611292"/>
      <w:bookmarkStart w:id="2978" w:name="_Toc10676"/>
      <w:r>
        <w:rPr>
          <w:rFonts w:hint="eastAsia" w:ascii="楷体_GB2312" w:hAnsi="楷体_GB2312" w:eastAsia="楷体_GB2312" w:cs="楷体_GB2312"/>
          <w:b w:val="0"/>
          <w:bCs w:val="0"/>
          <w:sz w:val="32"/>
          <w:szCs w:val="32"/>
          <w:highlight w:val="none"/>
        </w:rPr>
        <w:t xml:space="preserve">第一节  </w:t>
      </w:r>
      <w:bookmarkEnd w:id="2945"/>
      <w:r>
        <w:rPr>
          <w:rFonts w:hint="eastAsia" w:ascii="楷体_GB2312" w:hAnsi="楷体_GB2312" w:eastAsia="楷体_GB2312" w:cs="楷体_GB2312"/>
          <w:b w:val="0"/>
          <w:bCs w:val="0"/>
          <w:sz w:val="32"/>
          <w:szCs w:val="32"/>
          <w:highlight w:val="none"/>
        </w:rPr>
        <w:t>提升农产品生产能力</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p>
    <w:p w14:paraId="6F4DEB6D">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筑牢粮食安全根基，提升综合生产能力。深入实施“藏粮于地、藏粮于技”战略，严守耕地保护红线，坚决遏制耕地“非农化”、防止永久基本农田“非粮化”。强化高标准农田建设与管护，确保粮食和重要农产品稳定安全供给。加强农业科技推广应用，提高粮食单产水平和品质，构建稳产高产、生态高效的现代粮食生产体系。</w:t>
      </w:r>
    </w:p>
    <w:p w14:paraId="2A10BC8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进养殖业转型升级，促进生态循环发展。依托片区牛、猪、鸡、鸭、蛇、鳗鱼等特色养殖基础，大力推进标准化、生态化养殖模式。优化养殖品种结构，强化动物疫病防控体系建设，推广养殖废弃物资源化利用技术。推动养殖业与加工业、休闲农业深度融合，发展生态循环农业，提升养殖综合效益和可持续发展能力。</w:t>
      </w:r>
    </w:p>
    <w:p w14:paraId="1D49A91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构建现代农业体系，推动全链条升级。坚持“布局区域化、产业融合化、生产标准化、经营规模化”发展方向，着力调优品种结构、扩大经营规模。健全粮食收购、储备与流通调控体系，保障市场供应稳定与粮食安全。结合信息化手段和智慧监管平台，实现粮食市场动态监测和政策快速响应。完善农产品质量安全追溯体系，增强市场调控能力，构建产销衔接顺畅、质量安全可控、供需动态平衡的现代农产品产业体系。</w:t>
      </w:r>
    </w:p>
    <w:p w14:paraId="26BE8CCD">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基础设施支撑，提升服务保障水平。持续优化完善农田水利设施，优化完善灌溉保障体系等农业基础设施，推进农业基础设施现代化改造。依托景德镇农产品批发市场和冷链中心，建设功能完善的冷链物流枢纽体系，实现农产品跨区域高效流通，全面提升冷链物流服务能级。健全农业社会化服务体系，强化科技服务、金融服务、信息服务等要素保障，为现代农业发展提供全方位支撑。</w:t>
      </w:r>
    </w:p>
    <w:p w14:paraId="68207E72">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2979" w:name="_Toc18124"/>
      <w:bookmarkStart w:id="2980" w:name="_Toc6396"/>
      <w:bookmarkStart w:id="2981" w:name="_Toc31527"/>
      <w:bookmarkStart w:id="2982" w:name="_Toc24573"/>
      <w:bookmarkStart w:id="2983" w:name="_Toc6638"/>
      <w:bookmarkStart w:id="2984" w:name="_Toc22086"/>
      <w:bookmarkStart w:id="2985" w:name="_Toc6066"/>
      <w:bookmarkStart w:id="2986" w:name="_Toc23003"/>
      <w:bookmarkStart w:id="2987" w:name="_Toc29809"/>
      <w:bookmarkStart w:id="2988" w:name="_Toc231562114"/>
      <w:bookmarkStart w:id="2989" w:name="_Toc14337"/>
      <w:bookmarkStart w:id="2990" w:name="_Toc5933"/>
      <w:bookmarkStart w:id="2991" w:name="_Toc18807"/>
      <w:bookmarkStart w:id="2992" w:name="_Toc27596"/>
      <w:bookmarkStart w:id="2993" w:name="_Toc25927"/>
      <w:bookmarkStart w:id="2994" w:name="_Toc204"/>
      <w:bookmarkStart w:id="2995" w:name="_Toc32340"/>
      <w:bookmarkStart w:id="2996" w:name="_Toc30082"/>
      <w:bookmarkStart w:id="2997" w:name="_Toc4180"/>
      <w:bookmarkStart w:id="2998" w:name="_Toc215695286"/>
      <w:bookmarkStart w:id="2999" w:name="_Toc22568"/>
      <w:bookmarkStart w:id="3000" w:name="_Toc15780"/>
      <w:bookmarkStart w:id="3001" w:name="_Toc24251"/>
      <w:bookmarkStart w:id="3002" w:name="_Toc13727"/>
      <w:bookmarkStart w:id="3003" w:name="_Toc17227"/>
      <w:bookmarkStart w:id="3004" w:name="_Toc214611293"/>
      <w:bookmarkStart w:id="3005" w:name="_Toc22145"/>
      <w:bookmarkStart w:id="3006" w:name="_Toc23637"/>
      <w:bookmarkStart w:id="3007" w:name="_Toc2660"/>
      <w:bookmarkStart w:id="3008" w:name="_Toc5905"/>
      <w:bookmarkStart w:id="3009" w:name="_Toc29644"/>
      <w:bookmarkStart w:id="3010" w:name="_Toc32275"/>
      <w:bookmarkStart w:id="3011" w:name="_Toc11577"/>
      <w:bookmarkStart w:id="3012" w:name="_Toc15000"/>
      <w:r>
        <w:rPr>
          <w:rFonts w:hint="eastAsia" w:ascii="楷体_GB2312" w:hAnsi="楷体_GB2312" w:eastAsia="楷体_GB2312" w:cs="楷体_GB2312"/>
          <w:b w:val="0"/>
          <w:bCs w:val="0"/>
          <w:sz w:val="32"/>
          <w:szCs w:val="32"/>
          <w:highlight w:val="none"/>
        </w:rPr>
        <w:t xml:space="preserve">第二节  </w:t>
      </w:r>
      <w:bookmarkEnd w:id="2979"/>
      <w:r>
        <w:rPr>
          <w:rFonts w:hint="eastAsia" w:ascii="楷体_GB2312" w:hAnsi="楷体_GB2312" w:eastAsia="楷体_GB2312" w:cs="楷体_GB2312"/>
          <w:b w:val="0"/>
          <w:bCs w:val="0"/>
          <w:sz w:val="32"/>
          <w:szCs w:val="32"/>
          <w:highlight w:val="none"/>
        </w:rPr>
        <w:t>增强农产品加工能力</w:t>
      </w:r>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p>
    <w:p w14:paraId="0575A8B5">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优化资源配置与市场衔接。构建完善的生产、加工、流通、供应、销售“五端”联动机制，强化产业链各环节的有机衔接和高效协同。完善市场对接机制，推动产销精准匹配，提升农产品流通效率，降低运营成本。推进初加工、精深加工与综合利用加工协同发展，推动农业加工全产业链向高端化、智能化方向跃升。</w:t>
      </w:r>
    </w:p>
    <w:p w14:paraId="6224EBAA">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农业龙头加工企业引领作用。重点培育和引进一批农产品加工龙头企业，跟踪服务农业龙头企业发展。支持企业推进初加工设施改造升级，发展精深加工和高附加值产品，加强副产物综合利用。推动加工企业实施智能化改造，应用物联网、大数据等现代信息技术，建设数字化车间和智能工厂，全面提升农产品加工的自动化、智能化水平。</w:t>
      </w:r>
    </w:p>
    <w:p w14:paraId="072D5DF5">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培育新兴业态与重点项目。积极培育预制菜、未来食品等新业态，拓展农产品加工新领域。以富祥年产20万吨微生物蛋白和50万吨氨基酸水溶肥项目、天济农业农产品加工生产项目和昌江区现代农业产业示范园项目为重点，推进农业重点项目建设。依托先进微生物蛋白和“微生物蛋白+”产业拓展，着力打造绿色食品现代化智造基地，构建技术先进、设施完善的产业发展载体。</w:t>
      </w:r>
    </w:p>
    <w:p w14:paraId="1875A7BC">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丰富农业产品矩阵。积极挖掘市场新需求，大力发展氨基酸水溶肥、中药饮片、绿色食品等多元化、高附加值产品系列。加强产品研发创新，注重品质提升和品牌建设，延伸产业链、提升价值链。推动产品结构从单一向多元、从低端向高端转变，形成特色鲜明、优势突出、效益显著的产品体系，全面提升农产品加工产业的核心竞争力和综合效益。</w:t>
      </w:r>
    </w:p>
    <w:p w14:paraId="119E8A0A">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013" w:name="_Toc231562115"/>
      <w:bookmarkStart w:id="3014" w:name="_Toc1822"/>
      <w:bookmarkStart w:id="3015" w:name="_Toc25297"/>
      <w:bookmarkStart w:id="3016" w:name="_Toc14902"/>
      <w:bookmarkStart w:id="3017" w:name="_Toc22584"/>
      <w:bookmarkStart w:id="3018" w:name="_Toc21241"/>
      <w:bookmarkStart w:id="3019" w:name="_Toc27262"/>
      <w:bookmarkStart w:id="3020" w:name="_Toc27049"/>
      <w:bookmarkStart w:id="3021" w:name="_Toc2360"/>
      <w:bookmarkStart w:id="3022" w:name="_Toc2405"/>
      <w:bookmarkStart w:id="3023" w:name="_Toc215695287"/>
      <w:bookmarkStart w:id="3024" w:name="_Toc29095"/>
      <w:bookmarkStart w:id="3025" w:name="_Toc1514"/>
      <w:bookmarkStart w:id="3026" w:name="_Toc242"/>
      <w:bookmarkStart w:id="3027" w:name="_Toc32644"/>
      <w:bookmarkStart w:id="3028" w:name="_Toc1247"/>
      <w:bookmarkStart w:id="3029" w:name="_Toc14935"/>
      <w:bookmarkStart w:id="3030" w:name="_Toc31659"/>
      <w:bookmarkStart w:id="3031" w:name="_Toc4451"/>
      <w:bookmarkStart w:id="3032" w:name="_Toc28873"/>
      <w:bookmarkStart w:id="3033" w:name="_Toc31048"/>
      <w:bookmarkStart w:id="3034" w:name="_Toc12567"/>
      <w:bookmarkStart w:id="3035" w:name="_Toc5961"/>
      <w:bookmarkStart w:id="3036" w:name="_Toc214611294"/>
      <w:bookmarkStart w:id="3037" w:name="_Toc12819"/>
      <w:bookmarkStart w:id="3038" w:name="_Toc28304"/>
      <w:bookmarkStart w:id="3039" w:name="_Toc25313"/>
      <w:bookmarkStart w:id="3040" w:name="_Toc20497"/>
      <w:bookmarkStart w:id="3041" w:name="_Toc4730"/>
      <w:bookmarkStart w:id="3042" w:name="_Toc18483"/>
      <w:bookmarkStart w:id="3043" w:name="_Toc14290"/>
      <w:bookmarkStart w:id="3044" w:name="_Toc19085"/>
      <w:bookmarkStart w:id="3045" w:name="_Toc13118"/>
      <w:r>
        <w:rPr>
          <w:rFonts w:hint="eastAsia" w:ascii="楷体_GB2312" w:hAnsi="楷体_GB2312" w:eastAsia="楷体_GB2312" w:cs="楷体_GB2312"/>
          <w:b w:val="0"/>
          <w:bCs w:val="0"/>
          <w:sz w:val="32"/>
          <w:szCs w:val="32"/>
          <w:highlight w:val="none"/>
        </w:rPr>
        <w:t>第三节  培育特色名优“土特产”品牌</w:t>
      </w:r>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p>
    <w:p w14:paraId="26DA8EF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构建多层次特色农产品品牌体系。立足城郊优势，发展都市型现代农业。发展精品农业、观光农业等都市型现代农业，打造“小而精、专而亮”的特色农产品品牌。深化“赣鄱正品”全域品牌体系建设，重点打造“古镇丽阳”“荷塘酱坊”等具有地域特色的优质子品牌，形成以区域公用品牌为引领、企业自主品牌为支撑、特色农产品品牌为基础的协同发展格局。</w:t>
      </w:r>
    </w:p>
    <w:p w14:paraId="0D21B1EF">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拓展多元化营销渠道。实施“互联网+”农产品出村进城工程，构建线上线下融合营销网络。加强与主流电商平台、商超餐饮等渠道的深度合作，组织参加特色文旅和展示展销活动，创新产销对接机制。引入“景德镇大集”、直播带货、社群营销等新型营销方式，拓宽销售渠道，提升品牌知名度和市场占有率，实现从“产得好”向“卖得好”转变。</w:t>
      </w:r>
    </w:p>
    <w:p w14:paraId="54B2215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动农业与文旅、康养等产业融合发展。深度挖掘田园风光、农耕文化等资源，发展农事体验、乡村民宿等业态，打造精品旅游线路，带动农产品销售与品牌提升。依托优质生态资源，发展生态养生、田园疗养等新业态，规划建设康养农庄与养生园区，打造“农业+健康+养老”融合模式。</w:t>
      </w:r>
    </w:p>
    <w:p w14:paraId="532FC1EE">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046" w:name="_Toc1886"/>
      <w:bookmarkStart w:id="3047" w:name="_Toc14896"/>
      <w:bookmarkStart w:id="3048" w:name="_Toc2151"/>
      <w:bookmarkStart w:id="3049" w:name="_Toc4128"/>
      <w:bookmarkStart w:id="3050" w:name="_Toc32308"/>
      <w:bookmarkStart w:id="3051" w:name="_Toc29456"/>
      <w:bookmarkStart w:id="3052" w:name="_Toc22103"/>
      <w:bookmarkStart w:id="3053" w:name="_Toc14091"/>
      <w:bookmarkStart w:id="3054" w:name="_Toc24422"/>
      <w:bookmarkStart w:id="3055" w:name="_Toc25232"/>
      <w:bookmarkStart w:id="3056" w:name="_Toc25459"/>
      <w:bookmarkStart w:id="3057" w:name="_Toc21601"/>
      <w:bookmarkStart w:id="3058" w:name="_Toc20355"/>
      <w:bookmarkStart w:id="3059" w:name="_Toc231562116"/>
      <w:bookmarkStart w:id="3060" w:name="_Toc5531"/>
      <w:bookmarkStart w:id="3061" w:name="_Toc26911"/>
      <w:bookmarkStart w:id="3062" w:name="_Toc17759"/>
      <w:bookmarkStart w:id="3063" w:name="_Toc214611295"/>
      <w:bookmarkStart w:id="3064" w:name="_Toc9310"/>
      <w:bookmarkStart w:id="3065" w:name="_Toc19985"/>
      <w:bookmarkStart w:id="3066" w:name="_Toc19389"/>
      <w:bookmarkStart w:id="3067" w:name="_Toc28108"/>
      <w:bookmarkStart w:id="3068" w:name="_Toc28120"/>
      <w:bookmarkStart w:id="3069" w:name="_Toc12658"/>
      <w:bookmarkStart w:id="3070" w:name="_Toc25484"/>
      <w:bookmarkStart w:id="3071" w:name="_Toc16224"/>
      <w:bookmarkStart w:id="3072" w:name="_Toc1610"/>
      <w:bookmarkStart w:id="3073" w:name="_Toc17395"/>
      <w:bookmarkStart w:id="3074" w:name="_Toc215695288"/>
      <w:bookmarkStart w:id="3075" w:name="_Toc25662"/>
      <w:bookmarkStart w:id="3076" w:name="_Toc27868"/>
      <w:bookmarkStart w:id="3077" w:name="_Toc7117"/>
      <w:bookmarkStart w:id="3078" w:name="_Toc15969"/>
      <w:r>
        <w:rPr>
          <w:rFonts w:hint="eastAsia" w:ascii="楷体_GB2312" w:hAnsi="楷体_GB2312" w:eastAsia="楷体_GB2312" w:cs="楷体_GB2312"/>
          <w:b w:val="0"/>
          <w:bCs w:val="0"/>
          <w:sz w:val="32"/>
          <w:szCs w:val="32"/>
          <w:highlight w:val="none"/>
        </w:rPr>
        <w:t>第四节  完善冷链物流体系</w:t>
      </w:r>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p>
    <w:p w14:paraId="5B8A066F">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优化枢纽节点，构建高效冷链物流网络。依托农产品重要集散地、主销区及鱼山码头物流园、天济农业加工产业物流园等关键节点，支持田头市场、仓储保鲜、冷链物流设施及城乡物流骨干网建设，打造区域性农副产品交易中心。科学布局城乡冷链物流设施，加快建设衔接产消、贯通城乡的物流骨干网。推动形成层级合理、功能完善的冷链物流枢纽体系，实现农产品跨区域高效流通，全面提升冷链物流服务能级。</w:t>
      </w:r>
    </w:p>
    <w:p w14:paraId="40BBD37B">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应用数智技术，实现全程可溯精细管理。运用物联网、大数据等现代信息技术，推动冷链物流体系数智化升级。建设智能化分拣系统和全链条温控追溯平台，实时监控仓储环境与在途运输状态。采用智能预警和动态调度方式，实现冷链物流各环节的精细化管理和透明化运营，显著提升运营效率与服务质量，确保农产品品质安全。</w:t>
      </w:r>
    </w:p>
    <w:p w14:paraId="6D5BBF0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完善组织运营，促进资源整合与成本优化。支持龙头企业牵头成立冷链物流联盟，大力推广“统仓共配</w:t>
      </w:r>
      <w:r>
        <w:rPr>
          <w:rFonts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rPr>
        <w:t>等集约化运营模式。完善共享仓储设施、运输资源和末端网点，促进冷链物流资源高效整合与优化配置。创新合作机制，推动企业间优势互补与业务协同，有效降低运营成本，提升市场竞争力，构建共建共享、互利共赢的冷链物流发展新格局。</w:t>
      </w:r>
    </w:p>
    <w:p w14:paraId="1A6CFEDF">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3079" w:name="_Toc32049"/>
      <w:bookmarkStart w:id="3080" w:name="_Toc215695289"/>
      <w:bookmarkStart w:id="3081" w:name="_Toc11188"/>
      <w:bookmarkStart w:id="3082" w:name="_Toc7073"/>
      <w:bookmarkStart w:id="3083" w:name="_Toc19819"/>
      <w:bookmarkStart w:id="3084" w:name="_Toc6431"/>
      <w:bookmarkStart w:id="3085" w:name="_Toc25862"/>
      <w:bookmarkStart w:id="3086" w:name="_Toc3973"/>
      <w:bookmarkStart w:id="3087" w:name="_Toc32565"/>
      <w:bookmarkStart w:id="3088" w:name="_Toc12430"/>
      <w:bookmarkStart w:id="3089" w:name="_Toc31524"/>
      <w:bookmarkStart w:id="3090" w:name="_Toc4153"/>
      <w:bookmarkStart w:id="3091" w:name="_Toc18240"/>
      <w:bookmarkStart w:id="3092" w:name="_Toc26910"/>
      <w:bookmarkStart w:id="3093" w:name="_Toc231562117"/>
      <w:bookmarkStart w:id="3094" w:name="_Toc26716"/>
      <w:bookmarkStart w:id="3095" w:name="_Toc1786"/>
      <w:bookmarkStart w:id="3096" w:name="_Toc7686"/>
      <w:bookmarkStart w:id="3097" w:name="_Toc3335"/>
      <w:bookmarkStart w:id="3098" w:name="_Toc28232"/>
      <w:bookmarkStart w:id="3099" w:name="_Toc10919"/>
      <w:bookmarkStart w:id="3100" w:name="_Toc214611296"/>
      <w:bookmarkStart w:id="3101" w:name="_Toc26153"/>
      <w:bookmarkStart w:id="3102" w:name="_Toc22686"/>
      <w:bookmarkStart w:id="3103" w:name="_Toc1948"/>
      <w:bookmarkStart w:id="3104" w:name="_Toc7719"/>
      <w:bookmarkStart w:id="3105" w:name="_Toc1372"/>
      <w:bookmarkStart w:id="3106" w:name="_Toc23732"/>
      <w:bookmarkStart w:id="3107" w:name="_Toc7565"/>
      <w:bookmarkStart w:id="3108" w:name="_Toc28598"/>
      <w:bookmarkStart w:id="3109" w:name="_Toc12040"/>
      <w:bookmarkStart w:id="3110" w:name="_Toc15354"/>
      <w:bookmarkStart w:id="3111" w:name="_Toc8218"/>
      <w:r>
        <w:rPr>
          <w:rFonts w:hint="eastAsia" w:ascii="黑体" w:hAnsi="黑体" w:eastAsia="黑体"/>
          <w:b w:val="0"/>
          <w:bCs w:val="0"/>
          <w:sz w:val="32"/>
          <w:szCs w:val="32"/>
          <w:highlight w:val="none"/>
        </w:rPr>
        <w:t>第二章  建设和美乡村</w:t>
      </w:r>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14:paraId="5F0FB12F">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112" w:name="_Toc9356"/>
      <w:bookmarkStart w:id="3113" w:name="_Toc5730"/>
      <w:bookmarkStart w:id="3114" w:name="_Toc29431"/>
      <w:bookmarkStart w:id="3115" w:name="_Toc21179"/>
      <w:bookmarkStart w:id="3116" w:name="_Toc14482"/>
      <w:bookmarkStart w:id="3117" w:name="_Toc30832"/>
      <w:bookmarkStart w:id="3118" w:name="_Toc19991"/>
      <w:bookmarkStart w:id="3119" w:name="_Toc4902"/>
      <w:bookmarkStart w:id="3120" w:name="_Toc9261"/>
      <w:bookmarkStart w:id="3121" w:name="_Toc7747"/>
      <w:bookmarkStart w:id="3122" w:name="_Toc20742"/>
      <w:bookmarkStart w:id="3123" w:name="_Toc17040"/>
      <w:bookmarkStart w:id="3124" w:name="_Toc8678"/>
      <w:bookmarkStart w:id="3125" w:name="_Toc23842"/>
      <w:bookmarkStart w:id="3126" w:name="_Toc25654"/>
      <w:bookmarkStart w:id="3127" w:name="_Toc30522"/>
      <w:bookmarkStart w:id="3128" w:name="_Toc14090"/>
      <w:bookmarkStart w:id="3129" w:name="_Toc31489"/>
      <w:bookmarkStart w:id="3130" w:name="_Toc215695290"/>
      <w:bookmarkStart w:id="3131" w:name="_Toc878"/>
      <w:bookmarkStart w:id="3132" w:name="_Toc18501"/>
      <w:bookmarkStart w:id="3133" w:name="_Toc2005"/>
      <w:bookmarkStart w:id="3134" w:name="_Toc25830"/>
      <w:bookmarkStart w:id="3135" w:name="_Toc20007"/>
      <w:bookmarkStart w:id="3136" w:name="_Toc13547"/>
      <w:bookmarkStart w:id="3137" w:name="_Toc1714"/>
      <w:bookmarkStart w:id="3138" w:name="_Toc30383"/>
      <w:bookmarkStart w:id="3139" w:name="_Toc19545"/>
      <w:bookmarkStart w:id="3140" w:name="_Toc17642"/>
      <w:bookmarkStart w:id="3141" w:name="_Toc231562118"/>
      <w:bookmarkStart w:id="3142" w:name="_Toc8611"/>
      <w:bookmarkStart w:id="3143" w:name="_Toc7171"/>
      <w:bookmarkStart w:id="3144" w:name="_Toc214611297"/>
      <w:r>
        <w:rPr>
          <w:rFonts w:hint="eastAsia" w:ascii="楷体_GB2312" w:hAnsi="楷体_GB2312" w:eastAsia="楷体_GB2312" w:cs="楷体_GB2312"/>
          <w:b w:val="0"/>
          <w:bCs w:val="0"/>
          <w:sz w:val="32"/>
          <w:szCs w:val="32"/>
          <w:highlight w:val="none"/>
        </w:rPr>
        <w:t>第一节  提升乡村治理效能</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14:paraId="3242B60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城乡治理体系。完善城乡一体化治理机制，明确区、镇、村三级管理职责，强化基层党组织、村民委员会和村务监督委员会作用，推动乡村治理法治化、规范化、制度化。建立科学的考核和评价机制，提升基层治理效率和治理质量，实现乡村自治能力稳步增强。</w:t>
      </w:r>
    </w:p>
    <w:p w14:paraId="583FBF9A">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进数字化和智慧化治理。积极整合政务、公共服务和社会治理信息资源，建设数字化管理平台，实现村务管理、社会服务、公共安全等工作的精准化、智能化和高效化。推动“互联网+乡村治理”，提升公共管理效能和应急响应能力，实现信息互通、数据共享和智慧决策。</w:t>
      </w:r>
    </w:p>
    <w:p w14:paraId="2B6F92E9">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社会协同与共治共享。鼓励社会组织、企业及居民积极参与乡村治理，建立多元参与机制，形成共治共享格局。开展志愿服务、公益活动和社会监督，提升基层治理的广度和深度，增强社会认同感和居民参与感，实现治理能力与服务水平双提升。</w:t>
      </w:r>
    </w:p>
    <w:p w14:paraId="79BBBF4D">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145" w:name="_Toc18067"/>
      <w:bookmarkStart w:id="3146" w:name="_Toc21044"/>
      <w:bookmarkStart w:id="3147" w:name="_Toc247"/>
      <w:bookmarkStart w:id="3148" w:name="_Toc31801"/>
      <w:bookmarkStart w:id="3149" w:name="_Toc26884"/>
      <w:bookmarkStart w:id="3150" w:name="_Toc14578"/>
      <w:bookmarkStart w:id="3151" w:name="_Toc16696"/>
      <w:bookmarkStart w:id="3152" w:name="_Toc10624"/>
      <w:bookmarkStart w:id="3153" w:name="_Toc14455"/>
      <w:bookmarkStart w:id="3154" w:name="_Toc27340"/>
      <w:bookmarkStart w:id="3155" w:name="_Toc20933"/>
      <w:bookmarkStart w:id="3156" w:name="_Toc26404"/>
      <w:bookmarkStart w:id="3157" w:name="_Toc8576"/>
      <w:bookmarkStart w:id="3158" w:name="_Toc30754"/>
      <w:bookmarkStart w:id="3159" w:name="_Toc20070"/>
      <w:bookmarkStart w:id="3160" w:name="_Toc24526"/>
      <w:bookmarkStart w:id="3161" w:name="_Toc5144"/>
      <w:bookmarkStart w:id="3162" w:name="_Toc6421"/>
      <w:bookmarkStart w:id="3163" w:name="_Toc11661"/>
      <w:bookmarkStart w:id="3164" w:name="_Toc3205"/>
      <w:bookmarkStart w:id="3165" w:name="_Toc28594"/>
      <w:bookmarkStart w:id="3166" w:name="_Toc22704"/>
      <w:bookmarkStart w:id="3167" w:name="_Toc29143"/>
      <w:bookmarkStart w:id="3168" w:name="_Toc6113"/>
      <w:bookmarkStart w:id="3169" w:name="_Toc3915"/>
      <w:bookmarkStart w:id="3170" w:name="_Toc20167"/>
      <w:bookmarkStart w:id="3171" w:name="_Toc16222"/>
      <w:bookmarkStart w:id="3172" w:name="_Toc19881"/>
      <w:bookmarkStart w:id="3173" w:name="_Toc231562119"/>
      <w:bookmarkStart w:id="3174" w:name="_Toc215695291"/>
      <w:bookmarkStart w:id="3175" w:name="_Toc4431"/>
      <w:bookmarkStart w:id="3176" w:name="_Toc24572"/>
      <w:r>
        <w:rPr>
          <w:rFonts w:hint="eastAsia" w:ascii="楷体_GB2312" w:hAnsi="楷体_GB2312" w:eastAsia="楷体_GB2312" w:cs="楷体_GB2312"/>
          <w:b w:val="0"/>
          <w:bCs w:val="0"/>
          <w:sz w:val="32"/>
          <w:szCs w:val="32"/>
          <w:highlight w:val="none"/>
        </w:rPr>
        <w:t>第二节  优化生态宜居环境</w:t>
      </w:r>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p>
    <w:p w14:paraId="308EFDF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进生态环境治理。加强村庄环境整治，开展生活垃圾分类、污水处理、河道清理、绿化美化等专项行动。推动生态修复和乡村绿化工程，保护生态环境的同时，改善居住环境质量，建设干净、整洁、宜居的美丽乡村。</w:t>
      </w:r>
    </w:p>
    <w:p w14:paraId="5D0C3C4C">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优化村庄布局和空间整合。引导基础设施薄弱、人口流失及存在安全风险的村庄向中心村集聚，形成中心村服务辐射功能。合理布局公共服务设施和便民设施，提高资源使用效率，实现村庄功能优化和人口结构合理化，增强乡村整体承载力和发展动力。</w:t>
      </w:r>
    </w:p>
    <w:p w14:paraId="67D2C795">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177" w:name="_Toc29583"/>
      <w:bookmarkStart w:id="3178" w:name="_Toc27284"/>
      <w:bookmarkStart w:id="3179" w:name="_Toc18227"/>
      <w:bookmarkStart w:id="3180" w:name="_Toc15009"/>
      <w:bookmarkStart w:id="3181" w:name="_Toc25907"/>
      <w:bookmarkStart w:id="3182" w:name="_Toc9115"/>
      <w:bookmarkStart w:id="3183" w:name="_Toc23856"/>
      <w:bookmarkStart w:id="3184" w:name="_Toc881"/>
      <w:bookmarkStart w:id="3185" w:name="_Toc14533"/>
      <w:bookmarkStart w:id="3186" w:name="_Toc17739"/>
      <w:bookmarkStart w:id="3187" w:name="_Toc16273"/>
      <w:bookmarkStart w:id="3188" w:name="_Toc17594"/>
      <w:bookmarkStart w:id="3189" w:name="_Toc11741"/>
      <w:bookmarkStart w:id="3190" w:name="_Toc9220"/>
      <w:bookmarkStart w:id="3191" w:name="_Toc215695292"/>
      <w:bookmarkStart w:id="3192" w:name="_Toc20424"/>
      <w:bookmarkStart w:id="3193" w:name="_Toc18842"/>
      <w:bookmarkStart w:id="3194" w:name="_Toc26788"/>
      <w:bookmarkStart w:id="3195" w:name="_Toc10002"/>
      <w:bookmarkStart w:id="3196" w:name="_Toc231562120"/>
      <w:bookmarkStart w:id="3197" w:name="_Toc22587"/>
      <w:bookmarkStart w:id="3198" w:name="_Toc24710"/>
      <w:bookmarkStart w:id="3199" w:name="_Toc3739"/>
      <w:bookmarkStart w:id="3200" w:name="_Toc18070"/>
      <w:bookmarkStart w:id="3201" w:name="_Toc2956"/>
      <w:bookmarkStart w:id="3202" w:name="_Toc25072"/>
      <w:bookmarkStart w:id="3203" w:name="_Toc3036"/>
      <w:bookmarkStart w:id="3204" w:name="_Toc20085"/>
      <w:bookmarkStart w:id="3205" w:name="_Toc2067"/>
      <w:bookmarkStart w:id="3206" w:name="_Toc26785"/>
      <w:bookmarkStart w:id="3207" w:name="_Toc23557"/>
      <w:bookmarkStart w:id="3208" w:name="_Toc22659"/>
      <w:r>
        <w:rPr>
          <w:rFonts w:hint="eastAsia" w:ascii="楷体_GB2312" w:hAnsi="楷体_GB2312" w:eastAsia="楷体_GB2312" w:cs="楷体_GB2312"/>
          <w:b w:val="0"/>
          <w:bCs w:val="0"/>
          <w:sz w:val="32"/>
          <w:szCs w:val="32"/>
          <w:highlight w:val="none"/>
        </w:rPr>
        <w:t>第三节  弘扬文明乡风</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p>
    <w:p w14:paraId="4F9C93E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保护和活化传统村落。加强传统村落及历史文化遗产保护，延续乡土文化格局，推进古建筑、民俗、文化遗址的保护与利用。通过村落景观修缮和文化展示，形成具有昌江特色的乡村风貌，提升文化认同和乡村吸引力。</w:t>
      </w:r>
    </w:p>
    <w:p w14:paraId="2B971C9D">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培育文明乡风和社会风尚。开展文明村镇创建活动，倡导文明、诚信、互助、和谐的社会风尚。结合法治宣传、社会教育和基层文化活动，引导村民形成良好行为习惯，提升村民整体素养，推动乡风文明持续发展。</w:t>
      </w:r>
    </w:p>
    <w:p w14:paraId="06DA2E62">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公共文化设施和服务。建设和完善村级文化活动中心、图书阅览室、健身场所等公共文化设施，丰富村民精神文化生活。通过文化培训、艺术活动和乡土文化传承项目，提升乡村文化软实力，为村民提供多样化、便捷化、可持续的文化服务。</w:t>
      </w:r>
    </w:p>
    <w:p w14:paraId="1DB28D76">
      <w:pPr>
        <w:rPr>
          <w:rFonts w:hint="eastAsia" w:ascii="楷体_GB2312" w:hAnsi="楷体_GB2312" w:eastAsia="楷体_GB2312" w:cs="楷体_GB2312"/>
          <w:b w:val="0"/>
          <w:bCs w:val="0"/>
          <w:sz w:val="32"/>
          <w:szCs w:val="32"/>
          <w:highlight w:val="none"/>
        </w:rPr>
      </w:pPr>
      <w:bookmarkStart w:id="3209" w:name="_Toc11229"/>
      <w:bookmarkStart w:id="3210" w:name="_Toc3106"/>
      <w:bookmarkStart w:id="3211" w:name="_Toc215695293"/>
      <w:bookmarkStart w:id="3212" w:name="_Toc13266"/>
      <w:bookmarkStart w:id="3213" w:name="_Toc16627"/>
      <w:bookmarkStart w:id="3214" w:name="_Toc2375"/>
      <w:bookmarkStart w:id="3215" w:name="_Toc11404"/>
      <w:bookmarkStart w:id="3216" w:name="_Toc27530"/>
      <w:bookmarkStart w:id="3217" w:name="_Toc31099"/>
      <w:bookmarkStart w:id="3218" w:name="_Toc6084"/>
      <w:bookmarkStart w:id="3219" w:name="_Toc31654"/>
      <w:bookmarkStart w:id="3220" w:name="_Toc29039"/>
      <w:bookmarkStart w:id="3221" w:name="_Toc26407"/>
      <w:bookmarkStart w:id="3222" w:name="_Toc26348"/>
      <w:bookmarkStart w:id="3223" w:name="_Toc30598"/>
      <w:bookmarkStart w:id="3224" w:name="_Toc12213"/>
      <w:bookmarkStart w:id="3225" w:name="_Toc4651"/>
      <w:bookmarkStart w:id="3226" w:name="_Toc28324"/>
      <w:bookmarkStart w:id="3227" w:name="_Toc9808"/>
      <w:bookmarkStart w:id="3228" w:name="_Toc9588"/>
      <w:bookmarkStart w:id="3229" w:name="_Toc4582"/>
      <w:bookmarkStart w:id="3230" w:name="_Toc11792"/>
      <w:bookmarkStart w:id="3231" w:name="_Toc410"/>
      <w:bookmarkStart w:id="3232" w:name="_Toc13527"/>
      <w:bookmarkStart w:id="3233" w:name="_Toc5795"/>
      <w:bookmarkStart w:id="3234" w:name="_Toc231562121"/>
      <w:bookmarkStart w:id="3235" w:name="_Toc8658"/>
      <w:bookmarkStart w:id="3236" w:name="_Toc31380"/>
    </w:p>
    <w:p w14:paraId="7B3224C3">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237" w:name="_Toc30427"/>
      <w:bookmarkStart w:id="3238" w:name="_Toc15664"/>
      <w:bookmarkStart w:id="3239" w:name="_Toc23899"/>
      <w:bookmarkStart w:id="3240" w:name="_Toc13500"/>
      <w:r>
        <w:rPr>
          <w:rFonts w:hint="eastAsia" w:ascii="楷体_GB2312" w:hAnsi="楷体_GB2312" w:eastAsia="楷体_GB2312" w:cs="楷体_GB2312"/>
          <w:b w:val="0"/>
          <w:bCs w:val="0"/>
          <w:sz w:val="32"/>
          <w:szCs w:val="32"/>
          <w:highlight w:val="none"/>
        </w:rPr>
        <w:t>第四节  完善公共服务设施</w:t>
      </w:r>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p>
    <w:p w14:paraId="598288AB">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优化教育资源配置。推进优质教育资源向基层延伸，建设乡村学校、教学点和远程教育平台，提升乡村教育质量和均衡性。完善师资队伍建设和教育管理机制，确保城乡教育公平，实现教育资源优化配置和乡村人才培养。</w:t>
      </w:r>
    </w:p>
    <w:p w14:paraId="4F61E55F">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提升医疗和养老服务能力。加强基层医疗卫生机构建设，完善乡镇卫生院、村卫生室和流动医疗服务体系。建设养老服务设施，推动居家养老和机构养老融合发展，提升基层医疗保障水平和养老服务能力，保障城乡居民健康福祉。</w:t>
      </w:r>
    </w:p>
    <w:p w14:paraId="7F111CD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社会保障体系。完善城乡社会保障制度，保障教育、医疗、社会福利等公共服务公平可及。推进市政设施数字化、智能化改造，提升供水、供电、燃气、排水、通信等基础网络运行效率和安全韧性，保障城乡居民安全、便捷、高效的公共服务。</w:t>
      </w:r>
      <w:bookmarkEnd w:id="3144"/>
    </w:p>
    <w:p w14:paraId="45C10A9C">
      <w:pPr>
        <w:pageBreakBefore w:val="0"/>
        <w:kinsoku/>
        <w:wordWrap/>
        <w:overflowPunct/>
        <w:topLinePunct w:val="0"/>
        <w:autoSpaceDE/>
        <w:autoSpaceDN/>
        <w:bidi w:val="0"/>
        <w:spacing w:after="0" w:afterLines="0" w:line="560" w:lineRule="exact"/>
        <w:ind w:firstLine="640" w:firstLineChars="200"/>
        <w:rPr>
          <w:rFonts w:hint="eastAsia" w:ascii="黑体" w:hAnsi="黑体" w:eastAsia="黑体"/>
          <w:b w:val="0"/>
          <w:bCs w:val="0"/>
          <w:sz w:val="32"/>
          <w:szCs w:val="32"/>
          <w:highlight w:val="none"/>
        </w:rPr>
      </w:pPr>
      <w:r>
        <w:rPr>
          <w:rFonts w:hint="eastAsia" w:ascii="仿宋_GB2312" w:hAnsi="仿宋_GB2312" w:eastAsia="仿宋_GB2312" w:cs="仿宋_GB2312"/>
          <w:b w:val="0"/>
          <w:bCs w:val="0"/>
          <w:sz w:val="32"/>
          <w:szCs w:val="32"/>
          <w:highlight w:val="none"/>
        </w:rPr>
        <w:t>完善基础设施建设。统筹推进农村道路、供水、供电、燃气、排水、通信等基础设施建设，实施村村通自来水建设，保障村庄生活便利性和安全性。加快“四好农村路”建设，实现交通网络贯通，提升公共交通和物流服务能力，为城乡居民出行和经济生活提供保障。</w:t>
      </w:r>
      <w:bookmarkStart w:id="3241" w:name="_Toc22156"/>
      <w:bookmarkStart w:id="3242" w:name="_Toc12289"/>
      <w:bookmarkStart w:id="3243" w:name="_Toc32388"/>
      <w:bookmarkStart w:id="3244" w:name="_Toc4253"/>
      <w:bookmarkStart w:id="3245" w:name="_Toc30974"/>
      <w:bookmarkStart w:id="3246" w:name="_Toc7153"/>
      <w:bookmarkStart w:id="3247" w:name="_Toc15802"/>
      <w:bookmarkStart w:id="3248" w:name="_Toc13579"/>
      <w:bookmarkStart w:id="3249" w:name="_Toc27874"/>
      <w:bookmarkStart w:id="3250" w:name="_Toc29818"/>
      <w:bookmarkStart w:id="3251" w:name="_Toc12847"/>
      <w:bookmarkStart w:id="3252" w:name="_Toc29930"/>
      <w:bookmarkStart w:id="3253" w:name="_Toc953"/>
      <w:bookmarkStart w:id="3254" w:name="_Toc20688"/>
      <w:bookmarkStart w:id="3255" w:name="_Toc11261"/>
      <w:bookmarkStart w:id="3256" w:name="_Toc23060"/>
      <w:bookmarkStart w:id="3257" w:name="_Toc7036"/>
      <w:bookmarkStart w:id="3258" w:name="_Toc26429"/>
      <w:bookmarkStart w:id="3259" w:name="_Toc25337"/>
      <w:bookmarkStart w:id="3260" w:name="_Toc28545"/>
      <w:bookmarkStart w:id="3261" w:name="_Toc29114"/>
      <w:bookmarkStart w:id="3262" w:name="_Toc3177"/>
      <w:bookmarkStart w:id="3263" w:name="_Toc3781"/>
      <w:bookmarkStart w:id="3264" w:name="_Toc17994"/>
      <w:bookmarkStart w:id="3265" w:name="_Toc214611301"/>
      <w:bookmarkStart w:id="3266" w:name="_Toc215695294"/>
      <w:bookmarkStart w:id="3267" w:name="_Toc11248"/>
      <w:bookmarkStart w:id="3268" w:name="_Toc27876"/>
    </w:p>
    <w:p w14:paraId="20DA0529">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3269" w:name="_Toc11678"/>
      <w:bookmarkStart w:id="3270" w:name="_Toc231562122"/>
      <w:bookmarkStart w:id="3271" w:name="_Toc3641"/>
      <w:bookmarkStart w:id="3272" w:name="_Toc19797"/>
      <w:bookmarkStart w:id="3273" w:name="_Toc18477"/>
      <w:r>
        <w:rPr>
          <w:rFonts w:hint="eastAsia" w:ascii="黑体" w:hAnsi="黑体" w:eastAsia="黑体"/>
          <w:b w:val="0"/>
          <w:bCs w:val="0"/>
          <w:sz w:val="32"/>
          <w:szCs w:val="32"/>
          <w:highlight w:val="none"/>
        </w:rPr>
        <w:t>第三章  提升强农惠农富农政策效能</w:t>
      </w:r>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9"/>
      <w:bookmarkEnd w:id="3270"/>
      <w:bookmarkEnd w:id="3271"/>
      <w:bookmarkEnd w:id="3272"/>
      <w:bookmarkEnd w:id="3273"/>
    </w:p>
    <w:p w14:paraId="5860A48B">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274" w:name="_Toc15971"/>
      <w:bookmarkStart w:id="3275" w:name="_Toc14060"/>
      <w:bookmarkStart w:id="3276" w:name="_Toc13653"/>
      <w:bookmarkStart w:id="3277" w:name="_Toc3927"/>
      <w:bookmarkStart w:id="3278" w:name="_Toc30734"/>
      <w:bookmarkStart w:id="3279" w:name="_Toc14846"/>
      <w:bookmarkStart w:id="3280" w:name="_Toc14673"/>
      <w:bookmarkStart w:id="3281" w:name="_Toc26535"/>
      <w:bookmarkStart w:id="3282" w:name="_Toc231562123"/>
      <w:bookmarkStart w:id="3283" w:name="_Toc23410"/>
      <w:bookmarkStart w:id="3284" w:name="_Toc6060"/>
      <w:bookmarkStart w:id="3285" w:name="_Toc30093"/>
      <w:bookmarkStart w:id="3286" w:name="_Toc3595"/>
      <w:bookmarkStart w:id="3287" w:name="_Toc31777"/>
      <w:bookmarkStart w:id="3288" w:name="_Toc20444"/>
      <w:bookmarkStart w:id="3289" w:name="_Toc22884"/>
      <w:bookmarkStart w:id="3290" w:name="_Toc22478"/>
      <w:bookmarkStart w:id="3291" w:name="_Toc7247"/>
      <w:bookmarkStart w:id="3292" w:name="_Toc16388"/>
      <w:bookmarkStart w:id="3293" w:name="_Toc30943"/>
      <w:bookmarkStart w:id="3294" w:name="_Toc28727"/>
      <w:bookmarkStart w:id="3295" w:name="_Toc25547"/>
      <w:bookmarkStart w:id="3296" w:name="_Toc12583"/>
      <w:bookmarkStart w:id="3297" w:name="_Toc27649"/>
      <w:bookmarkStart w:id="3298" w:name="_Toc25009"/>
      <w:bookmarkStart w:id="3299" w:name="_Toc29216"/>
      <w:bookmarkStart w:id="3300" w:name="_Toc30624"/>
      <w:bookmarkStart w:id="3301" w:name="_Toc9804"/>
      <w:bookmarkStart w:id="3302" w:name="_Toc4474"/>
      <w:r>
        <w:rPr>
          <w:rFonts w:hint="eastAsia" w:ascii="楷体_GB2312" w:hAnsi="楷体_GB2312" w:eastAsia="楷体_GB2312" w:cs="楷体_GB2312"/>
          <w:b w:val="0"/>
          <w:bCs w:val="0"/>
          <w:sz w:val="32"/>
          <w:szCs w:val="32"/>
          <w:highlight w:val="none"/>
        </w:rPr>
        <w:t>第一节  完善投入保障机制</w:t>
      </w:r>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p>
    <w:p w14:paraId="500527F0">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构建财政优先支持、金融定向服务和社会多元参与的投入机制。形成多层次、多渠道的农业农村振兴保障体系，加大财政资金向重点农业项目、现代农业设施和农业科技研发倾斜力度，确保关键项目持续推进。金融部门提供定向信贷、贴息贷款和保险保障服务，降低农民和企业投资风险，同时引导社会资本参与农业基础设施建设、乡村产业发展和生态修复，形成共建共享的投入格局。</w:t>
      </w:r>
    </w:p>
    <w:p w14:paraId="085C8D19">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建立动态评估和绩效考核机制。强化从项目管理、资金监管到产出效益的全过程绩效考核，提升乡村振兴资金使用监管效能，优化财政支农资源配置。健全财政优先保障、金融重点倾斜、社会积极参与的多元化投入格局，确保强农惠农资金高效、精准、可持续。</w:t>
      </w:r>
    </w:p>
    <w:p w14:paraId="6CBCD5B3">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303" w:name="_Toc8649"/>
      <w:bookmarkStart w:id="3304" w:name="_Toc20984"/>
      <w:bookmarkStart w:id="3305" w:name="_Toc12912"/>
      <w:bookmarkStart w:id="3306" w:name="_Toc12839"/>
      <w:bookmarkStart w:id="3307" w:name="_Toc28617"/>
      <w:bookmarkStart w:id="3308" w:name="_Toc15485"/>
      <w:bookmarkStart w:id="3309" w:name="_Toc15211"/>
      <w:bookmarkStart w:id="3310" w:name="_Toc231562124"/>
      <w:bookmarkStart w:id="3311" w:name="_Toc27501"/>
      <w:bookmarkStart w:id="3312" w:name="_Toc31982"/>
      <w:bookmarkStart w:id="3313" w:name="_Toc22588"/>
      <w:bookmarkStart w:id="3314" w:name="_Toc21618"/>
      <w:bookmarkStart w:id="3315" w:name="_Toc30097"/>
      <w:bookmarkStart w:id="3316" w:name="_Toc17163"/>
      <w:bookmarkStart w:id="3317" w:name="_Toc5247"/>
      <w:bookmarkStart w:id="3318" w:name="_Toc23257"/>
      <w:bookmarkStart w:id="3319" w:name="_Toc20527"/>
      <w:bookmarkStart w:id="3320" w:name="_Toc29062"/>
      <w:bookmarkStart w:id="3321" w:name="_Toc27411"/>
      <w:bookmarkStart w:id="3322" w:name="_Toc6983"/>
      <w:bookmarkStart w:id="3323" w:name="_Toc2221"/>
      <w:bookmarkStart w:id="3324" w:name="_Toc19861"/>
      <w:bookmarkStart w:id="3325" w:name="_Toc11793"/>
      <w:bookmarkStart w:id="3326" w:name="_Toc23308"/>
      <w:bookmarkStart w:id="3327" w:name="_Toc23844"/>
      <w:bookmarkStart w:id="3328" w:name="_Toc795"/>
      <w:bookmarkStart w:id="3329" w:name="_Toc30375"/>
      <w:bookmarkStart w:id="3330" w:name="_Toc11400"/>
      <w:bookmarkStart w:id="3331" w:name="_Toc16529"/>
      <w:r>
        <w:rPr>
          <w:rFonts w:hint="eastAsia" w:ascii="楷体_GB2312" w:hAnsi="楷体_GB2312" w:eastAsia="楷体_GB2312" w:cs="楷体_GB2312"/>
          <w:b w:val="0"/>
          <w:bCs w:val="0"/>
          <w:sz w:val="32"/>
          <w:szCs w:val="32"/>
          <w:highlight w:val="none"/>
        </w:rPr>
        <w:t>第二节  推动集体经济发展</w:t>
      </w:r>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p>
    <w:p w14:paraId="39F523ED">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规范土地管理与利用。推进农村集体经营性建设用地管理，健全闲置土地、闲置农房盘活利用机制，合理开发宅基地，保障公共基础设施和重点项目用地需求。建立土地流转和集约化管理制度，推动土地适度规模经营，提高土地利用效率和经济效益，增强农村发展支撑能力。</w:t>
      </w:r>
    </w:p>
    <w:p w14:paraId="3371F91A">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收益分配与运营机制。建立科学、公正的村级集体资产收益和分配制度，确保集体经济与村民收入双向增长。通过发展村级基础设施、公共服务和集体资产运营项目，提高集体经济组织的服务能力和运营水平，推动资金、资源和收益在村民之间合理分配，实现集体经济可持续发展。通过联合开发、资产入股、合作共建等模式，增强村集体经济规模效应和抗风险能力。</w:t>
      </w:r>
    </w:p>
    <w:p w14:paraId="3633EC1A">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提升集体经济组织服务功能。强化集体经济组织在基础设施建设、公共服务保障、社会治理和生态保护中的支撑作用。鼓励集体组织开展公益项目、土地整治、公共设施维护及生态修复，增强村民获得感和满意度。通过多渠道融资、技术指导和能力建设，提高组织运营效率和服务水平，形成稳定、长期的村级经济支撑体系。</w:t>
      </w:r>
    </w:p>
    <w:p w14:paraId="36F98FD1">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332" w:name="_Toc6721"/>
      <w:bookmarkStart w:id="3333" w:name="_Toc14661"/>
      <w:bookmarkStart w:id="3334" w:name="_Toc31721"/>
      <w:bookmarkStart w:id="3335" w:name="_Toc25221"/>
      <w:bookmarkStart w:id="3336" w:name="_Toc12971"/>
      <w:bookmarkStart w:id="3337" w:name="_Toc27757"/>
      <w:bookmarkStart w:id="3338" w:name="_Toc27437"/>
      <w:bookmarkStart w:id="3339" w:name="_Toc14970"/>
      <w:bookmarkStart w:id="3340" w:name="_Toc10492"/>
      <w:bookmarkStart w:id="3341" w:name="_Toc31046"/>
      <w:bookmarkStart w:id="3342" w:name="_Toc231562125"/>
      <w:bookmarkStart w:id="3343" w:name="_Toc29518"/>
      <w:bookmarkStart w:id="3344" w:name="_Toc15880"/>
      <w:bookmarkStart w:id="3345" w:name="_Toc1915"/>
      <w:bookmarkStart w:id="3346" w:name="_Toc13954"/>
      <w:bookmarkStart w:id="3347" w:name="_Toc13740"/>
      <w:bookmarkStart w:id="3348" w:name="_Toc10332"/>
      <w:bookmarkStart w:id="3349" w:name="_Toc28204"/>
      <w:bookmarkStart w:id="3350" w:name="_Toc4840"/>
      <w:bookmarkStart w:id="3351" w:name="_Toc19351"/>
      <w:bookmarkStart w:id="3352" w:name="_Toc18913"/>
      <w:bookmarkStart w:id="3353" w:name="_Toc25369"/>
      <w:bookmarkStart w:id="3354" w:name="_Toc19598"/>
      <w:bookmarkStart w:id="3355" w:name="_Toc29535"/>
      <w:bookmarkStart w:id="3356" w:name="_Toc2187"/>
      <w:bookmarkStart w:id="3357" w:name="_Toc9481"/>
      <w:bookmarkStart w:id="3358" w:name="_Toc24916"/>
      <w:bookmarkStart w:id="3359" w:name="_Toc21685"/>
      <w:bookmarkStart w:id="3360" w:name="_Toc16691"/>
      <w:r>
        <w:rPr>
          <w:rFonts w:hint="eastAsia" w:ascii="楷体_GB2312" w:hAnsi="楷体_GB2312" w:eastAsia="楷体_GB2312" w:cs="楷体_GB2312"/>
          <w:b w:val="0"/>
          <w:bCs w:val="0"/>
          <w:sz w:val="32"/>
          <w:szCs w:val="32"/>
          <w:highlight w:val="none"/>
        </w:rPr>
        <w:t>第三节  强化乡村人才培育</w:t>
      </w:r>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14:paraId="53965ACD">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建设多层次人才培训体系。建立系统化、分类化的乡村人才培训机制，面向农业科技人才、新型职业农民、基层治理人才及教育医疗人才开展针对性培训。包括技术技能培训、管理能力提升、创业指导和公共服务能力培养，提升人才适应乡村发展的综合素质和服务水平。建立长期激励和保障制度，提升人才在乡村的稳定性和归属感。</w:t>
      </w:r>
    </w:p>
    <w:p w14:paraId="69C11223">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激励与保障机制。推动人才服务乡村发展，鼓励高校毕业生、青年人才及返乡创业人员参与农业技术推广、公共服务建设和社会治理。建立人才下乡、返乡创业及技术指导项目，形成技术、管理和经验向乡村转移的长效机制。通过人才服务促进农业生产效率提升、公共服务改善和乡村治理优化，为农村发展和农民富裕提供持续、稳定的人才支撑。</w:t>
      </w:r>
    </w:p>
    <w:p w14:paraId="07D896FD">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乡村人才激励与交流机制。建立区域间、城乡间人才交流平台，促进经验分享和技术推广。推动人才创新创业项目落地，鼓励跨领域、多岗位协同发展，形成“引进—培养—激励—服务”的完整人才循环，为乡村持续发展和现代农业建设提供智力支撑和人才保障。</w:t>
      </w:r>
    </w:p>
    <w:p w14:paraId="0D029FCA">
      <w:pPr>
        <w:pStyle w:val="7"/>
        <w:pageBreakBefore w:val="0"/>
        <w:kinsoku/>
        <w:wordWrap/>
        <w:overflowPunct/>
        <w:topLinePunct w:val="0"/>
        <w:autoSpaceDE/>
        <w:autoSpaceDN/>
        <w:bidi w:val="0"/>
        <w:spacing w:after="0" w:afterLines="0" w:line="560" w:lineRule="exact"/>
        <w:rPr>
          <w:rFonts w:hint="eastAsia" w:ascii="仿宋_GB2312" w:hAnsi="仿宋_GB2312" w:eastAsia="仿宋_GB2312" w:cs="仿宋_GB2312"/>
          <w:b w:val="0"/>
          <w:bCs w:val="0"/>
          <w:sz w:val="32"/>
          <w:szCs w:val="32"/>
          <w:highlight w:val="none"/>
        </w:rPr>
      </w:pPr>
    </w:p>
    <w:tbl>
      <w:tblPr>
        <w:tblStyle w:val="42"/>
        <w:tblpPr w:leftFromText="180" w:rightFromText="180" w:vertAnchor="text" w:horzAnchor="page" w:tblpXSpec="center" w:tblpY="664"/>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6E2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68477409">
            <w:pPr>
              <w:pageBreakBefore w:val="0"/>
              <w:tabs>
                <w:tab w:val="left" w:pos="6725"/>
              </w:tabs>
              <w:kinsoku/>
              <w:wordWrap/>
              <w:overflowPunct/>
              <w:topLinePunct w:val="0"/>
              <w:autoSpaceDE/>
              <w:autoSpaceDN/>
              <w:bidi w:val="0"/>
              <w:spacing w:after="0" w:afterLines="0" w:line="240" w:lineRule="auto"/>
              <w:jc w:val="center"/>
              <w:rPr>
                <w:rFonts w:hint="eastAsia" w:ascii="仿宋_GB2312" w:hAnsi="仿宋_GB2312" w:eastAsia="仿宋_GB2312" w:cs="仿宋_GB2312"/>
                <w:b w:val="0"/>
                <w:bCs w:val="0"/>
                <w:sz w:val="32"/>
                <w:szCs w:val="32"/>
                <w:highlight w:val="none"/>
              </w:rPr>
            </w:pPr>
            <w:r>
              <w:rPr>
                <w:rFonts w:hint="eastAsia" w:ascii="黑体" w:hAnsi="黑体" w:eastAsia="黑体" w:cs="黑体"/>
                <w:b w:val="0"/>
                <w:bCs w:val="0"/>
                <w:sz w:val="24"/>
                <w:highlight w:val="none"/>
                <w:lang w:bidi="ar"/>
              </w:rPr>
              <w:t>专栏9  乡村振兴重点工程</w:t>
            </w:r>
          </w:p>
        </w:tc>
      </w:tr>
      <w:tr w14:paraId="0429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03F3FC1B">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1.农业</w:t>
            </w:r>
          </w:p>
          <w:p w14:paraId="3BAC9EBD">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支持完成景德镇国家粮食储备库扩建仓容项目、昌江区粮油收储公司高标准粮仓建设项目等项目，加强粮食安全保障。加快建设昌江区现代农业产业示范园，推进鲇鱼山镇年产500吨商品鳗鱼养殖项目、丽阳镇高标准养鸡项目、赣菇缘食品生产加工项目等重点项目，推动农业现代化发展。</w:t>
            </w:r>
          </w:p>
          <w:p w14:paraId="512ACE0A">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2.农村</w:t>
            </w:r>
          </w:p>
          <w:p w14:paraId="40BDF76E">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24"/>
                <w:highlight w:val="none"/>
              </w:rPr>
              <w:t>实施农村人居环境提升工程，推进丽阳、鲇鱼山镇等片区农村人居环境整治项目。实施昌江区土地整治及综合利用建设项目，盘活农村土地资源。</w:t>
            </w:r>
          </w:p>
        </w:tc>
      </w:tr>
      <w:bookmarkEnd w:id="3265"/>
      <w:bookmarkEnd w:id="3266"/>
      <w:bookmarkEnd w:id="3267"/>
      <w:bookmarkEnd w:id="3268"/>
    </w:tbl>
    <w:p w14:paraId="602FB0C3">
      <w:pPr>
        <w:pStyle w:val="7"/>
        <w:pageBreakBefore w:val="0"/>
        <w:kinsoku/>
        <w:wordWrap/>
        <w:overflowPunct/>
        <w:topLinePunct w:val="0"/>
        <w:autoSpaceDE/>
        <w:autoSpaceDN/>
        <w:bidi w:val="0"/>
        <w:spacing w:after="0" w:afterLines="0" w:line="560" w:lineRule="exact"/>
        <w:rPr>
          <w:rFonts w:hint="eastAsia" w:ascii="仿宋_GB2312" w:hAnsi="仿宋_GB2312" w:eastAsia="仿宋_GB2312" w:cs="仿宋_GB2312"/>
          <w:b w:val="0"/>
          <w:bCs w:val="0"/>
          <w:sz w:val="32"/>
          <w:szCs w:val="32"/>
          <w:highlight w:val="none"/>
        </w:rPr>
      </w:pPr>
    </w:p>
    <w:p w14:paraId="7F57149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bookmarkStart w:id="3361" w:name="_Toc23982"/>
      <w:bookmarkStart w:id="3362" w:name="_Toc32278"/>
      <w:bookmarkStart w:id="3363" w:name="_Toc2090"/>
      <w:bookmarkStart w:id="3364" w:name="_Toc21408"/>
      <w:bookmarkStart w:id="3365" w:name="_Toc3607"/>
      <w:bookmarkStart w:id="3366" w:name="_Toc215695298"/>
      <w:bookmarkStart w:id="3367" w:name="_Toc28315"/>
      <w:bookmarkStart w:id="3368" w:name="_Toc5595"/>
      <w:bookmarkStart w:id="3369" w:name="_Toc214611306"/>
      <w:bookmarkStart w:id="3370" w:name="_Toc25246"/>
      <w:bookmarkStart w:id="3371" w:name="_Toc27929"/>
      <w:bookmarkStart w:id="3372" w:name="_Toc6858"/>
      <w:r>
        <w:rPr>
          <w:rFonts w:hint="eastAsia" w:ascii="仿宋_GB2312" w:hAnsi="仿宋_GB2312" w:eastAsia="仿宋_GB2312" w:cs="仿宋_GB2312"/>
          <w:b w:val="0"/>
          <w:bCs w:val="0"/>
          <w:sz w:val="32"/>
          <w:szCs w:val="32"/>
          <w:highlight w:val="none"/>
        </w:rPr>
        <w:br w:type="page"/>
      </w:r>
    </w:p>
    <w:p w14:paraId="4F9081CA">
      <w:pPr>
        <w:keepNext w:val="0"/>
        <w:keepLines w:val="0"/>
        <w:pageBreakBefore w:val="0"/>
        <w:widowControl w:val="0"/>
        <w:kinsoku/>
        <w:wordWrap/>
        <w:overflowPunct/>
        <w:topLinePunct w:val="0"/>
        <w:autoSpaceDE/>
        <w:autoSpaceDN/>
        <w:bidi w:val="0"/>
        <w:adjustRightInd w:val="0"/>
        <w:snapToGrid w:val="0"/>
        <w:spacing w:after="0" w:afterLines="0" w:line="560" w:lineRule="exact"/>
        <w:jc w:val="center"/>
        <w:textAlignment w:val="auto"/>
        <w:outlineLvl w:val="0"/>
        <w:rPr>
          <w:rFonts w:hint="eastAsia" w:ascii="方正小标宋简体" w:eastAsia="方正小标宋简体"/>
          <w:b w:val="0"/>
          <w:bCs w:val="0"/>
          <w:sz w:val="36"/>
          <w:szCs w:val="36"/>
          <w:highlight w:val="none"/>
        </w:rPr>
      </w:pPr>
      <w:bookmarkStart w:id="3373" w:name="_Toc27717"/>
      <w:bookmarkStart w:id="3374" w:name="_Toc9402"/>
      <w:bookmarkStart w:id="3375" w:name="_Toc32535"/>
      <w:bookmarkStart w:id="3376" w:name="_Toc7915"/>
      <w:bookmarkStart w:id="3377" w:name="_Toc23472"/>
      <w:bookmarkStart w:id="3378" w:name="_Toc25660"/>
      <w:bookmarkStart w:id="3379" w:name="_Toc11518"/>
      <w:bookmarkStart w:id="3380" w:name="_Toc231562126"/>
      <w:bookmarkStart w:id="3381" w:name="_Toc29053"/>
      <w:bookmarkStart w:id="3382" w:name="_Toc1074"/>
      <w:bookmarkStart w:id="3383" w:name="_Toc26857"/>
      <w:bookmarkStart w:id="3384" w:name="_Toc25942"/>
      <w:bookmarkStart w:id="3385" w:name="_Toc12113"/>
      <w:bookmarkStart w:id="3386" w:name="_Toc14626"/>
      <w:bookmarkStart w:id="3387" w:name="_Toc2215"/>
      <w:bookmarkStart w:id="3388" w:name="_Toc11255"/>
      <w:bookmarkStart w:id="3389" w:name="_Toc25346"/>
      <w:bookmarkStart w:id="3390" w:name="_Toc9897"/>
      <w:bookmarkStart w:id="3391" w:name="_Toc19596"/>
      <w:bookmarkStart w:id="3392" w:name="_Toc26391"/>
      <w:bookmarkStart w:id="3393" w:name="_Toc4467"/>
      <w:r>
        <w:rPr>
          <w:rFonts w:hint="eastAsia" w:ascii="方正小标宋简体" w:eastAsia="方正小标宋简体"/>
          <w:b w:val="0"/>
          <w:bCs w:val="0"/>
          <w:sz w:val="36"/>
          <w:szCs w:val="36"/>
          <w:highlight w:val="none"/>
        </w:rPr>
        <w:t xml:space="preserve">第十篇  </w:t>
      </w:r>
      <w:bookmarkEnd w:id="839"/>
      <w:r>
        <w:rPr>
          <w:rFonts w:hint="eastAsia" w:ascii="方正小标宋简体" w:eastAsia="方正小标宋简体"/>
          <w:b w:val="0"/>
          <w:bCs w:val="0"/>
          <w:sz w:val="36"/>
          <w:szCs w:val="36"/>
          <w:highlight w:val="none"/>
        </w:rPr>
        <w:t>优化区域发展格局，推进城乡融合协调</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p>
    <w:bookmarkEnd w:id="1222"/>
    <w:p w14:paraId="520CADDE">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75CFFB2B">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立足区域主体功能定位，着力构建“一核引领、两轴联动、三组团协作”的城乡空间新格局。着力强化综合服务能级，依托综合发展轴与生态景观轴推动功能联动，促进产业高地、文化宜居、生态康养三大组团互补协作，形成协调联动、共同富裕的高质量发展新局面。</w:t>
      </w:r>
    </w:p>
    <w:p w14:paraId="46E3AA30">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3394" w:name="_Toc22494"/>
      <w:bookmarkStart w:id="3395" w:name="_Toc16052"/>
      <w:bookmarkStart w:id="3396" w:name="_Toc14559"/>
      <w:bookmarkStart w:id="3397" w:name="_Toc4768"/>
      <w:bookmarkStart w:id="3398" w:name="_Toc27624"/>
      <w:bookmarkStart w:id="3399" w:name="_Toc21743"/>
      <w:bookmarkStart w:id="3400" w:name="_Toc15475"/>
      <w:bookmarkStart w:id="3401" w:name="_Toc28780"/>
      <w:bookmarkStart w:id="3402" w:name="_Toc2616"/>
      <w:bookmarkStart w:id="3403" w:name="_Toc20817"/>
      <w:bookmarkStart w:id="3404" w:name="_Toc11953"/>
      <w:bookmarkStart w:id="3405" w:name="_Toc231562127"/>
      <w:bookmarkStart w:id="3406" w:name="_Toc5309"/>
      <w:bookmarkStart w:id="3407" w:name="_Toc18953"/>
      <w:bookmarkStart w:id="3408" w:name="_Toc30719"/>
      <w:bookmarkStart w:id="3409" w:name="_Toc214611307"/>
      <w:bookmarkStart w:id="3410" w:name="_Toc14420"/>
      <w:bookmarkStart w:id="3411" w:name="_Toc1426"/>
      <w:bookmarkStart w:id="3412" w:name="_Toc25894"/>
      <w:bookmarkStart w:id="3413" w:name="_Toc28736"/>
      <w:bookmarkStart w:id="3414" w:name="_Toc11138"/>
      <w:bookmarkStart w:id="3415" w:name="_Toc8441"/>
      <w:bookmarkStart w:id="3416" w:name="_Toc22472"/>
      <w:bookmarkStart w:id="3417" w:name="_Toc5653"/>
      <w:bookmarkStart w:id="3418" w:name="_Toc215695299"/>
      <w:bookmarkStart w:id="3419" w:name="_Toc20840"/>
      <w:bookmarkStart w:id="3420" w:name="_Toc31323"/>
      <w:bookmarkStart w:id="3421" w:name="_Toc82"/>
      <w:bookmarkStart w:id="3422" w:name="_Toc17336"/>
      <w:bookmarkStart w:id="3423" w:name="_Toc19909"/>
      <w:bookmarkStart w:id="3424" w:name="_Toc6639"/>
      <w:bookmarkStart w:id="3425" w:name="_Toc20525"/>
      <w:bookmarkStart w:id="3426" w:name="_Toc15767"/>
      <w:bookmarkStart w:id="3427" w:name="_Toc17138"/>
      <w:r>
        <w:rPr>
          <w:rFonts w:hint="eastAsia" w:ascii="黑体" w:hAnsi="黑体" w:eastAsia="黑体"/>
          <w:b w:val="0"/>
          <w:bCs w:val="0"/>
          <w:sz w:val="32"/>
          <w:szCs w:val="32"/>
          <w:highlight w:val="none"/>
        </w:rPr>
        <w:t>第一章  优化区域功能布局</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p>
    <w:p w14:paraId="2704E029">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428" w:name="_Toc28122"/>
      <w:bookmarkStart w:id="3429" w:name="_Toc23870"/>
      <w:bookmarkStart w:id="3430" w:name="_Toc1031"/>
      <w:bookmarkStart w:id="3431" w:name="_Toc18360"/>
      <w:bookmarkStart w:id="3432" w:name="_Toc8181"/>
      <w:bookmarkStart w:id="3433" w:name="_Toc7305"/>
      <w:bookmarkStart w:id="3434" w:name="_Toc15338"/>
      <w:bookmarkStart w:id="3435" w:name="_Toc6525"/>
      <w:bookmarkStart w:id="3436" w:name="_Toc18411"/>
      <w:bookmarkStart w:id="3437" w:name="_Toc32262"/>
      <w:bookmarkStart w:id="3438" w:name="_Toc3776"/>
      <w:bookmarkStart w:id="3439" w:name="_Toc16168"/>
      <w:bookmarkStart w:id="3440" w:name="_Toc20404"/>
      <w:bookmarkStart w:id="3441" w:name="_Toc1108"/>
      <w:bookmarkStart w:id="3442" w:name="_Toc5706"/>
      <w:bookmarkStart w:id="3443" w:name="_Toc23640"/>
      <w:bookmarkStart w:id="3444" w:name="_Toc28944"/>
      <w:bookmarkStart w:id="3445" w:name="_Toc19929"/>
      <w:bookmarkStart w:id="3446" w:name="_Toc10736"/>
      <w:bookmarkStart w:id="3447" w:name="_Toc215695300"/>
      <w:bookmarkStart w:id="3448" w:name="_Toc214611308"/>
      <w:bookmarkStart w:id="3449" w:name="_Toc30226"/>
      <w:bookmarkStart w:id="3450" w:name="_Toc16792"/>
      <w:bookmarkStart w:id="3451" w:name="_Toc25307"/>
      <w:bookmarkStart w:id="3452" w:name="_Toc15977"/>
      <w:bookmarkStart w:id="3453" w:name="_Toc8575"/>
      <w:bookmarkStart w:id="3454" w:name="_Toc231562128"/>
      <w:bookmarkStart w:id="3455" w:name="_Toc4385"/>
      <w:bookmarkStart w:id="3456" w:name="_Toc18565"/>
      <w:bookmarkStart w:id="3457" w:name="_Toc21344"/>
      <w:bookmarkStart w:id="3458" w:name="_Toc411"/>
      <w:bookmarkStart w:id="3459" w:name="_Toc4968"/>
      <w:bookmarkStart w:id="3460" w:name="_Toc14721"/>
      <w:bookmarkStart w:id="3461" w:name="_Toc19541"/>
      <w:r>
        <w:rPr>
          <w:rFonts w:hint="eastAsia" w:ascii="楷体_GB2312" w:hAnsi="楷体_GB2312" w:eastAsia="楷体_GB2312" w:cs="楷体_GB2312"/>
          <w:b w:val="0"/>
          <w:bCs w:val="0"/>
          <w:sz w:val="32"/>
          <w:szCs w:val="32"/>
          <w:highlight w:val="none"/>
        </w:rPr>
        <w:t>第一节  构建“一核两轴三组团”总体发展格局</w:t>
      </w:r>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p>
    <w:p w14:paraId="01184DE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着力提升河西商务片区核心功能。完善市发展中心周边区域的行政办公、商贸服务、文化展示等核心功能，建设现代化综合服务核心区。加强核心区与各组团间的交通联系和功能衔接，推动资源要素高效流动，实现核心引领、全域协同的发展态势。</w:t>
      </w:r>
    </w:p>
    <w:p w14:paraId="7766A78F">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两轴联动作用。依托昌江资源禀赋和产业特色，构建“一纵一横”发展格局。重点打造昌江文化与产业综合发展轴。以G206交通干线为主轴，串联古窑博览区、陶青台文创园、三闾庙街区、昌南里世界陶瓷潮玩小镇等重要文旅节点及昌江产业园，构建贯通南北的综合发展轴。重点发展陶瓷、文旅、电子信息、生物医药等重点产业，集聚陶瓷文化保护展示、文创产品交易、文旅融合等业态，完善旅游服务设施和配套设施，打造集文化体验、创意设计、休闲旅游于一体的陶瓷文化传承创新带。精心建设昌江生态景观轴。依托昌江水系生态资源，横向构建生态景观廊道，建设贯通东西的滨水绿道系统。科学布局亲水空间、观景平台和生态旅游设施，强化水系生态修复和景观塑造，打造集生态保育、休闲游憩、文化体验等功能于一体的昌江生态带。</w:t>
      </w:r>
    </w:p>
    <w:p w14:paraId="5C9FE93D">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促进三组团协同发展。加快建设产业高地组团，以鱼丽工业平台、电子信息产业园、鱼山医药产业园为主要载体，重点发展生物医药、电子信息、新材料等战略性新兴产业。完善产业配套设施和创新服务体系，推动产业链上下游集聚，建设现代化产业园区。优化提升文化宜居组团，以古窑片区、陶青台文创园、宁封窑等陶瓷文化重点区域为核心，加快陶瓷文化景区的业态创新和场景打造，推动文化传承与产业创新深度融合。以城市更新为重要抓手，高标准做好沿江西路二期、韭菜园、元件五厂等片区城市更新规划，完善居住、教育、医疗、商业等公共服务设施，提升社区服务水平和人居环境质量。培育发展生态康养组团，依托丽阳、荷塘等区域的优质生态资源，充分发挥红色农垦文化、森林生态和田园风光等特色优势，重点发展森林康养、田园疗愈、生态民宿等绿色产业。完善康养中心、健康步道、生态停车场等配套设施，打造环境优美、服务优质、特色鲜明的绿色康养目的地。</w:t>
      </w:r>
    </w:p>
    <w:p w14:paraId="595DD3C3">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462" w:name="_Toc2869"/>
      <w:bookmarkStart w:id="3463" w:name="_Toc16215"/>
      <w:bookmarkStart w:id="3464" w:name="_Toc215695305"/>
      <w:bookmarkStart w:id="3465" w:name="_Toc1958"/>
      <w:bookmarkStart w:id="3466" w:name="_Toc31198"/>
      <w:bookmarkStart w:id="3467" w:name="_Toc13257"/>
      <w:bookmarkStart w:id="3468" w:name="_Toc20936"/>
      <w:bookmarkStart w:id="3469" w:name="_Toc2875"/>
      <w:bookmarkStart w:id="3470" w:name="_Toc31056"/>
      <w:bookmarkStart w:id="3471" w:name="_Toc13707"/>
      <w:bookmarkStart w:id="3472" w:name="_Toc4006"/>
      <w:bookmarkStart w:id="3473" w:name="_Toc26492"/>
      <w:bookmarkStart w:id="3474" w:name="_Toc11704"/>
      <w:bookmarkStart w:id="3475" w:name="_Toc29485"/>
      <w:bookmarkStart w:id="3476" w:name="_Toc30888"/>
      <w:bookmarkStart w:id="3477" w:name="_Toc3525"/>
      <w:bookmarkStart w:id="3478" w:name="_Toc231562129"/>
      <w:bookmarkStart w:id="3479" w:name="_Toc20561"/>
      <w:bookmarkStart w:id="3480" w:name="_Toc11038"/>
      <w:bookmarkStart w:id="3481" w:name="_Toc3562"/>
      <w:bookmarkStart w:id="3482" w:name="_Toc17510"/>
      <w:bookmarkStart w:id="3483" w:name="_Toc23356"/>
      <w:bookmarkStart w:id="3484" w:name="_Toc12771"/>
      <w:bookmarkStart w:id="3485" w:name="_Toc13196"/>
      <w:bookmarkStart w:id="3486" w:name="_Toc11671"/>
      <w:bookmarkStart w:id="3487" w:name="_Toc17755"/>
      <w:bookmarkStart w:id="3488" w:name="_Toc29430"/>
      <w:bookmarkStart w:id="3489" w:name="_Toc21672"/>
      <w:bookmarkStart w:id="3490" w:name="_Toc7472"/>
      <w:bookmarkStart w:id="3491" w:name="_Toc11895"/>
      <w:bookmarkStart w:id="3492" w:name="_Toc6425"/>
      <w:bookmarkStart w:id="3493" w:name="_Toc32663"/>
      <w:bookmarkStart w:id="3494" w:name="_Toc214611313"/>
      <w:r>
        <w:rPr>
          <w:rFonts w:hint="eastAsia" w:ascii="楷体_GB2312" w:hAnsi="楷体_GB2312" w:eastAsia="楷体_GB2312" w:cs="楷体_GB2312"/>
          <w:b w:val="0"/>
          <w:bCs w:val="0"/>
          <w:sz w:val="32"/>
          <w:szCs w:val="32"/>
          <w:highlight w:val="none"/>
        </w:rPr>
        <w:t>第二节  落实主体功能区</w:t>
      </w:r>
      <w:bookmarkEnd w:id="3462"/>
      <w:bookmarkEnd w:id="3463"/>
      <w:bookmarkEnd w:id="3464"/>
      <w:bookmarkEnd w:id="3465"/>
      <w:bookmarkEnd w:id="3466"/>
      <w:bookmarkEnd w:id="3467"/>
      <w:bookmarkEnd w:id="3468"/>
      <w:bookmarkEnd w:id="3469"/>
      <w:r>
        <w:rPr>
          <w:rFonts w:hint="eastAsia" w:ascii="楷体_GB2312" w:hAnsi="楷体_GB2312" w:eastAsia="楷体_GB2312" w:cs="楷体_GB2312"/>
          <w:b w:val="0"/>
          <w:bCs w:val="0"/>
          <w:sz w:val="32"/>
          <w:szCs w:val="32"/>
          <w:highlight w:val="none"/>
        </w:rPr>
        <w:t>要求</w:t>
      </w:r>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p>
    <w:p w14:paraId="0976621E">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坚决落实省级国土空间规划相关要求。依据省级国土空间规划，落实区县主体功能和相应管控要求，作为城市化地区，重点加强人口和经济集聚能力，提高土地利用效率。全区各项开发保护活动须严格遵循城市化地区的空间管制规则，在坚守生态保护红线、永久基本农田等底线约束的前提下，优化空间布局，高效配置资源，提升城市化水平。</w:t>
      </w:r>
    </w:p>
    <w:p w14:paraId="02F0EB9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全面对接全市国土空间总体规划，优化区域发展布局。</w:t>
      </w:r>
      <w:r>
        <w:rPr>
          <w:rFonts w:ascii="仿宋_GB2312" w:hAnsi="仿宋_GB2312" w:eastAsia="仿宋_GB2312" w:cs="仿宋_GB2312"/>
          <w:b w:val="0"/>
          <w:bCs w:val="0"/>
          <w:sz w:val="32"/>
          <w:szCs w:val="32"/>
          <w:highlight w:val="none"/>
        </w:rPr>
        <w:t>深入贯彻落实国家陶瓷文化传承创新试验区发展战略，积极对接全市</w:t>
      </w:r>
      <w:r>
        <w:rPr>
          <w:rFonts w:hint="eastAsia" w:ascii="仿宋_GB2312" w:hAnsi="仿宋_GB2312" w:eastAsia="仿宋_GB2312" w:cs="仿宋_GB2312"/>
          <w:b w:val="0"/>
          <w:bCs w:val="0"/>
          <w:sz w:val="32"/>
          <w:szCs w:val="32"/>
          <w:highlight w:val="none"/>
        </w:rPr>
        <w:t>国土空间总体规划要求，统筹处理好历史文化传承保护与城乡高质量发展的关系，科学划定城市开发边界，优化功能组团布局，构建“主城区—产业片区—特色镇区”有机衔接的空间发展框架，形成功能互补、协调发展的空间组织体系。</w:t>
      </w:r>
    </w:p>
    <w:p w14:paraId="7DBC05E6">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区域协同发展，构建一体化发展新格局。聚焦市委、市政府对昌江功能定位，在联手园区上再深入，全力服务全市航空产业发展。在联结新区上再聚焦，协同推进西市区文旅商贸互融共荣。在联动乐平上再发力，促进生物医药和精细化工产业链群协同，推进昌景黄高铁乐平北站周边地块开发利用</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val="0"/>
          <w:bCs w:val="0"/>
          <w:sz w:val="32"/>
          <w:szCs w:val="32"/>
          <w:highlight w:val="none"/>
        </w:rPr>
        <w:t>建立健全区域协调发展机制，推动基础设施互联互通、公共服务共建共享、生态环境共保共治，打造布局合理、效率集约的市域融合发展格局，提升区域整体竞争力和可持续发展能力。</w:t>
      </w:r>
    </w:p>
    <w:p w14:paraId="636D8DB6">
      <w:pPr>
        <w:pStyle w:val="7"/>
        <w:pageBreakBefore w:val="0"/>
        <w:kinsoku/>
        <w:wordWrap/>
        <w:overflowPunct/>
        <w:topLinePunct w:val="0"/>
        <w:autoSpaceDE/>
        <w:autoSpaceDN/>
        <w:bidi w:val="0"/>
        <w:spacing w:after="0" w:afterLines="0" w:line="560" w:lineRule="exact"/>
        <w:ind w:firstLine="640" w:firstLineChars="200"/>
        <w:rPr>
          <w:rFonts w:ascii="仿宋_GB2312" w:hAnsi="Calibri" w:eastAsia="仿宋_GB2312" w:cs="Times New Roman"/>
          <w:b w:val="0"/>
          <w:bCs w:val="0"/>
          <w:sz w:val="32"/>
          <w:szCs w:val="32"/>
          <w:highlight w:val="none"/>
        </w:rPr>
      </w:pPr>
      <w:r>
        <w:rPr>
          <w:rFonts w:hint="eastAsia" w:ascii="仿宋_GB2312" w:hAnsi="仿宋_GB2312" w:eastAsia="仿宋_GB2312" w:cs="仿宋_GB2312"/>
          <w:b w:val="0"/>
          <w:bCs w:val="0"/>
          <w:sz w:val="32"/>
          <w:szCs w:val="32"/>
          <w:highlight w:val="none"/>
        </w:rPr>
        <w:t>注重历史文化保护传承，促进城乡高质量发展。在推进城乡发展过程中，始终坚持保护优先、合理利用的原则，加强对陶瓷文化遗址、历史建筑、传统村落等文化遗产的保护和活化利用。将历史文化保护融入城乡规划建设全过程，推动历史文化与现代城市功能有机结合，实现文化传承与创新发展的良性互动，塑造具有昌江特色、彰显陶瓷文化魅力的城乡风貌，走出一条具有地方特色的城乡高质量发展之路。</w:t>
      </w:r>
      <w:bookmarkStart w:id="3495" w:name="_Toc26231"/>
      <w:bookmarkStart w:id="3496" w:name="_Toc21689"/>
      <w:bookmarkStart w:id="3497" w:name="_Toc3045"/>
      <w:bookmarkStart w:id="3498" w:name="_Toc215695306"/>
      <w:bookmarkStart w:id="3499" w:name="_Toc17404"/>
      <w:bookmarkStart w:id="3500" w:name="_Toc28735"/>
      <w:bookmarkStart w:id="3501" w:name="_Toc7286"/>
      <w:bookmarkStart w:id="3502" w:name="_Toc9032"/>
      <w:bookmarkStart w:id="3503" w:name="_Toc1667"/>
      <w:bookmarkStart w:id="3504" w:name="_Toc18666"/>
      <w:bookmarkStart w:id="3505" w:name="_Toc22228"/>
      <w:bookmarkStart w:id="3506" w:name="_Toc13612"/>
      <w:bookmarkStart w:id="3507" w:name="_Toc18619"/>
      <w:bookmarkStart w:id="3508" w:name="_Toc3968"/>
      <w:bookmarkStart w:id="3509" w:name="_Toc10100"/>
      <w:bookmarkStart w:id="3510" w:name="_Toc1245"/>
      <w:bookmarkStart w:id="3511" w:name="_Toc31662"/>
      <w:bookmarkStart w:id="3512" w:name="_Toc592"/>
      <w:bookmarkStart w:id="3513" w:name="_Toc10541"/>
      <w:bookmarkStart w:id="3514" w:name="_Toc16307"/>
      <w:bookmarkStart w:id="3515" w:name="_Toc28443"/>
      <w:bookmarkStart w:id="3516" w:name="_Toc24328"/>
      <w:bookmarkStart w:id="3517" w:name="_Toc24639"/>
      <w:bookmarkStart w:id="3518" w:name="_Toc23763"/>
      <w:bookmarkStart w:id="3519" w:name="_Toc16013"/>
      <w:bookmarkStart w:id="3520" w:name="_Toc13795"/>
      <w:bookmarkStart w:id="3521" w:name="_Toc19388"/>
    </w:p>
    <w:p w14:paraId="63BBC471">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522" w:name="_Toc1390"/>
      <w:bookmarkStart w:id="3523" w:name="_Toc231562130"/>
      <w:bookmarkStart w:id="3524" w:name="_Toc30345"/>
      <w:bookmarkStart w:id="3525" w:name="_Toc22016"/>
      <w:bookmarkStart w:id="3526" w:name="_Toc9236"/>
      <w:r>
        <w:rPr>
          <w:rFonts w:hint="eastAsia" w:ascii="楷体_GB2312" w:hAnsi="楷体_GB2312" w:eastAsia="楷体_GB2312" w:cs="楷体_GB2312"/>
          <w:b w:val="0"/>
          <w:bCs w:val="0"/>
          <w:sz w:val="32"/>
          <w:szCs w:val="32"/>
          <w:highlight w:val="none"/>
        </w:rPr>
        <w:t>第三节  加快推进城镇化地区建设</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14:paraId="62DE4E2A">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系统推进下辖各镇、乡、街道的集约高效发展。昌江全域属于城镇化地区，聚焦提升鲇鱼山镇、丽阳镇、荷塘乡、新枫街道、西郊街道、吕蒙街道等单元的人口集聚和产业升级功能，持续优化国土空间格局、完善基础设施与公共服务网络，加快促进产城深度融合。强化土地节约集约利用、盘活存量空间资源、全面提升城镇品质与综合竞争力，切实将城镇化地区的功能定位转化为区域发展实际成效。</w:t>
      </w:r>
    </w:p>
    <w:p w14:paraId="743216BF">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鲇鱼山镇打造先进制造核心增长极与区域物流枢纽核心区。发挥交通区位优势，持续推动景乐一体化与两区融合。依托鱼山码头提升工程，规划建设现代化仓储物流实体基地，强化区域物流枢纽功能。巩固工业支柱，持续深耕生物医药、电子信息等主导产业，完善园区生产与生活配套。</w:t>
      </w:r>
    </w:p>
    <w:p w14:paraId="213BEF36">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丽阳镇打造工农文旅协同发展的城乡融合示范区。发挥工农业基础均衡的优势，一方面积极承接全区电子信息、先进陶瓷等重点产业的配套与延伸布局，另一方面强化“古镇丽阳”农产品品牌，打造“小而精”的现代农业，推动农文旅融合，开发乡村特色休闲旅游项目。</w:t>
      </w:r>
    </w:p>
    <w:p w14:paraId="0E9700C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荷塘乡打造以红色农垦精神为内核、森林生态为基底的文旅融合与乡村振兴标杆。深度挖掘并活化“农垦学荷塘”的革命历史与创业精神，打造新时代农垦精神教育基地与文化IP。依托优质生态资源，发展生态观光、森林康养等业态。围绕“荷塘”主题，持续强化“荷塘酱坊”农产品品牌建设，提升特色种植的观赏性与经济价值，打造网红农旅体验目的地。</w:t>
      </w:r>
    </w:p>
    <w:p w14:paraId="67AD38AB">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新枫街道打造陶瓷文化传承创新与老城活力复兴的中心区。以文化激活和历史街区更新为主要路径，重塑老城区的文化魅力和商业活力。以三闾庙历史文化街区为核心，联动清街创想、中国陶瓷城等周边资源，引入社会资本进行整体保护与开发，打造有辨识度、有烟火气、有生命力的特色业态空间。发挥辖区内百余位手工制瓷非遗传承人集聚优势，打造非遗传承、展示、体验与创意转化的核心平台，成为做好申遗“后半篇文章”的主阵地。推进河西村等城中村改造与闭环管理试点，依托河西农贸市场进行辐射提升，探索城市更新新模式。</w:t>
      </w:r>
    </w:p>
    <w:p w14:paraId="2073859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西郊街道打造区域金融商贸核心与陶瓷文旅微度假目的地。依托区域金融机构集聚优势，强化金融商贸核心功能。以</w:t>
      </w:r>
      <w:r>
        <w:rPr>
          <w:rFonts w:hint="eastAsia" w:ascii="仿宋_GB2312" w:hAnsi="仿宋_GB2312" w:eastAsia="仿宋_GB2312" w:cs="仿宋_GB2312"/>
          <w:b w:val="0"/>
          <w:bCs w:val="0"/>
          <w:sz w:val="32"/>
          <w:szCs w:val="32"/>
          <w:highlight w:val="none"/>
          <w:lang w:eastAsia="zh-CN"/>
        </w:rPr>
        <w:t>古窑民俗博览区</w:t>
      </w:r>
      <w:r>
        <w:rPr>
          <w:rFonts w:hint="eastAsia" w:ascii="仿宋_GB2312" w:hAnsi="仿宋_GB2312" w:eastAsia="仿宋_GB2312" w:cs="仿宋_GB2312"/>
          <w:b w:val="0"/>
          <w:bCs w:val="0"/>
          <w:sz w:val="32"/>
          <w:szCs w:val="32"/>
          <w:highlight w:val="none"/>
        </w:rPr>
        <w:t>这一国家5A级景区为核心，联动国家森林公园、昌南湖湿地公园等资源，推动传统观光向深度文化体验与休闲度假转变。引导传统陶瓷制造业向研发设计、品牌营销等高端环节转型。充分发挥西郊街道紧邻老城区区位条件，聚焦公共服务品质提升，构建宜居、宜业、宜游的高品质城区。</w:t>
      </w:r>
    </w:p>
    <w:p w14:paraId="5E8D5442">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吕蒙街道打造</w:t>
      </w:r>
      <w:r>
        <w:rPr>
          <w:rFonts w:ascii="仿宋_GB2312" w:hAnsi="仿宋_GB2312" w:eastAsia="仿宋_GB2312" w:cs="仿宋_GB2312"/>
          <w:b w:val="0"/>
          <w:bCs w:val="0"/>
          <w:sz w:val="32"/>
          <w:szCs w:val="32"/>
          <w:highlight w:val="none"/>
        </w:rPr>
        <w:t>都市文旅消费繁荣的城市新兴活力区</w:t>
      </w:r>
      <w:r>
        <w:rPr>
          <w:rFonts w:hint="eastAsia" w:ascii="仿宋_GB2312" w:hAnsi="仿宋_GB2312" w:eastAsia="仿宋_GB2312" w:cs="仿宋_GB2312"/>
          <w:b w:val="0"/>
          <w:bCs w:val="0"/>
          <w:sz w:val="32"/>
          <w:szCs w:val="32"/>
          <w:highlight w:val="none"/>
        </w:rPr>
        <w:t>。依托豪德商圈等市场基础和“大碗”新兴文旅地标，以昌南里陶瓷潮玩小镇为核心，持续运营文旅IP，推动现代服务业集聚发展，繁荣时尚消费与夜间经济。</w:t>
      </w:r>
    </w:p>
    <w:p w14:paraId="2E00275B">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527" w:name="_Toc8377"/>
      <w:bookmarkStart w:id="3528" w:name="_Toc22132"/>
      <w:bookmarkStart w:id="3529" w:name="_Toc10102"/>
      <w:bookmarkStart w:id="3530" w:name="_Toc30077"/>
      <w:bookmarkStart w:id="3531" w:name="_Toc11041"/>
      <w:bookmarkStart w:id="3532" w:name="_Toc26686"/>
      <w:bookmarkStart w:id="3533" w:name="_Toc13349"/>
      <w:bookmarkStart w:id="3534" w:name="_Toc31422"/>
      <w:bookmarkStart w:id="3535" w:name="_Toc201"/>
      <w:bookmarkStart w:id="3536" w:name="_Toc24521"/>
      <w:bookmarkStart w:id="3537" w:name="_Toc916"/>
      <w:bookmarkStart w:id="3538" w:name="_Toc10282"/>
      <w:bookmarkStart w:id="3539" w:name="_Toc6292"/>
      <w:bookmarkStart w:id="3540" w:name="_Toc1381"/>
      <w:bookmarkStart w:id="3541" w:name="_Toc11717"/>
      <w:bookmarkStart w:id="3542" w:name="_Toc23187"/>
      <w:bookmarkStart w:id="3543" w:name="_Toc32588"/>
      <w:bookmarkStart w:id="3544" w:name="_Toc7671"/>
      <w:bookmarkStart w:id="3545" w:name="_Toc20109"/>
      <w:bookmarkStart w:id="3546" w:name="_Toc21801"/>
      <w:bookmarkStart w:id="3547" w:name="_Toc12491"/>
      <w:bookmarkStart w:id="3548" w:name="_Toc32743"/>
      <w:bookmarkStart w:id="3549" w:name="_Toc26798"/>
      <w:bookmarkStart w:id="3550" w:name="_Toc29176"/>
      <w:bookmarkStart w:id="3551" w:name="_Toc15252"/>
      <w:bookmarkStart w:id="3552" w:name="_Toc16377"/>
      <w:bookmarkStart w:id="3553" w:name="_Toc8434"/>
      <w:bookmarkStart w:id="3554" w:name="_Toc231562131"/>
      <w:r>
        <w:rPr>
          <w:rFonts w:hint="eastAsia" w:ascii="楷体_GB2312" w:hAnsi="楷体_GB2312" w:eastAsia="楷体_GB2312" w:cs="楷体_GB2312"/>
          <w:b w:val="0"/>
          <w:bCs w:val="0"/>
          <w:sz w:val="32"/>
          <w:szCs w:val="32"/>
          <w:highlight w:val="none"/>
        </w:rPr>
        <w:t>第四节  推动城乡融合发展提质增效</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p>
    <w:p w14:paraId="7B32222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全面破除妨碍城乡要素平等交换、双向流动的制度壁垒，着力构建要素下乡激励机制。重点优化人才、资本、技术等要素流动的支持体系，统筹城乡基础设施一体化发展。坚持全域规划、一体建设的原则，高标准推进城乡基础设施网络化布局，夯实一体化发展物质基础。</w:t>
      </w:r>
    </w:p>
    <w:p w14:paraId="214676FE">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3555" w:name="_Toc25328"/>
      <w:bookmarkStart w:id="3556" w:name="_Toc4743"/>
      <w:bookmarkStart w:id="3557" w:name="_Toc11554"/>
      <w:bookmarkStart w:id="3558" w:name="_Toc4672"/>
      <w:bookmarkStart w:id="3559" w:name="_Toc9595"/>
      <w:bookmarkStart w:id="3560" w:name="_Toc17574"/>
      <w:bookmarkStart w:id="3561" w:name="_Toc21363"/>
      <w:bookmarkStart w:id="3562" w:name="_Toc19052"/>
      <w:bookmarkStart w:id="3563" w:name="_Toc1226"/>
      <w:bookmarkStart w:id="3564" w:name="_Toc2027"/>
      <w:bookmarkStart w:id="3565" w:name="_Toc215695307"/>
      <w:bookmarkStart w:id="3566" w:name="_Toc18710"/>
      <w:bookmarkStart w:id="3567" w:name="_Toc30872"/>
      <w:bookmarkStart w:id="3568" w:name="_Toc24363"/>
      <w:bookmarkStart w:id="3569" w:name="_Toc29570"/>
      <w:bookmarkStart w:id="3570" w:name="_Toc8751"/>
      <w:bookmarkStart w:id="3571" w:name="_Toc234"/>
      <w:bookmarkStart w:id="3572" w:name="_Toc231562132"/>
      <w:bookmarkStart w:id="3573" w:name="_Toc2433"/>
      <w:bookmarkStart w:id="3574" w:name="_Toc25704"/>
      <w:bookmarkStart w:id="3575" w:name="_Toc11387"/>
      <w:bookmarkStart w:id="3576" w:name="_Toc3172"/>
      <w:bookmarkStart w:id="3577" w:name="_Toc13938"/>
      <w:bookmarkStart w:id="3578" w:name="_Toc4996"/>
      <w:bookmarkStart w:id="3579" w:name="_Toc22706"/>
      <w:bookmarkStart w:id="3580" w:name="_Toc14084"/>
      <w:bookmarkStart w:id="3581" w:name="_Toc2220"/>
      <w:bookmarkStart w:id="3582" w:name="_Toc6206"/>
      <w:bookmarkStart w:id="3583" w:name="_Toc20359"/>
      <w:bookmarkStart w:id="3584" w:name="_Toc15007"/>
      <w:bookmarkStart w:id="3585" w:name="_Toc27539"/>
      <w:bookmarkStart w:id="3586" w:name="_Toc8686"/>
      <w:r>
        <w:rPr>
          <w:rFonts w:hint="eastAsia" w:ascii="黑体" w:hAnsi="黑体" w:eastAsia="黑体"/>
          <w:b w:val="0"/>
          <w:bCs w:val="0"/>
          <w:sz w:val="32"/>
          <w:szCs w:val="32"/>
          <w:highlight w:val="none"/>
        </w:rPr>
        <w:t>第二章  深入实施以人为本的新型城镇化战略</w:t>
      </w:r>
      <w:bookmarkEnd w:id="349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14:paraId="2B846718">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587" w:name="_Toc18972"/>
      <w:bookmarkStart w:id="3588" w:name="_Toc26876"/>
      <w:bookmarkStart w:id="3589" w:name="_Toc22649"/>
      <w:bookmarkStart w:id="3590" w:name="_Toc8088"/>
      <w:bookmarkStart w:id="3591" w:name="_Toc24618"/>
      <w:bookmarkStart w:id="3592" w:name="_Toc9961"/>
      <w:bookmarkStart w:id="3593" w:name="_Toc24905"/>
      <w:bookmarkStart w:id="3594" w:name="_Toc8559"/>
      <w:bookmarkStart w:id="3595" w:name="_Toc231562133"/>
      <w:bookmarkStart w:id="3596" w:name="_Toc25980"/>
      <w:bookmarkStart w:id="3597" w:name="_Toc26758"/>
      <w:bookmarkStart w:id="3598" w:name="_Toc29982"/>
      <w:bookmarkStart w:id="3599" w:name="_Toc8189"/>
      <w:bookmarkStart w:id="3600" w:name="_Toc215695308"/>
      <w:bookmarkStart w:id="3601" w:name="_Toc25458"/>
      <w:bookmarkStart w:id="3602" w:name="_Toc15499"/>
      <w:bookmarkStart w:id="3603" w:name="_Toc14095"/>
      <w:bookmarkStart w:id="3604" w:name="_Toc28749"/>
      <w:bookmarkStart w:id="3605" w:name="_Toc674"/>
      <w:bookmarkStart w:id="3606" w:name="_Toc23787"/>
      <w:bookmarkStart w:id="3607" w:name="_Toc30148"/>
      <w:bookmarkStart w:id="3608" w:name="_Toc9303"/>
      <w:bookmarkStart w:id="3609" w:name="_Toc28267"/>
      <w:bookmarkStart w:id="3610" w:name="_Toc27005"/>
      <w:bookmarkStart w:id="3611" w:name="_Toc10483"/>
      <w:bookmarkStart w:id="3612" w:name="_Toc26159"/>
      <w:bookmarkStart w:id="3613" w:name="_Toc7936"/>
      <w:bookmarkStart w:id="3614" w:name="_Toc4359"/>
      <w:bookmarkStart w:id="3615" w:name="_Toc11046"/>
      <w:bookmarkStart w:id="3616" w:name="_Toc12876"/>
      <w:bookmarkStart w:id="3617" w:name="_Toc28352"/>
      <w:bookmarkStart w:id="3618" w:name="_Toc13963"/>
      <w:r>
        <w:rPr>
          <w:rFonts w:hint="eastAsia" w:ascii="楷体_GB2312" w:hAnsi="楷体_GB2312" w:eastAsia="楷体_GB2312" w:cs="楷体_GB2312"/>
          <w:b w:val="0"/>
          <w:bCs w:val="0"/>
          <w:sz w:val="32"/>
          <w:szCs w:val="32"/>
          <w:highlight w:val="none"/>
        </w:rPr>
        <w:t>第一节  提升城市宜居品质</w:t>
      </w:r>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14:paraId="24E7539B">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城市整体空间设计。立足城市自然山水格局与千年陶瓷历史文脉，加强城市天际线、建筑风貌、城市色彩的整体管控与引导，塑造具有“千年瓷都”独特魅力的核心片区。加强建筑外立面、景观照明、引导标识等精细化设计与规范化管理，优化市政道路空间及附属设施，完善清晰、规范、多语种的公共标识系统，全面提升城市开放空间的环境品质。</w:t>
      </w:r>
    </w:p>
    <w:p w14:paraId="49768E09">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建设宜居韧性的“好房子”与“好社区”。以建设人民满意的好房子为目标，提高住宅建设标准，推广绿色建材、节能技术和智能化应用。以打造“好社区”为着力点，构建集“养老、托育、医疗、家政、商业、文体”等功能于一体的“15分钟社区生活圈”。完善社区公共服务设施，提升物业服务水平。</w:t>
      </w:r>
    </w:p>
    <w:p w14:paraId="04559D11">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系统化推进基础设施更新。推进城市交通、能源、供水排水、生态环境等关键领域的韧性基础设施建设，加快补齐教育、医疗、养老、社会保障等公共服务设施短板。依托智慧化、数字化建设手段，对市政设施和公共空间开展系统化、智慧化升级。推动供水、供电、燃气、排水、通信等基础网络的智能化改造，增强城市运行的安全韧性和风险抵御能力。</w:t>
      </w:r>
    </w:p>
    <w:p w14:paraId="4191438D">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619" w:name="_Toc27733"/>
      <w:bookmarkStart w:id="3620" w:name="_Toc15657"/>
      <w:bookmarkStart w:id="3621" w:name="_Toc24149"/>
      <w:bookmarkStart w:id="3622" w:name="_Toc16828"/>
      <w:bookmarkStart w:id="3623" w:name="_Toc27869"/>
      <w:bookmarkStart w:id="3624" w:name="_Toc18334"/>
      <w:bookmarkStart w:id="3625" w:name="_Toc17887"/>
      <w:bookmarkStart w:id="3626" w:name="_Toc21012"/>
      <w:bookmarkStart w:id="3627" w:name="_Toc26576"/>
      <w:bookmarkStart w:id="3628" w:name="_Toc11058"/>
      <w:bookmarkStart w:id="3629" w:name="_Toc5789"/>
      <w:bookmarkStart w:id="3630" w:name="_Toc3721"/>
      <w:bookmarkStart w:id="3631" w:name="_Toc7107"/>
      <w:bookmarkStart w:id="3632" w:name="_Toc12326"/>
      <w:bookmarkStart w:id="3633" w:name="_Toc27048"/>
      <w:bookmarkStart w:id="3634" w:name="_Toc3085"/>
      <w:bookmarkStart w:id="3635" w:name="_Toc28782"/>
      <w:bookmarkStart w:id="3636" w:name="_Toc21827"/>
      <w:bookmarkStart w:id="3637" w:name="_Toc26693"/>
      <w:bookmarkStart w:id="3638" w:name="_Toc20915"/>
      <w:bookmarkStart w:id="3639" w:name="_Toc18151"/>
      <w:bookmarkStart w:id="3640" w:name="_Toc29398"/>
      <w:bookmarkStart w:id="3641" w:name="_Toc13955"/>
      <w:bookmarkStart w:id="3642" w:name="_Toc215695309"/>
      <w:bookmarkStart w:id="3643" w:name="_Toc231562134"/>
      <w:bookmarkStart w:id="3644" w:name="_Toc19238"/>
      <w:bookmarkStart w:id="3645" w:name="_Toc6258"/>
      <w:bookmarkStart w:id="3646" w:name="_Toc16499"/>
      <w:bookmarkStart w:id="3647" w:name="_Toc15490"/>
      <w:bookmarkStart w:id="3648" w:name="_Toc27790"/>
      <w:bookmarkStart w:id="3649" w:name="_Toc31872"/>
      <w:bookmarkStart w:id="3650" w:name="_Toc24187"/>
    </w:p>
    <w:p w14:paraId="379ABF2E">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r>
        <w:rPr>
          <w:rFonts w:hint="eastAsia" w:ascii="楷体_GB2312" w:hAnsi="楷体_GB2312" w:eastAsia="楷体_GB2312" w:cs="楷体_GB2312"/>
          <w:b w:val="0"/>
          <w:bCs w:val="0"/>
          <w:sz w:val="32"/>
          <w:szCs w:val="32"/>
          <w:highlight w:val="none"/>
        </w:rPr>
        <w:t>第二节  推进重点片区更新</w:t>
      </w:r>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14:paraId="500B8513">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实施居住片区功能与品质提升工程。深入推进老旧住宅小区、城中村的系统性、综合性改造。重点实施房屋结构安全加固、建筑节能与绿色化改造、老旧管线更新、雨污分流改造、智慧安防消防设施建设、无障碍与适老化环境建设。增加“口袋公园”、公共活动场地、便民服务设施等，补齐社区服务短板，全面提升居住片区的功能、品质与安全韧性。</w:t>
      </w:r>
    </w:p>
    <w:p w14:paraId="2D728A3E">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动重点功能片区复合化、高端化更新。聚焦河西商务片区等重点区域，优化公共空间与慢行系统、提升建筑风貌与环境品质、引导高端商业、商务办公、楼宇经济等业态集聚。积极植入新消费场景与数字化应用，提升片区经济密度、创新活力与辐射带动能力，打造功能复合、充满活力的现代化城市会客厅。</w:t>
      </w:r>
    </w:p>
    <w:p w14:paraId="76D5FF4E">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651" w:name="_Toc19681"/>
      <w:bookmarkStart w:id="3652" w:name="_Toc20635"/>
      <w:bookmarkStart w:id="3653" w:name="_Toc18475"/>
      <w:bookmarkStart w:id="3654" w:name="_Toc4675"/>
      <w:bookmarkStart w:id="3655" w:name="_Toc31642"/>
      <w:bookmarkStart w:id="3656" w:name="_Toc18418"/>
      <w:bookmarkStart w:id="3657" w:name="_Toc6160"/>
      <w:bookmarkStart w:id="3658" w:name="_Toc32657"/>
      <w:bookmarkStart w:id="3659" w:name="_Toc20556"/>
      <w:bookmarkStart w:id="3660" w:name="_Toc16725"/>
      <w:bookmarkStart w:id="3661" w:name="_Toc12843"/>
      <w:bookmarkStart w:id="3662" w:name="_Toc3670"/>
      <w:bookmarkStart w:id="3663" w:name="_Toc215695310"/>
      <w:bookmarkStart w:id="3664" w:name="_Toc14030"/>
      <w:bookmarkStart w:id="3665" w:name="_Toc4570"/>
      <w:bookmarkStart w:id="3666" w:name="_Toc26088"/>
      <w:bookmarkStart w:id="3667" w:name="_Toc10761"/>
      <w:bookmarkStart w:id="3668" w:name="_Toc11456"/>
      <w:bookmarkStart w:id="3669" w:name="_Toc21458"/>
      <w:bookmarkStart w:id="3670" w:name="_Toc23818"/>
      <w:bookmarkStart w:id="3671" w:name="_Toc32392"/>
      <w:bookmarkStart w:id="3672" w:name="_Toc3155"/>
      <w:bookmarkStart w:id="3673" w:name="_Toc26806"/>
      <w:bookmarkStart w:id="3674" w:name="_Toc369"/>
      <w:bookmarkStart w:id="3675" w:name="_Toc27500"/>
      <w:bookmarkStart w:id="3676" w:name="_Toc231562135"/>
      <w:bookmarkStart w:id="3677" w:name="_Toc16814"/>
      <w:bookmarkStart w:id="3678" w:name="_Toc22258"/>
      <w:bookmarkStart w:id="3679" w:name="_Toc27100"/>
      <w:bookmarkStart w:id="3680" w:name="_Toc20306"/>
      <w:bookmarkStart w:id="3681" w:name="_Toc31877"/>
      <w:bookmarkStart w:id="3682" w:name="_Toc15991"/>
      <w:r>
        <w:rPr>
          <w:rFonts w:hint="eastAsia" w:ascii="楷体_GB2312" w:hAnsi="楷体_GB2312" w:eastAsia="楷体_GB2312" w:cs="楷体_GB2312"/>
          <w:b w:val="0"/>
          <w:bCs w:val="0"/>
          <w:sz w:val="32"/>
          <w:szCs w:val="32"/>
          <w:highlight w:val="none"/>
        </w:rPr>
        <w:t>第三节  推动农业转移人口市民化</w:t>
      </w:r>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p w14:paraId="2AF19654">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农业转移人口市民化政策体系。完善居住证制度与公共服务衔接机制，推进重点群体落户便利化，扩大保障性和租赁住房供给，加强基本公共服务覆盖能力。建立政府主导、企业参与、个人受益的成本分担机制，降低市民化经济负担，增强新市民的城市融入度和幸福感。</w:t>
      </w:r>
    </w:p>
    <w:p w14:paraId="340F3124">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市民化配套服务能力。围绕就业创业、教育保障、医疗服务等重点领域，完善支持政策体系，推动农民工技能培训、就业推荐和转岗支持落地。促进人口有序流动与功能布局优化同步推进，提升城镇人口结构质量和城乡融合发展的整体效益。</w:t>
      </w:r>
    </w:p>
    <w:p w14:paraId="3268684E">
      <w:pPr>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br w:type="page"/>
      </w:r>
    </w:p>
    <w:tbl>
      <w:tblPr>
        <w:tblStyle w:val="42"/>
        <w:tblpPr w:leftFromText="180" w:rightFromText="180" w:vertAnchor="text" w:horzAnchor="page" w:tblpXSpec="center" w:tblpY="12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168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1ACAEF01">
            <w:pPr>
              <w:pageBreakBefore w:val="0"/>
              <w:tabs>
                <w:tab w:val="left" w:pos="6725"/>
              </w:tabs>
              <w:kinsoku/>
              <w:wordWrap/>
              <w:overflowPunct/>
              <w:topLinePunct w:val="0"/>
              <w:autoSpaceDE/>
              <w:autoSpaceDN/>
              <w:bidi w:val="0"/>
              <w:spacing w:after="0" w:afterLines="0" w:line="240" w:lineRule="auto"/>
              <w:jc w:val="center"/>
              <w:rPr>
                <w:rFonts w:hint="eastAsia" w:ascii="仿宋_GB2312" w:hAnsi="仿宋_GB2312" w:eastAsia="仿宋_GB2312" w:cs="仿宋_GB2312"/>
                <w:b w:val="0"/>
                <w:bCs w:val="0"/>
                <w:sz w:val="32"/>
                <w:szCs w:val="32"/>
                <w:highlight w:val="none"/>
              </w:rPr>
            </w:pPr>
            <w:r>
              <w:rPr>
                <w:rFonts w:hint="eastAsia" w:ascii="黑体" w:hAnsi="黑体" w:eastAsia="黑体" w:cs="黑体"/>
                <w:b w:val="0"/>
                <w:bCs w:val="0"/>
                <w:sz w:val="24"/>
                <w:highlight w:val="none"/>
                <w:lang w:bidi="ar"/>
              </w:rPr>
              <w:t>专栏10  新型城镇化建设工程</w:t>
            </w:r>
          </w:p>
        </w:tc>
      </w:tr>
      <w:tr w14:paraId="5DEE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3208973D">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1.城市基础设施系统化更新工程</w:t>
            </w:r>
          </w:p>
          <w:p w14:paraId="3FA907D2">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动昌江区住宅小区二次供水及管网设施改造项目、昌江区城乡供水管网改造项目、昌江区乡镇供水管网改造项目、鲇鱼山镇城乡集中供水管网整治提升项目、昌江区荷塘乡地下污水管网建设工程等一批供水管网改造与智慧化项目建设。</w:t>
            </w:r>
          </w:p>
          <w:p w14:paraId="2087763C">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推动景德镇市电厂周边排水管网设施提升工程、景德镇市西城区古城历尧昌飞片区排水管网和设施提升工程、昌江区部分城中村排水防涝设施建设项目等一批排水防涝设施项目建设。</w:t>
            </w:r>
          </w:p>
          <w:p w14:paraId="03780899">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推动昌江区地下综合管网智慧监测中心建设项目、景德镇市昌江区产业园区污水数字化处理中心建设项目等一批城市基础设施智慧监测与管理平台项目建设。</w:t>
            </w:r>
          </w:p>
          <w:p w14:paraId="17B1C3FA">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2.居住片区综合改造提升工程</w:t>
            </w:r>
          </w:p>
          <w:p w14:paraId="4E6FA4C6">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推动昌江区古窑瓷厂双龙里老旧厂区改造提升项目、昌江区中兴瓷厂老旧厂区改造提升项目等老旧厂区改造升级。</w:t>
            </w:r>
          </w:p>
          <w:p w14:paraId="766F1189">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推动昌江区中国陶瓷城老旧街区改造提升项目、昌江区锦绣昌南老旧街区改造提升项目等老旧街区改造提升。</w:t>
            </w:r>
          </w:p>
          <w:p w14:paraId="0EC9C167">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推动昌江区谭家山等片区改造提升建设项目、昌江区官庄片区改造提升建设项目等居住片区整体改造。</w:t>
            </w:r>
          </w:p>
          <w:p w14:paraId="41775D06">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动昌江区2026年河西片区城中村改造项目、昌江区沿江西路城中村改造项目、昌江区滨江西路古城村城中村改造项目、昌江区三河村城中村配套设施改造提升项目、昌江区官庄村城中村改造提升项目、昌江区吕蒙街道城中村改造提升工程等城中村更新改造。</w:t>
            </w:r>
          </w:p>
          <w:p w14:paraId="71BBD599">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推动昌江区西郊街道锦绣昌南片区整体提升项目、昌江区西郊街道无物业小区环境提升改造项目等社区环境与服务设施提升。</w:t>
            </w:r>
          </w:p>
          <w:p w14:paraId="4DC12711">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推动昌江区城市危旧房改造项目等危旧房屋改造与安全加固。</w:t>
            </w:r>
          </w:p>
          <w:p w14:paraId="0C7FD7DC">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3.重点功能片区高端化更新工程</w:t>
            </w:r>
          </w:p>
          <w:p w14:paraId="179A5954">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b w:val="0"/>
                <w:bCs w:val="0"/>
                <w:highlight w:val="none"/>
              </w:rPr>
            </w:pPr>
            <w:r>
              <w:rPr>
                <w:rFonts w:hint="eastAsia" w:ascii="仿宋_GB2312" w:hAnsi="仿宋_GB2312" w:eastAsia="仿宋_GB2312" w:cs="仿宋_GB2312"/>
                <w:b w:val="0"/>
                <w:bCs w:val="0"/>
                <w:sz w:val="24"/>
                <w:highlight w:val="none"/>
              </w:rPr>
              <w:t>推动昌江区高铁经济圈商业配套设施建设项目等商业商务功能区建设，优化公共空间与慢行系统。</w:t>
            </w:r>
          </w:p>
        </w:tc>
      </w:tr>
    </w:tbl>
    <w:p w14:paraId="4AFEF79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bookmarkStart w:id="3683" w:name="_Toc21407"/>
      <w:bookmarkStart w:id="3684" w:name="_Toc12177"/>
      <w:bookmarkStart w:id="3685" w:name="_Toc22929"/>
      <w:bookmarkStart w:id="3686" w:name="_Toc3757"/>
      <w:bookmarkStart w:id="3687" w:name="_Toc7513"/>
      <w:bookmarkStart w:id="3688" w:name="_Toc32712"/>
      <w:bookmarkStart w:id="3689" w:name="_Toc16378"/>
      <w:bookmarkStart w:id="3690" w:name="_Toc20166"/>
      <w:bookmarkStart w:id="3691" w:name="_Toc26817"/>
      <w:r>
        <w:rPr>
          <w:rFonts w:hint="eastAsia" w:ascii="仿宋_GB2312" w:hAnsi="仿宋_GB2312" w:eastAsia="仿宋_GB2312" w:cs="仿宋_GB2312"/>
          <w:b w:val="0"/>
          <w:bCs w:val="0"/>
          <w:sz w:val="32"/>
          <w:szCs w:val="32"/>
          <w:highlight w:val="none"/>
        </w:rPr>
        <w:br w:type="page"/>
      </w:r>
    </w:p>
    <w:p w14:paraId="26FFB54D">
      <w:pPr>
        <w:keepNext w:val="0"/>
        <w:keepLines w:val="0"/>
        <w:pageBreakBefore w:val="0"/>
        <w:widowControl w:val="0"/>
        <w:kinsoku/>
        <w:wordWrap/>
        <w:overflowPunct/>
        <w:topLinePunct w:val="0"/>
        <w:autoSpaceDE/>
        <w:autoSpaceDN/>
        <w:bidi w:val="0"/>
        <w:adjustRightInd w:val="0"/>
        <w:snapToGrid w:val="0"/>
        <w:spacing w:after="0" w:afterLines="0" w:line="560" w:lineRule="exact"/>
        <w:jc w:val="center"/>
        <w:textAlignment w:val="auto"/>
        <w:outlineLvl w:val="0"/>
        <w:rPr>
          <w:rFonts w:hint="eastAsia" w:ascii="方正小标宋简体" w:eastAsia="方正小标宋简体"/>
          <w:b w:val="0"/>
          <w:bCs w:val="0"/>
          <w:sz w:val="36"/>
          <w:szCs w:val="36"/>
          <w:highlight w:val="none"/>
        </w:rPr>
      </w:pPr>
      <w:bookmarkStart w:id="3692" w:name="_Toc26285"/>
      <w:bookmarkStart w:id="3693" w:name="_Toc26763"/>
      <w:bookmarkStart w:id="3694" w:name="_Toc17085"/>
      <w:bookmarkStart w:id="3695" w:name="_Toc11337"/>
      <w:bookmarkStart w:id="3696" w:name="_Toc15216"/>
      <w:bookmarkStart w:id="3697" w:name="_Toc6232"/>
      <w:bookmarkStart w:id="3698" w:name="_Toc29033"/>
      <w:bookmarkStart w:id="3699" w:name="_Toc5524"/>
      <w:bookmarkStart w:id="3700" w:name="_Toc25002"/>
      <w:bookmarkStart w:id="3701" w:name="_Toc12282"/>
      <w:bookmarkStart w:id="3702" w:name="_Toc6501"/>
      <w:bookmarkStart w:id="3703" w:name="_Toc2406"/>
      <w:bookmarkStart w:id="3704" w:name="_Toc1088"/>
      <w:bookmarkStart w:id="3705" w:name="_Toc9674"/>
      <w:bookmarkStart w:id="3706" w:name="_Toc9342"/>
      <w:bookmarkStart w:id="3707" w:name="_Toc10821"/>
      <w:bookmarkStart w:id="3708" w:name="_Toc21238"/>
      <w:bookmarkStart w:id="3709" w:name="_Toc231562136"/>
      <w:bookmarkStart w:id="3710" w:name="_Toc4877"/>
      <w:bookmarkStart w:id="3711" w:name="_Toc7651"/>
      <w:bookmarkStart w:id="3712" w:name="_Toc14447"/>
      <w:r>
        <w:rPr>
          <w:rFonts w:hint="eastAsia" w:ascii="方正小标宋简体" w:eastAsia="方正小标宋简体"/>
          <w:b w:val="0"/>
          <w:bCs w:val="0"/>
          <w:sz w:val="36"/>
          <w:szCs w:val="36"/>
          <w:highlight w:val="none"/>
        </w:rPr>
        <w:t>第十一篇  深化绿色低碳转型，筑牢永续发展生态根基</w:t>
      </w:r>
      <w:bookmarkEnd w:id="3683"/>
      <w:bookmarkEnd w:id="3684"/>
      <w:bookmarkEnd w:id="3685"/>
      <w:bookmarkEnd w:id="3686"/>
      <w:bookmarkEnd w:id="3687"/>
      <w:bookmarkEnd w:id="3688"/>
      <w:bookmarkEnd w:id="3689"/>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p>
    <w:p w14:paraId="05330CD6">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0C1DE41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绿色发展是中国式现代化的鲜明底色，也是推动高质量发展的生态支撑。坚持“绿水青山就是金山银山”理念，以碳达峰碳中和为引领，统筹推进降碳减排、污染防治、生态修复与绿色经济发展。强化大气、水体、土壤治理与生态系统修复，构建蓝绿交织、城乡一体、健康循环的生态网络。加快绿色基础设施和低碳交通体系建设，推广节能降碳技术和绿色生产生活方式。完善生态产品价值实现、生态补偿与生态损害赔偿制度，健全绿色发展价格、财税、金融政策和综合考核体系。以制度保障、技术支撑与市场引导相结合，推动绿色要素与经济发展深度融合，筑牢生态安全屏障。</w:t>
      </w:r>
    </w:p>
    <w:p w14:paraId="0A2079D4">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3713" w:name="_Toc22425"/>
      <w:bookmarkStart w:id="3714" w:name="_Toc752"/>
      <w:bookmarkStart w:id="3715" w:name="_Toc1573"/>
      <w:bookmarkStart w:id="3716" w:name="_Toc13073"/>
      <w:bookmarkStart w:id="3717" w:name="_Toc19957"/>
      <w:bookmarkStart w:id="3718" w:name="_Toc13021"/>
      <w:bookmarkStart w:id="3719" w:name="_Toc20369"/>
      <w:bookmarkStart w:id="3720" w:name="_Toc2739"/>
      <w:bookmarkStart w:id="3721" w:name="_Toc5098"/>
      <w:bookmarkStart w:id="3722" w:name="_Toc30723"/>
      <w:bookmarkStart w:id="3723" w:name="_Toc27372"/>
      <w:bookmarkStart w:id="3724" w:name="_Toc23206"/>
      <w:bookmarkStart w:id="3725" w:name="_Toc24016"/>
      <w:bookmarkStart w:id="3726" w:name="_Toc9249"/>
      <w:bookmarkStart w:id="3727" w:name="_Toc29437"/>
      <w:bookmarkStart w:id="3728" w:name="_Toc5378"/>
      <w:bookmarkStart w:id="3729" w:name="_Toc1530"/>
      <w:bookmarkStart w:id="3730" w:name="_Toc231562137"/>
      <w:bookmarkStart w:id="3731" w:name="_Toc13650"/>
      <w:bookmarkStart w:id="3732" w:name="_Toc19343"/>
      <w:bookmarkStart w:id="3733" w:name="_Toc18796"/>
      <w:bookmarkStart w:id="3734" w:name="_Toc31586"/>
      <w:bookmarkStart w:id="3735" w:name="_Toc27410"/>
      <w:bookmarkStart w:id="3736" w:name="_Toc4169"/>
      <w:bookmarkStart w:id="3737" w:name="_Toc2903"/>
      <w:bookmarkStart w:id="3738" w:name="_Toc32611"/>
      <w:bookmarkStart w:id="3739" w:name="_Toc11690"/>
      <w:bookmarkStart w:id="3740" w:name="_Toc30730"/>
      <w:bookmarkStart w:id="3741" w:name="_Toc13845"/>
      <w:bookmarkStart w:id="3742" w:name="_Toc3788"/>
      <w:bookmarkStart w:id="3743" w:name="_Toc20592"/>
      <w:r>
        <w:rPr>
          <w:rFonts w:hint="eastAsia" w:ascii="黑体" w:hAnsi="黑体" w:eastAsia="黑体"/>
          <w:b w:val="0"/>
          <w:bCs w:val="0"/>
          <w:sz w:val="32"/>
          <w:szCs w:val="32"/>
          <w:highlight w:val="none"/>
        </w:rPr>
        <w:t xml:space="preserve">第一章  </w:t>
      </w:r>
      <w:bookmarkEnd w:id="3713"/>
      <w:bookmarkEnd w:id="3714"/>
      <w:bookmarkEnd w:id="3715"/>
      <w:r>
        <w:rPr>
          <w:rFonts w:hint="eastAsia" w:ascii="黑体" w:hAnsi="黑体" w:eastAsia="黑体"/>
          <w:b w:val="0"/>
          <w:bCs w:val="0"/>
          <w:sz w:val="32"/>
          <w:szCs w:val="32"/>
          <w:highlight w:val="none"/>
        </w:rPr>
        <w:t>巩固提升生态环境质量</w:t>
      </w:r>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p>
    <w:p w14:paraId="2E16DFA9">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744" w:name="_Toc20805"/>
      <w:bookmarkStart w:id="3745" w:name="_Toc19384"/>
      <w:bookmarkStart w:id="3746" w:name="_Toc3481"/>
      <w:bookmarkStart w:id="3747" w:name="_Toc31313"/>
      <w:bookmarkStart w:id="3748" w:name="_Toc23500"/>
      <w:bookmarkStart w:id="3749" w:name="_Toc7720"/>
      <w:bookmarkStart w:id="3750" w:name="_Toc17514"/>
      <w:bookmarkStart w:id="3751" w:name="_Toc231562138"/>
      <w:bookmarkStart w:id="3752" w:name="_Toc22805"/>
      <w:bookmarkStart w:id="3753" w:name="_Toc13518"/>
      <w:bookmarkStart w:id="3754" w:name="_Toc17877"/>
      <w:bookmarkStart w:id="3755" w:name="_Toc24213"/>
      <w:bookmarkStart w:id="3756" w:name="_Toc1327"/>
      <w:bookmarkStart w:id="3757" w:name="_Toc14584"/>
      <w:bookmarkStart w:id="3758" w:name="_Toc8510"/>
      <w:bookmarkStart w:id="3759" w:name="_Toc19499"/>
      <w:bookmarkStart w:id="3760" w:name="_Toc19586"/>
      <w:bookmarkStart w:id="3761" w:name="_Toc25869"/>
      <w:bookmarkStart w:id="3762" w:name="_Toc11729"/>
      <w:bookmarkStart w:id="3763" w:name="_Toc7757"/>
      <w:bookmarkStart w:id="3764" w:name="_Toc5501"/>
      <w:bookmarkStart w:id="3765" w:name="_Toc31386"/>
      <w:bookmarkStart w:id="3766" w:name="_Toc22707"/>
      <w:bookmarkStart w:id="3767" w:name="_Toc10241"/>
      <w:bookmarkStart w:id="3768" w:name="_Toc19257"/>
      <w:bookmarkStart w:id="3769" w:name="_Toc25752"/>
      <w:bookmarkStart w:id="3770" w:name="_Toc26844"/>
      <w:bookmarkStart w:id="3771" w:name="_Toc25483"/>
      <w:bookmarkStart w:id="3772" w:name="_Toc14838"/>
      <w:bookmarkStart w:id="3773" w:name="_Toc25650"/>
      <w:bookmarkStart w:id="3774" w:name="_Toc5644"/>
      <w:r>
        <w:rPr>
          <w:rFonts w:hint="eastAsia" w:ascii="楷体_GB2312" w:hAnsi="楷体_GB2312" w:eastAsia="楷体_GB2312" w:cs="楷体_GB2312"/>
          <w:b w:val="0"/>
          <w:bCs w:val="0"/>
          <w:sz w:val="32"/>
          <w:szCs w:val="32"/>
          <w:highlight w:val="none"/>
        </w:rPr>
        <w:t xml:space="preserve">第一节 </w:t>
      </w:r>
      <w:bookmarkEnd w:id="3744"/>
      <w:bookmarkEnd w:id="3745"/>
      <w:bookmarkEnd w:id="3746"/>
      <w:r>
        <w:rPr>
          <w:rFonts w:hint="eastAsia" w:ascii="楷体_GB2312" w:hAnsi="楷体_GB2312" w:eastAsia="楷体_GB2312" w:cs="楷体_GB2312"/>
          <w:b w:val="0"/>
          <w:bCs w:val="0"/>
          <w:sz w:val="32"/>
          <w:szCs w:val="32"/>
          <w:highlight w:val="none"/>
        </w:rPr>
        <w:t xml:space="preserve"> 深化重点领域污染防治</w:t>
      </w:r>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p>
    <w:p w14:paraId="5E27B0C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深化大气污染协同防治。聚焦工业源、移动源、扬尘源三大领域，实施多污染物协同控制。重点针对陶瓷、建材等高排放产业，全面推进超低排放改造和清洁生产技术应用。强化挥发性有机物（VOCs）源头替代和过程管控，加强施工、道路、堆场扬尘精细化治理。加快绿色交通体系建设，大力推广新能源汽车及充电设施，推动公交、环卫、物流等公共领域车辆“油改电”进程，持续改善空气质量。</w:t>
      </w:r>
    </w:p>
    <w:p w14:paraId="4D6CF93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进水环境水生态系统治理。坚持“保好水、治差水”，深入落实河（湖）长制。加快城镇污水处理厂改扩建和提标改造，全面推进建成区雨污分流，系统化整治老旧管网。统筹推进农业面源污染防治，推广测土配方施肥、生态种养和人工湿地等模式。实施重点湖库保护工程，提升水体自净能力和水生态系统的稳定性和承载力，确保“一江清水”向东流。</w:t>
      </w:r>
    </w:p>
    <w:p w14:paraId="39EBECB6">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土壤污染风险管控与修复。建立土壤污染隐患排查和重点监管单位名录制度，加强对农用地和建设用地的土壤环境监测。严格建设用地准入管理，依法开展地块土壤污染状况调查评估。稳步推进受污染耕地安全利用和治理修复，强化重点区域土壤污染风险管控，保障农产品质量安全和人居环境安全。</w:t>
      </w:r>
    </w:p>
    <w:p w14:paraId="34F05A3D">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775" w:name="_Toc29956"/>
      <w:bookmarkStart w:id="3776" w:name="_Toc25832"/>
      <w:bookmarkStart w:id="3777" w:name="_Toc2600"/>
      <w:bookmarkStart w:id="3778" w:name="_Toc1648"/>
      <w:bookmarkStart w:id="3779" w:name="_Toc17700"/>
      <w:bookmarkStart w:id="3780" w:name="_Toc8750"/>
      <w:bookmarkStart w:id="3781" w:name="_Toc3372"/>
      <w:bookmarkStart w:id="3782" w:name="_Toc2882"/>
      <w:bookmarkStart w:id="3783" w:name="_Toc14220"/>
      <w:bookmarkStart w:id="3784" w:name="_Toc7216"/>
      <w:bookmarkStart w:id="3785" w:name="_Toc12872"/>
      <w:bookmarkStart w:id="3786" w:name="_Toc10231"/>
      <w:bookmarkStart w:id="3787" w:name="_Toc7932"/>
      <w:bookmarkStart w:id="3788" w:name="_Toc11052"/>
      <w:bookmarkStart w:id="3789" w:name="_Toc16920"/>
      <w:bookmarkStart w:id="3790" w:name="_Toc4206"/>
      <w:bookmarkStart w:id="3791" w:name="_Toc11915"/>
      <w:bookmarkStart w:id="3792" w:name="_Toc14874"/>
      <w:bookmarkStart w:id="3793" w:name="_Toc4502"/>
      <w:bookmarkStart w:id="3794" w:name="_Toc30104"/>
      <w:bookmarkStart w:id="3795" w:name="_Toc32701"/>
      <w:bookmarkStart w:id="3796" w:name="_Toc4444"/>
      <w:bookmarkStart w:id="3797" w:name="_Toc27877"/>
      <w:bookmarkStart w:id="3798" w:name="_Toc18737"/>
      <w:bookmarkStart w:id="3799" w:name="_Toc10434"/>
      <w:bookmarkStart w:id="3800" w:name="_Toc25076"/>
      <w:bookmarkStart w:id="3801" w:name="_Toc24533"/>
      <w:bookmarkStart w:id="3802" w:name="_Toc15036"/>
      <w:bookmarkStart w:id="3803" w:name="_Toc24302"/>
      <w:bookmarkStart w:id="3804" w:name="_Toc15495"/>
      <w:bookmarkStart w:id="3805" w:name="_Toc231562139"/>
      <w:r>
        <w:rPr>
          <w:rFonts w:hint="eastAsia" w:ascii="楷体_GB2312" w:hAnsi="楷体_GB2312" w:eastAsia="楷体_GB2312" w:cs="楷体_GB2312"/>
          <w:b w:val="0"/>
          <w:bCs w:val="0"/>
          <w:sz w:val="32"/>
          <w:szCs w:val="32"/>
          <w:highlight w:val="none"/>
        </w:rPr>
        <w:t xml:space="preserve">第二节 </w:t>
      </w:r>
      <w:bookmarkEnd w:id="3775"/>
      <w:bookmarkEnd w:id="3776"/>
      <w:bookmarkEnd w:id="3777"/>
      <w:r>
        <w:rPr>
          <w:rFonts w:hint="eastAsia" w:ascii="楷体_GB2312" w:hAnsi="楷体_GB2312" w:eastAsia="楷体_GB2312" w:cs="楷体_GB2312"/>
          <w:b w:val="0"/>
          <w:bCs w:val="0"/>
          <w:sz w:val="32"/>
          <w:szCs w:val="32"/>
          <w:highlight w:val="none"/>
        </w:rPr>
        <w:t xml:space="preserve"> 加强固废与新污染物治理</w:t>
      </w:r>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p>
    <w:p w14:paraId="73B74742">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高标准推进“无废城市”建设。建立健全生活垃圾分类投放、分类收集、分类运输、分类处理的全链条体系，提高资源化利用水平。加强工业固体废物、建筑垃圾、危险废物、医疗废物的全过程监管，推动源头减量和循环利用。探索建立绿色供应链管理体系，推动循环经济发展，从源头上减少固体废物的产生。</w:t>
      </w:r>
    </w:p>
    <w:p w14:paraId="27F73F3B">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开展新污染物协同治理。建立化学物质环境风险评估与管控体系，针对重点行业、重点企业开展有毒有害化学物质生产使用情况调查。实施新污染物排放清单管理，加强对重点管控新污染物的环境监测。探索开展重点区域新污染物治理试点，逐步削减其在环境中的存量，有效防范环境与健康风险。</w:t>
      </w:r>
    </w:p>
    <w:p w14:paraId="623268A5">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806" w:name="_Toc24379"/>
      <w:bookmarkStart w:id="3807" w:name="_Toc22278"/>
      <w:bookmarkStart w:id="3808" w:name="_Toc26647"/>
      <w:bookmarkStart w:id="3809" w:name="_Toc28885"/>
      <w:bookmarkStart w:id="3810" w:name="_Toc24971"/>
      <w:bookmarkStart w:id="3811" w:name="_Toc15841"/>
      <w:bookmarkStart w:id="3812" w:name="_Toc231562140"/>
      <w:bookmarkStart w:id="3813" w:name="_Toc6507"/>
      <w:bookmarkStart w:id="3814" w:name="_Toc5322"/>
      <w:bookmarkStart w:id="3815" w:name="_Toc18915"/>
      <w:bookmarkStart w:id="3816" w:name="_Toc6394"/>
      <w:bookmarkStart w:id="3817" w:name="_Toc16885"/>
      <w:bookmarkStart w:id="3818" w:name="_Toc20963"/>
      <w:bookmarkStart w:id="3819" w:name="_Toc30007"/>
      <w:bookmarkStart w:id="3820" w:name="_Toc28262"/>
      <w:bookmarkStart w:id="3821" w:name="_Toc17590"/>
      <w:bookmarkStart w:id="3822" w:name="_Toc29880"/>
      <w:bookmarkStart w:id="3823" w:name="_Toc19505"/>
      <w:bookmarkStart w:id="3824" w:name="_Toc27674"/>
      <w:bookmarkStart w:id="3825" w:name="_Toc26462"/>
      <w:bookmarkStart w:id="3826" w:name="_Toc25192"/>
      <w:bookmarkStart w:id="3827" w:name="_Toc23221"/>
      <w:bookmarkStart w:id="3828" w:name="_Toc803"/>
      <w:bookmarkStart w:id="3829" w:name="_Toc9717"/>
      <w:r>
        <w:rPr>
          <w:rFonts w:hint="eastAsia" w:ascii="楷体_GB2312" w:hAnsi="楷体_GB2312" w:eastAsia="楷体_GB2312" w:cs="楷体_GB2312"/>
          <w:b w:val="0"/>
          <w:bCs w:val="0"/>
          <w:sz w:val="32"/>
          <w:szCs w:val="32"/>
          <w:highlight w:val="none"/>
        </w:rPr>
        <w:t>第三节  构建现代环境治理体系</w:t>
      </w:r>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p>
    <w:p w14:paraId="4EA143A4">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生态环境治理责任与制度体系。完善“党政同责、一岗双责”责任体系，将生态文明建设纳入经济社会发展综合评价，作为领导班子和干部考核重要依据。实行最严格的生态环境保护制度，全面落实企业环保主体责任，推行排污许可“一证式”管理，健全生态环境损害赔偿、生态补偿、环保信用评价和责任追究机制，形成权责清晰、齐抓共管、失职必究的严密责任链条。</w:t>
      </w:r>
    </w:p>
    <w:p w14:paraId="49B18D0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提升生态环境智慧监管执法效能。构建“天空地”一体化智慧监测网络，建设全区统一生态环境大数据平台，运用大数据、人工智能等技术，实现环境质量、污染源和生态状况的精准溯源、智能预警和综合分析。深化综合行政执法改革，统筹执法资源，推行“远程监管”“移动监管”等非现场执法模式，建立跨部门、跨区域执法联动机制，严厉打击偷排漏排、超标排放、数据造假等违法行为，形成高压震慑。</w:t>
      </w:r>
    </w:p>
    <w:p w14:paraId="2D63BDCB">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构建多元共治格局。健全环境信息依法披露制度，保障公众知情权、参与权和监督权。畅通“12369”环保举报热线及网络平台，完善举报奖励和保护机制。支持环保社会组织、志愿者队伍有序参与，发挥行业协会、商会自律作用，营造全社会共同关心、支持和参与生态环境保护的良好氛围。</w:t>
      </w:r>
    </w:p>
    <w:p w14:paraId="68113B13">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3830" w:name="_Toc17252"/>
      <w:bookmarkStart w:id="3831" w:name="_Toc23383"/>
      <w:bookmarkStart w:id="3832" w:name="_Toc27296"/>
      <w:bookmarkStart w:id="3833" w:name="_Toc964"/>
      <w:bookmarkStart w:id="3834" w:name="_Toc451"/>
      <w:bookmarkStart w:id="3835" w:name="_Toc834"/>
      <w:bookmarkStart w:id="3836" w:name="_Toc23076"/>
      <w:bookmarkStart w:id="3837" w:name="_Toc15040"/>
      <w:bookmarkStart w:id="3838" w:name="_Toc25434"/>
      <w:bookmarkStart w:id="3839" w:name="_Toc10703"/>
      <w:bookmarkStart w:id="3840" w:name="_Toc842"/>
      <w:bookmarkStart w:id="3841" w:name="_Toc8592"/>
      <w:bookmarkStart w:id="3842" w:name="_Toc22946"/>
      <w:bookmarkStart w:id="3843" w:name="_Toc12389"/>
      <w:bookmarkStart w:id="3844" w:name="_Toc16375"/>
      <w:bookmarkStart w:id="3845" w:name="_Toc31500"/>
      <w:bookmarkStart w:id="3846" w:name="_Toc19613"/>
      <w:bookmarkStart w:id="3847" w:name="_Toc11528"/>
      <w:bookmarkStart w:id="3848" w:name="_Toc10563"/>
      <w:bookmarkStart w:id="3849" w:name="_Toc5436"/>
      <w:bookmarkStart w:id="3850" w:name="_Toc4070"/>
      <w:bookmarkStart w:id="3851" w:name="_Toc5738"/>
      <w:bookmarkStart w:id="3852" w:name="_Toc27264"/>
      <w:bookmarkStart w:id="3853" w:name="_Toc15833"/>
      <w:bookmarkStart w:id="3854" w:name="_Toc31569"/>
      <w:bookmarkStart w:id="3855" w:name="_Toc16415"/>
      <w:bookmarkStart w:id="3856" w:name="_Toc16242"/>
      <w:bookmarkStart w:id="3857" w:name="_Toc24438"/>
      <w:bookmarkStart w:id="3858" w:name="_Toc231562141"/>
      <w:bookmarkStart w:id="3859" w:name="_Toc7476"/>
      <w:bookmarkStart w:id="3860" w:name="_Toc28775"/>
      <w:r>
        <w:rPr>
          <w:rFonts w:hint="eastAsia" w:ascii="黑体" w:hAnsi="黑体" w:eastAsia="黑体"/>
          <w:b w:val="0"/>
          <w:bCs w:val="0"/>
          <w:sz w:val="32"/>
          <w:szCs w:val="32"/>
          <w:highlight w:val="none"/>
        </w:rPr>
        <w:t xml:space="preserve">第二章  </w:t>
      </w:r>
      <w:bookmarkEnd w:id="3830"/>
      <w:bookmarkEnd w:id="3831"/>
      <w:bookmarkEnd w:id="3832"/>
      <w:r>
        <w:rPr>
          <w:rFonts w:hint="eastAsia" w:ascii="黑体" w:hAnsi="黑体" w:eastAsia="黑体"/>
          <w:b w:val="0"/>
          <w:bCs w:val="0"/>
          <w:sz w:val="32"/>
          <w:szCs w:val="32"/>
          <w:highlight w:val="none"/>
        </w:rPr>
        <w:t>提升生态系统</w:t>
      </w:r>
      <w:bookmarkEnd w:id="3833"/>
      <w:bookmarkEnd w:id="3834"/>
      <w:bookmarkEnd w:id="3835"/>
      <w:bookmarkEnd w:id="3836"/>
      <w:r>
        <w:rPr>
          <w:rFonts w:hint="eastAsia" w:ascii="黑体" w:hAnsi="黑体" w:eastAsia="黑体"/>
          <w:b w:val="0"/>
          <w:bCs w:val="0"/>
          <w:sz w:val="32"/>
          <w:szCs w:val="32"/>
          <w:highlight w:val="none"/>
        </w:rPr>
        <w:t>韧性</w:t>
      </w:r>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p>
    <w:p w14:paraId="2D49EA4B">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861" w:name="_Toc20614"/>
      <w:bookmarkStart w:id="3862" w:name="_Toc22893"/>
      <w:bookmarkStart w:id="3863" w:name="_Toc9837"/>
      <w:bookmarkStart w:id="3864" w:name="_Toc231562142"/>
      <w:bookmarkStart w:id="3865" w:name="_Toc3455"/>
      <w:bookmarkStart w:id="3866" w:name="_Toc31732"/>
      <w:bookmarkStart w:id="3867" w:name="_Toc26771"/>
      <w:bookmarkStart w:id="3868" w:name="_Toc2920"/>
      <w:bookmarkStart w:id="3869" w:name="_Toc26200"/>
      <w:bookmarkStart w:id="3870" w:name="_Toc22271"/>
      <w:bookmarkStart w:id="3871" w:name="_Toc19746"/>
      <w:bookmarkStart w:id="3872" w:name="_Toc9746"/>
      <w:bookmarkStart w:id="3873" w:name="_Toc25172"/>
      <w:bookmarkStart w:id="3874" w:name="_Toc12365"/>
      <w:bookmarkStart w:id="3875" w:name="_Toc7452"/>
      <w:bookmarkStart w:id="3876" w:name="_Toc27585"/>
      <w:bookmarkStart w:id="3877" w:name="_Toc3808"/>
      <w:bookmarkStart w:id="3878" w:name="_Toc25509"/>
      <w:bookmarkStart w:id="3879" w:name="_Toc8969"/>
      <w:bookmarkStart w:id="3880" w:name="_Toc15363"/>
      <w:bookmarkStart w:id="3881" w:name="_Toc2018"/>
      <w:bookmarkStart w:id="3882" w:name="_Toc15698"/>
      <w:bookmarkStart w:id="3883" w:name="_Toc12827"/>
      <w:bookmarkStart w:id="3884" w:name="_Toc15289"/>
      <w:r>
        <w:rPr>
          <w:rFonts w:hint="eastAsia" w:ascii="楷体_GB2312" w:hAnsi="楷体_GB2312" w:eastAsia="楷体_GB2312" w:cs="楷体_GB2312"/>
          <w:b w:val="0"/>
          <w:bCs w:val="0"/>
          <w:sz w:val="32"/>
          <w:szCs w:val="32"/>
          <w:highlight w:val="none"/>
        </w:rPr>
        <w:t>第一节  构建韧性水生态网络</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p>
    <w:p w14:paraId="1F2B8BBF">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统筹推进水资源、水环境、水生态“三水”共治。以昌江流域为核心，实施“一江一库一湖”生态连通、水源涵养和水土保持工程，系统恢复河湖湿地自然连通与生态功能，提升水生态系统稳定性与自净能力。加快城镇污水处理厂提标改造、雨污分流和农业面源污染治理，确保“一江清水”向东流。将海绵城市建设与乡村小微水体管护深度融合，构建蓝绿交织、城乡一体、抗扰动能力强、健康循环的韧性水生态网络。</w:t>
      </w:r>
    </w:p>
    <w:p w14:paraId="4615C64B">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水资源刚性约束与节约集约利用。严格落实最严格水资源管理制度，实施消耗总量和强度“双控”。全面推广节水技术与器具，在工业、农业、生活领域深化节水行动。健全水权市场化交易机制，优化水资源配置效率，提升水生态系统应对干旱与短缺的韧性。</w:t>
      </w:r>
    </w:p>
    <w:p w14:paraId="7107A6C1">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885" w:name="_Toc21243"/>
      <w:bookmarkStart w:id="3886" w:name="_Toc5617"/>
      <w:bookmarkStart w:id="3887" w:name="_Toc18906"/>
      <w:bookmarkStart w:id="3888" w:name="_Toc29134"/>
      <w:bookmarkStart w:id="3889" w:name="_Toc18873"/>
      <w:bookmarkStart w:id="3890" w:name="_Toc28975"/>
      <w:bookmarkStart w:id="3891" w:name="_Toc7388"/>
      <w:bookmarkStart w:id="3892" w:name="_Toc29848"/>
      <w:bookmarkStart w:id="3893" w:name="_Toc21025"/>
      <w:bookmarkStart w:id="3894" w:name="_Toc10188"/>
      <w:bookmarkStart w:id="3895" w:name="_Toc5154"/>
      <w:bookmarkStart w:id="3896" w:name="_Toc11461"/>
      <w:bookmarkStart w:id="3897" w:name="_Toc15800"/>
      <w:bookmarkStart w:id="3898" w:name="_Toc7693"/>
      <w:bookmarkStart w:id="3899" w:name="_Toc4733"/>
      <w:bookmarkStart w:id="3900" w:name="_Toc14717"/>
      <w:bookmarkStart w:id="3901" w:name="_Toc7252"/>
      <w:bookmarkStart w:id="3902" w:name="_Toc231562143"/>
      <w:bookmarkStart w:id="3903" w:name="_Toc17529"/>
      <w:bookmarkStart w:id="3904" w:name="_Toc4155"/>
      <w:bookmarkStart w:id="3905" w:name="_Toc30372"/>
      <w:bookmarkStart w:id="3906" w:name="_Toc18628"/>
      <w:bookmarkStart w:id="3907" w:name="_Toc15715"/>
      <w:bookmarkStart w:id="3908" w:name="_Toc27068"/>
      <w:r>
        <w:rPr>
          <w:rFonts w:hint="eastAsia" w:ascii="楷体_GB2312" w:hAnsi="楷体_GB2312" w:eastAsia="楷体_GB2312" w:cs="楷体_GB2312"/>
          <w:b w:val="0"/>
          <w:bCs w:val="0"/>
          <w:sz w:val="32"/>
          <w:szCs w:val="32"/>
          <w:highlight w:val="none"/>
        </w:rPr>
        <w:t>第二节  筑牢森林生态安全屏障</w:t>
      </w:r>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p>
    <w:p w14:paraId="593DC91A">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科学推进国土绿化和森林质量提升。严格保护现有林地，持续实施封山育林、人工造林和退化林修复，稳步扩大林草覆盖。推进森林质量精准提升工程，优化林分结构，提升碳汇能力、水源涵养功能和生物多样性，增强森林生态系统稳定性和抗风险能力。</w:t>
      </w:r>
    </w:p>
    <w:p w14:paraId="5B0DF2E9">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森林资源保护与灾害防治。严格执行采伐限额管理，严厉打击毁林开垦、非法占用林地等行为。加强野生动植物保护，完善森林防火和林业有害生物防治体系，综合运用卫星遥感、无人机巡护等技术，提升火险与病虫害监测预警、快速响应和应急处置能力，切实守护森林资源，筑牢昌江生态安全屏障。</w:t>
      </w:r>
    </w:p>
    <w:p w14:paraId="4AC08313">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909" w:name="_Toc26681"/>
      <w:bookmarkStart w:id="3910" w:name="_Toc20171"/>
      <w:bookmarkStart w:id="3911" w:name="_Toc12539"/>
      <w:bookmarkStart w:id="3912" w:name="_Toc231562144"/>
      <w:bookmarkStart w:id="3913" w:name="_Toc32610"/>
      <w:bookmarkStart w:id="3914" w:name="_Toc27672"/>
      <w:bookmarkStart w:id="3915" w:name="_Toc30103"/>
      <w:bookmarkStart w:id="3916" w:name="_Toc31173"/>
      <w:bookmarkStart w:id="3917" w:name="_Toc23162"/>
      <w:bookmarkStart w:id="3918" w:name="_Toc18571"/>
      <w:bookmarkStart w:id="3919" w:name="_Toc29994"/>
      <w:bookmarkStart w:id="3920" w:name="_Toc30640"/>
      <w:bookmarkStart w:id="3921" w:name="_Toc12644"/>
      <w:bookmarkStart w:id="3922" w:name="_Toc22250"/>
      <w:bookmarkStart w:id="3923" w:name="_Toc2972"/>
      <w:bookmarkStart w:id="3924" w:name="_Toc18699"/>
      <w:bookmarkStart w:id="3925" w:name="_Toc8872"/>
      <w:bookmarkStart w:id="3926" w:name="_Toc13088"/>
      <w:bookmarkStart w:id="3927" w:name="_Toc21642"/>
      <w:bookmarkStart w:id="3928" w:name="_Toc14861"/>
      <w:bookmarkStart w:id="3929" w:name="_Toc22518"/>
      <w:bookmarkStart w:id="3930" w:name="_Toc8344"/>
      <w:bookmarkStart w:id="3931" w:name="_Toc11253"/>
      <w:bookmarkStart w:id="3932" w:name="_Toc25452"/>
      <w:r>
        <w:rPr>
          <w:rFonts w:hint="eastAsia" w:ascii="楷体_GB2312" w:hAnsi="楷体_GB2312" w:eastAsia="楷体_GB2312" w:cs="楷体_GB2312"/>
          <w:b w:val="0"/>
          <w:bCs w:val="0"/>
          <w:sz w:val="32"/>
          <w:szCs w:val="32"/>
          <w:highlight w:val="none"/>
        </w:rPr>
        <w:t>第三节  健全生态产品价值实现机制</w:t>
      </w:r>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p>
    <w:p w14:paraId="272A9D0B">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建立生态产品调查监测和价值核算体系。开展森林、湿地、水流等重要生态系统资源普查，摸清生态产品数量、质量与空间分布，建立动态目录清单。探索符合本区实际的生态产品总值核算方法和技术规范，推动生态优势量化显化，为韧性生态系统保护提供价值依据。</w:t>
      </w:r>
    </w:p>
    <w:p w14:paraId="18B3B5AF">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探索多元化生态产品市场化实现路径。大力发展生态旅游、森林康养、休闲度假、绿色有机种养等生态产业，将生态优势转化为经济优势。稳步推进林业、湿地、碳汇项目开发，积极参与全国及区域碳排放权交易。探索排污权、水权、用能权等环境权益交易，实现生态产品环境效益向经济回报转化。</w:t>
      </w:r>
    </w:p>
    <w:p w14:paraId="0C054663">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生态保护补偿和损害赔偿制度。积极争取国家和省市重点生态功能区转移支付等纵向补偿。探索参与流域上下游、左右岸横向生态保护补偿机制，形成成本共担、效益共享、合作共治格局。坚持“谁破坏、谁赔偿”原则，依法追究生态损害责任，强化生态系统保护的长效保障。</w:t>
      </w:r>
    </w:p>
    <w:p w14:paraId="3DCE106A">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3933" w:name="_Toc3959"/>
      <w:bookmarkStart w:id="3934" w:name="_Toc31206"/>
      <w:bookmarkStart w:id="3935" w:name="_Toc8371"/>
      <w:bookmarkStart w:id="3936" w:name="_Toc231562145"/>
      <w:bookmarkStart w:id="3937" w:name="_Toc19373"/>
      <w:bookmarkStart w:id="3938" w:name="_Toc4146"/>
      <w:bookmarkStart w:id="3939" w:name="_Toc21315"/>
      <w:bookmarkStart w:id="3940" w:name="_Toc20609"/>
      <w:bookmarkStart w:id="3941" w:name="_Toc25163"/>
      <w:bookmarkStart w:id="3942" w:name="_Toc28981"/>
      <w:bookmarkStart w:id="3943" w:name="_Toc28548"/>
      <w:bookmarkStart w:id="3944" w:name="_Toc348"/>
      <w:bookmarkStart w:id="3945" w:name="_Toc29380"/>
      <w:bookmarkStart w:id="3946" w:name="_Toc21261"/>
      <w:bookmarkStart w:id="3947" w:name="_Toc4457"/>
      <w:bookmarkStart w:id="3948" w:name="_Toc22184"/>
      <w:bookmarkStart w:id="3949" w:name="_Toc11333"/>
      <w:bookmarkStart w:id="3950" w:name="_Toc8475"/>
      <w:bookmarkStart w:id="3951" w:name="_Toc9096"/>
      <w:bookmarkStart w:id="3952" w:name="_Toc15828"/>
      <w:bookmarkStart w:id="3953" w:name="_Toc17011"/>
      <w:bookmarkStart w:id="3954" w:name="_Toc31581"/>
      <w:bookmarkStart w:id="3955" w:name="_Toc11507"/>
      <w:bookmarkStart w:id="3956" w:name="_Toc29875"/>
      <w:bookmarkStart w:id="3957" w:name="_Toc26731"/>
      <w:bookmarkStart w:id="3958" w:name="_Toc20756"/>
      <w:bookmarkStart w:id="3959" w:name="_Toc28283"/>
      <w:bookmarkStart w:id="3960" w:name="_Toc17371"/>
      <w:bookmarkStart w:id="3961" w:name="_Toc8075"/>
      <w:bookmarkStart w:id="3962" w:name="_Toc26749"/>
      <w:bookmarkStart w:id="3963" w:name="_Toc24039"/>
      <w:r>
        <w:rPr>
          <w:rFonts w:hint="eastAsia" w:ascii="黑体" w:hAnsi="黑体" w:eastAsia="黑体"/>
          <w:b w:val="0"/>
          <w:bCs w:val="0"/>
          <w:sz w:val="32"/>
          <w:szCs w:val="32"/>
          <w:highlight w:val="none"/>
        </w:rPr>
        <w:t xml:space="preserve">第三章  </w:t>
      </w:r>
      <w:bookmarkEnd w:id="3933"/>
      <w:bookmarkEnd w:id="3934"/>
      <w:bookmarkEnd w:id="3935"/>
      <w:r>
        <w:rPr>
          <w:rFonts w:hint="eastAsia" w:ascii="黑体" w:hAnsi="黑体" w:eastAsia="黑体"/>
          <w:b w:val="0"/>
          <w:bCs w:val="0"/>
          <w:sz w:val="32"/>
          <w:szCs w:val="32"/>
          <w:highlight w:val="none"/>
        </w:rPr>
        <w:t>加快推动发展方式绿色转型</w:t>
      </w:r>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p>
    <w:p w14:paraId="5280F51D">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964" w:name="_Toc13714"/>
      <w:bookmarkStart w:id="3965" w:name="_Toc31107"/>
      <w:bookmarkStart w:id="3966" w:name="_Toc6430"/>
      <w:bookmarkStart w:id="3967" w:name="_Toc28165"/>
      <w:bookmarkStart w:id="3968" w:name="_Toc5232"/>
      <w:bookmarkStart w:id="3969" w:name="_Toc6313"/>
      <w:bookmarkStart w:id="3970" w:name="_Toc19482"/>
      <w:bookmarkStart w:id="3971" w:name="_Toc31452"/>
      <w:bookmarkStart w:id="3972" w:name="_Toc25206"/>
      <w:bookmarkStart w:id="3973" w:name="_Toc24137"/>
      <w:bookmarkStart w:id="3974" w:name="_Toc24804"/>
      <w:bookmarkStart w:id="3975" w:name="_Toc21850"/>
      <w:bookmarkStart w:id="3976" w:name="_Toc7632"/>
      <w:bookmarkStart w:id="3977" w:name="_Toc27784"/>
      <w:bookmarkStart w:id="3978" w:name="_Toc9354"/>
      <w:bookmarkStart w:id="3979" w:name="_Toc8033"/>
      <w:bookmarkStart w:id="3980" w:name="_Toc9847"/>
      <w:bookmarkStart w:id="3981" w:name="_Toc29716"/>
      <w:bookmarkStart w:id="3982" w:name="_Toc14409"/>
      <w:bookmarkStart w:id="3983" w:name="_Toc27122"/>
      <w:bookmarkStart w:id="3984" w:name="_Toc16032"/>
      <w:bookmarkStart w:id="3985" w:name="_Toc17168"/>
      <w:bookmarkStart w:id="3986" w:name="_Toc7485"/>
      <w:bookmarkStart w:id="3987" w:name="_Toc639"/>
      <w:bookmarkStart w:id="3988" w:name="_Toc13574"/>
      <w:bookmarkStart w:id="3989" w:name="_Toc31405"/>
      <w:bookmarkStart w:id="3990" w:name="_Toc21192"/>
      <w:bookmarkStart w:id="3991" w:name="_Toc26891"/>
      <w:bookmarkStart w:id="3992" w:name="_Toc231562146"/>
      <w:bookmarkStart w:id="3993" w:name="_Toc11574"/>
      <w:bookmarkStart w:id="3994" w:name="_Toc31022"/>
      <w:r>
        <w:rPr>
          <w:rFonts w:hint="eastAsia" w:ascii="楷体_GB2312" w:hAnsi="楷体_GB2312" w:eastAsia="楷体_GB2312" w:cs="楷体_GB2312"/>
          <w:b w:val="0"/>
          <w:bCs w:val="0"/>
          <w:sz w:val="32"/>
          <w:szCs w:val="32"/>
          <w:highlight w:val="none"/>
        </w:rPr>
        <w:t xml:space="preserve">第一节 </w:t>
      </w:r>
      <w:bookmarkEnd w:id="3964"/>
      <w:r>
        <w:rPr>
          <w:rFonts w:hint="eastAsia" w:ascii="楷体_GB2312" w:hAnsi="楷体_GB2312" w:eastAsia="楷体_GB2312" w:cs="楷体_GB2312"/>
          <w:b w:val="0"/>
          <w:bCs w:val="0"/>
          <w:sz w:val="32"/>
          <w:szCs w:val="32"/>
          <w:highlight w:val="none"/>
        </w:rPr>
        <w:t xml:space="preserve"> 积极稳妥推进碳达峰碳中和</w:t>
      </w:r>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p>
    <w:p w14:paraId="1CB5028A">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碳排放总量和强度“双控”。落实省、市碳达峰决策部署，结合本区实际制定具体实施方案，推动“双控”目标任务精准分解、落地见效。严把新上项目准入关，坚决遏制“两高一低”项目盲目发展。加快建立覆盖全社会、重点行业和企业的碳排放统计核算、监测和报告体系，为“双控”目标的落实提供精准的数据支撑。</w:t>
      </w:r>
    </w:p>
    <w:p w14:paraId="440AA1A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动重点领域节能降碳。大力发展非化石能源，因地制宜推进分布式光伏、生物质能等可再生能源开发利用，加快构建以新能源为主体的新型电力系统。在工业领域，大力推进重点行业节能降碳技术改造，发展循环经济。在建筑领域，大力推广绿色建筑、超低能耗建筑和装配式建筑。在交通领域，大力推广新能源汽车，构建绿色高效的交通体系。</w:t>
      </w:r>
    </w:p>
    <w:p w14:paraId="7845B85B">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3995" w:name="_Toc11603"/>
      <w:bookmarkEnd w:id="3995"/>
      <w:bookmarkStart w:id="3996" w:name="_Toc5573"/>
      <w:bookmarkEnd w:id="3996"/>
      <w:bookmarkStart w:id="3997" w:name="_Toc14625"/>
      <w:bookmarkStart w:id="3998" w:name="_Toc27"/>
      <w:bookmarkStart w:id="3999" w:name="_Toc2788"/>
      <w:bookmarkStart w:id="4000" w:name="_Toc13272"/>
      <w:bookmarkStart w:id="4001" w:name="_Toc18863"/>
      <w:bookmarkStart w:id="4002" w:name="_Toc17547"/>
      <w:bookmarkStart w:id="4003" w:name="_Toc31575"/>
      <w:bookmarkStart w:id="4004" w:name="_Toc20149"/>
      <w:bookmarkStart w:id="4005" w:name="_Toc30063"/>
      <w:bookmarkStart w:id="4006" w:name="_Toc25333"/>
      <w:bookmarkStart w:id="4007" w:name="_Toc14802"/>
      <w:bookmarkStart w:id="4008" w:name="_Toc14022"/>
      <w:bookmarkStart w:id="4009" w:name="_Toc231562147"/>
      <w:bookmarkStart w:id="4010" w:name="_Toc29814"/>
      <w:bookmarkStart w:id="4011" w:name="_Toc32084"/>
      <w:bookmarkStart w:id="4012" w:name="_Toc12558"/>
      <w:bookmarkStart w:id="4013" w:name="_Toc14062"/>
      <w:bookmarkStart w:id="4014" w:name="_Toc12211"/>
      <w:bookmarkStart w:id="4015" w:name="_Toc7752"/>
      <w:bookmarkStart w:id="4016" w:name="_Toc27600"/>
      <w:bookmarkStart w:id="4017" w:name="_Toc7359"/>
      <w:bookmarkStart w:id="4018" w:name="_Toc31232"/>
      <w:bookmarkStart w:id="4019" w:name="_Toc6202"/>
      <w:bookmarkStart w:id="4020" w:name="_Toc17752"/>
      <w:bookmarkStart w:id="4021" w:name="_Toc30751"/>
      <w:bookmarkStart w:id="4022" w:name="_Toc19433"/>
      <w:bookmarkStart w:id="4023" w:name="_Toc6504"/>
      <w:r>
        <w:rPr>
          <w:rFonts w:hint="eastAsia" w:ascii="楷体_GB2312" w:hAnsi="楷体_GB2312" w:eastAsia="楷体_GB2312" w:cs="楷体_GB2312"/>
          <w:b w:val="0"/>
          <w:bCs w:val="0"/>
          <w:sz w:val="32"/>
          <w:szCs w:val="32"/>
          <w:highlight w:val="none"/>
        </w:rPr>
        <w:t>第二节  倡导绿色生产生活方式</w:t>
      </w:r>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p>
    <w:p w14:paraId="7BB37C9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bookmarkStart w:id="4024" w:name="_Toc32268"/>
      <w:r>
        <w:rPr>
          <w:rFonts w:hint="eastAsia" w:ascii="仿宋_GB2312" w:hAnsi="仿宋_GB2312" w:eastAsia="仿宋_GB2312" w:cs="仿宋_GB2312"/>
          <w:b w:val="0"/>
          <w:bCs w:val="0"/>
          <w:sz w:val="32"/>
          <w:szCs w:val="32"/>
          <w:highlight w:val="none"/>
        </w:rPr>
        <w:t>倡导简约适度的绿色生活方式。深入开展节约型机关、绿色家庭、绿色学校、绿色社区等创建活动，充分发挥公共机构的示范引领作用。鼓励绿色出行，完善城市慢行系统。倡导节约用水用电、反对餐饮浪费、践行垃圾分类，让绿色低碳、简约适度的生活方式成为全社会共同遵守的行为准则和自觉行动。</w:t>
      </w:r>
      <w:bookmarkEnd w:id="4024"/>
    </w:p>
    <w:p w14:paraId="7BABFEA5">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广绿色低碳的生产和消费模式。鼓励企业进行绿色设计、开发绿色产品、建设绿色工厂、打造绿色供应链，从源头上减少资源能源消耗和污染物排放。加大绿色产品政府采购力度，以发放绿色消费券、提供补贴等方式，扩大绿色消费市场，引导消费者优先选择绿色低碳产品。</w:t>
      </w:r>
    </w:p>
    <w:p w14:paraId="1EFC38CF">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025" w:name="_Toc3314"/>
      <w:bookmarkStart w:id="4026" w:name="_Toc18728"/>
      <w:bookmarkStart w:id="4027" w:name="_Toc22112"/>
      <w:bookmarkStart w:id="4028" w:name="_Toc7404"/>
      <w:bookmarkStart w:id="4029" w:name="_Toc6297"/>
      <w:bookmarkStart w:id="4030" w:name="_Toc22249"/>
      <w:bookmarkStart w:id="4031" w:name="_Toc2886"/>
      <w:bookmarkStart w:id="4032" w:name="_Toc6294"/>
      <w:bookmarkStart w:id="4033" w:name="_Toc3066"/>
      <w:bookmarkStart w:id="4034" w:name="_Toc15055"/>
      <w:bookmarkStart w:id="4035" w:name="_Toc11691"/>
      <w:bookmarkStart w:id="4036" w:name="_Toc30175"/>
      <w:bookmarkStart w:id="4037" w:name="_Toc17341"/>
      <w:bookmarkStart w:id="4038" w:name="_Toc12775"/>
      <w:bookmarkStart w:id="4039" w:name="_Toc23534"/>
      <w:bookmarkStart w:id="4040" w:name="_Toc9546"/>
      <w:bookmarkStart w:id="4041" w:name="_Toc18675"/>
      <w:bookmarkStart w:id="4042" w:name="_Toc13390"/>
      <w:bookmarkStart w:id="4043" w:name="_Toc29771"/>
      <w:bookmarkStart w:id="4044" w:name="_Toc27474"/>
      <w:bookmarkStart w:id="4045" w:name="_Toc11670"/>
      <w:bookmarkStart w:id="4046" w:name="_Toc231562148"/>
      <w:bookmarkStart w:id="4047" w:name="_Toc26894"/>
      <w:bookmarkStart w:id="4048" w:name="_Toc28210"/>
      <w:bookmarkStart w:id="4049" w:name="_Toc18467"/>
      <w:bookmarkStart w:id="4050" w:name="_Toc20762"/>
      <w:bookmarkStart w:id="4051" w:name="_Toc14066"/>
      <w:bookmarkStart w:id="4052" w:name="_Toc29797"/>
      <w:bookmarkStart w:id="4053" w:name="_Toc2284"/>
      <w:bookmarkStart w:id="4054" w:name="_Toc7463"/>
      <w:bookmarkStart w:id="4055" w:name="_Toc18838"/>
      <w:r>
        <w:rPr>
          <w:rFonts w:hint="eastAsia" w:ascii="楷体_GB2312" w:hAnsi="楷体_GB2312" w:eastAsia="楷体_GB2312" w:cs="楷体_GB2312"/>
          <w:b w:val="0"/>
          <w:bCs w:val="0"/>
          <w:sz w:val="32"/>
          <w:szCs w:val="32"/>
          <w:highlight w:val="none"/>
        </w:rPr>
        <w:t xml:space="preserve">第三节 </w:t>
      </w:r>
      <w:bookmarkEnd w:id="4025"/>
      <w:bookmarkEnd w:id="4026"/>
      <w:bookmarkEnd w:id="4027"/>
      <w:r>
        <w:rPr>
          <w:rFonts w:hint="eastAsia" w:ascii="楷体_GB2312" w:hAnsi="楷体_GB2312" w:eastAsia="楷体_GB2312" w:cs="楷体_GB2312"/>
          <w:b w:val="0"/>
          <w:bCs w:val="0"/>
          <w:sz w:val="32"/>
          <w:szCs w:val="32"/>
          <w:highlight w:val="none"/>
        </w:rPr>
        <w:t xml:space="preserve"> 完善绿色发展政策体系</w:t>
      </w:r>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p>
    <w:p w14:paraId="6CFDFE76">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绿色发展的价格财税金融政策。健全反映资源稀缺程度、生态环境损害成本和环境效益的资源环境价格形成机制。落实好环境保护、节能节水、资源综合利用、新能源开发利用等方面的税收优惠政策。大力发展绿色金融，引导和鼓励金融机构加大对绿色产业、绿色项目、绿色技术的信贷支持，创新绿色债券、绿色基金等金融产品。</w:t>
      </w:r>
    </w:p>
    <w:p w14:paraId="6730595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绿色发展综合考核评价体系。将碳达峰碳中和相关指标、能源消耗总量和强度、主要污染物排放、生态环境质量改善等绿色发展指标全面纳入经济社会发展综合评价体系。完善领导干部生态文明建设责任制，强化考核结果运用，对在生态文明建设中不作为、乱作为或造成生态环境损害的，依规依纪依法严肃追责问责。</w:t>
      </w:r>
      <w:bookmarkEnd w:id="3690"/>
      <w:bookmarkEnd w:id="3691"/>
    </w:p>
    <w:tbl>
      <w:tblPr>
        <w:tblStyle w:val="42"/>
        <w:tblpPr w:leftFromText="180" w:rightFromText="180" w:vertAnchor="text" w:horzAnchor="page" w:tblpX="1822" w:tblpY="11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25D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50AA6361">
            <w:pPr>
              <w:pageBreakBefore w:val="0"/>
              <w:tabs>
                <w:tab w:val="left" w:pos="6725"/>
              </w:tabs>
              <w:kinsoku/>
              <w:wordWrap/>
              <w:overflowPunct/>
              <w:topLinePunct w:val="0"/>
              <w:autoSpaceDE/>
              <w:autoSpaceDN/>
              <w:bidi w:val="0"/>
              <w:spacing w:after="0" w:afterLines="0" w:line="240" w:lineRule="auto"/>
              <w:jc w:val="center"/>
              <w:rPr>
                <w:rFonts w:hint="eastAsia" w:ascii="仿宋_GB2312" w:hAnsi="仿宋_GB2312" w:eastAsia="仿宋_GB2312" w:cs="仿宋_GB2312"/>
                <w:b w:val="0"/>
                <w:bCs w:val="0"/>
                <w:sz w:val="32"/>
                <w:szCs w:val="32"/>
                <w:highlight w:val="none"/>
              </w:rPr>
            </w:pPr>
            <w:r>
              <w:rPr>
                <w:rFonts w:hint="eastAsia" w:ascii="黑体" w:hAnsi="黑体" w:eastAsia="黑体" w:cs="黑体"/>
                <w:b w:val="0"/>
                <w:bCs w:val="0"/>
                <w:sz w:val="24"/>
                <w:highlight w:val="none"/>
                <w:lang w:bidi="ar"/>
              </w:rPr>
              <w:t>专栏11  绿色发展重点工程</w:t>
            </w:r>
          </w:p>
        </w:tc>
      </w:tr>
      <w:tr w14:paraId="491D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4263CEED">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1.废弃矿山生态修复工程</w:t>
            </w:r>
          </w:p>
          <w:p w14:paraId="168D4409">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推进昌江区废弃矿山生态修复项目，对吕蒙村页岩矿实施生态修复，恢复林地；对上徐村、丽阳村等5处矿场进行平整复绿及两年管护；将徐坊村、金桥村三处地块建设休闲公园和生态停车场。</w:t>
            </w:r>
          </w:p>
          <w:p w14:paraId="6BB1CF3B">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2.水环境水生态综合治理工程</w:t>
            </w:r>
          </w:p>
          <w:p w14:paraId="5107674B">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实施昌江区域水资源综合整治一期工程，加强月亮湖水资源利用与提升、月亮湖水系提升及堤坝整治工程及丽阳水河道综合治理。持续推进昌江区山田水库清淤扩容工程、江西省主要支流治理昌江（昌江区丽阳段）整治工程，增强水生态保护力度。实施昌江区产业园省级工业园区污水集中处理改扩建项目，提升园区污水处理能力。</w:t>
            </w:r>
          </w:p>
          <w:p w14:paraId="37B5A248">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3.土壤、固废与新污染物治理工程</w:t>
            </w:r>
          </w:p>
          <w:p w14:paraId="36B4DA90">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24"/>
                <w:highlight w:val="none"/>
              </w:rPr>
              <w:t>实施昌江区乡镇全域土地整治及综合利用项目，重点开展鱼山镇、丽阳镇、荷塘乡土地综合整治。推进工业固废垃圾处理工程建设项目、城乡垃圾集中处置设施建设项目等重大项目，加强固废及垃圾处理能力。</w:t>
            </w:r>
          </w:p>
        </w:tc>
      </w:tr>
    </w:tbl>
    <w:p w14:paraId="1BC1558C">
      <w:pPr>
        <w:pStyle w:val="7"/>
        <w:pageBreakBefore w:val="0"/>
        <w:kinsoku/>
        <w:wordWrap/>
        <w:overflowPunct/>
        <w:topLinePunct w:val="0"/>
        <w:autoSpaceDE/>
        <w:autoSpaceDN/>
        <w:bidi w:val="0"/>
        <w:spacing w:after="0" w:afterLines="0" w:line="560" w:lineRule="exact"/>
        <w:rPr>
          <w:rFonts w:hint="eastAsia" w:ascii="仿宋_GB2312" w:hAnsi="仿宋_GB2312" w:eastAsia="仿宋_GB2312" w:cs="仿宋_GB2312"/>
          <w:b w:val="0"/>
          <w:bCs w:val="0"/>
          <w:sz w:val="32"/>
          <w:szCs w:val="32"/>
          <w:highlight w:val="none"/>
        </w:rPr>
      </w:pPr>
    </w:p>
    <w:p w14:paraId="0BEEB8C3">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bookmarkStart w:id="4056" w:name="_Toc3682"/>
      <w:bookmarkStart w:id="4057" w:name="_Toc214611324"/>
      <w:bookmarkStart w:id="4058" w:name="_Toc5408"/>
      <w:bookmarkStart w:id="4059" w:name="_Toc215695311"/>
      <w:bookmarkStart w:id="4060" w:name="_Toc22676"/>
      <w:bookmarkStart w:id="4061" w:name="_Toc19025"/>
      <w:bookmarkStart w:id="4062" w:name="_Toc17477"/>
      <w:bookmarkStart w:id="4063" w:name="_Toc9298"/>
      <w:bookmarkStart w:id="4064" w:name="_Toc30820"/>
      <w:bookmarkStart w:id="4065" w:name="_Toc13945"/>
      <w:bookmarkStart w:id="4066" w:name="_Toc10023"/>
      <w:bookmarkStart w:id="4067" w:name="_Toc30680"/>
      <w:r>
        <w:rPr>
          <w:rFonts w:hint="eastAsia" w:ascii="仿宋_GB2312" w:hAnsi="仿宋_GB2312" w:eastAsia="仿宋_GB2312" w:cs="仿宋_GB2312"/>
          <w:b w:val="0"/>
          <w:bCs w:val="0"/>
          <w:sz w:val="32"/>
          <w:szCs w:val="32"/>
          <w:highlight w:val="none"/>
        </w:rPr>
        <w:br w:type="page"/>
      </w:r>
    </w:p>
    <w:p w14:paraId="6CB794DB">
      <w:pPr>
        <w:keepNext w:val="0"/>
        <w:keepLines w:val="0"/>
        <w:pageBreakBefore w:val="0"/>
        <w:widowControl w:val="0"/>
        <w:kinsoku/>
        <w:wordWrap/>
        <w:overflowPunct/>
        <w:topLinePunct w:val="0"/>
        <w:autoSpaceDE/>
        <w:autoSpaceDN/>
        <w:bidi w:val="0"/>
        <w:adjustRightInd w:val="0"/>
        <w:snapToGrid w:val="0"/>
        <w:spacing w:after="0" w:afterLines="0" w:line="560" w:lineRule="exact"/>
        <w:jc w:val="center"/>
        <w:textAlignment w:val="auto"/>
        <w:outlineLvl w:val="0"/>
        <w:rPr>
          <w:rFonts w:hint="eastAsia" w:ascii="方正小标宋简体" w:eastAsia="方正小标宋简体"/>
          <w:b w:val="0"/>
          <w:bCs w:val="0"/>
          <w:sz w:val="36"/>
          <w:szCs w:val="36"/>
          <w:highlight w:val="none"/>
        </w:rPr>
      </w:pPr>
      <w:bookmarkStart w:id="4068" w:name="_Toc25615"/>
      <w:bookmarkStart w:id="4069" w:name="_Toc32259"/>
      <w:bookmarkStart w:id="4070" w:name="_Toc26663"/>
      <w:bookmarkStart w:id="4071" w:name="_Toc4795"/>
      <w:bookmarkStart w:id="4072" w:name="_Toc23290"/>
      <w:bookmarkStart w:id="4073" w:name="_Toc7620"/>
      <w:bookmarkStart w:id="4074" w:name="_Toc9457"/>
      <w:bookmarkStart w:id="4075" w:name="_Toc29416"/>
      <w:bookmarkStart w:id="4076" w:name="_Toc29590"/>
      <w:bookmarkStart w:id="4077" w:name="_Toc6732"/>
      <w:bookmarkStart w:id="4078" w:name="_Toc7729"/>
      <w:bookmarkStart w:id="4079" w:name="_Toc4943"/>
      <w:bookmarkStart w:id="4080" w:name="_Toc6470"/>
      <w:bookmarkStart w:id="4081" w:name="_Toc32668"/>
      <w:bookmarkStart w:id="4082" w:name="_Toc231562149"/>
      <w:bookmarkStart w:id="4083" w:name="_Toc19318"/>
      <w:bookmarkStart w:id="4084" w:name="_Toc27658"/>
      <w:bookmarkStart w:id="4085" w:name="_Toc22919"/>
      <w:bookmarkStart w:id="4086" w:name="_Toc925"/>
      <w:bookmarkStart w:id="4087" w:name="_Toc17935"/>
      <w:bookmarkStart w:id="4088" w:name="_Toc12277"/>
      <w:r>
        <w:rPr>
          <w:rFonts w:hint="eastAsia" w:ascii="方正小标宋简体" w:eastAsia="方正小标宋简体"/>
          <w:b w:val="0"/>
          <w:bCs w:val="0"/>
          <w:sz w:val="36"/>
          <w:szCs w:val="36"/>
          <w:highlight w:val="none"/>
        </w:rPr>
        <w:t>第十二篇  健全公共服务体系，厚植人民幸福根基</w:t>
      </w:r>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p>
    <w:p w14:paraId="096D5ADC">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bookmarkStart w:id="4089" w:name="_Toc214611325"/>
    </w:p>
    <w:p w14:paraId="1B7DCB42">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以人民对美好生活的向往为出发点和落脚点，聚焦适老化、生育友好、教育提质、医疗卫生优化、文化服务供给等重点领域，健全覆盖全生命周期和全人群的现代公共服务体系，着力构建全龄友好型社会。依托制度创新、信息化管理和社会协同，建设更加完备的公共服务体系，为区域高质量发展夯实民生根基。</w:t>
      </w:r>
    </w:p>
    <w:p w14:paraId="4A572A6F">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4090" w:name="_Toc4959"/>
      <w:bookmarkStart w:id="4091" w:name="_Toc18091"/>
      <w:bookmarkStart w:id="4092" w:name="_Toc26921"/>
      <w:bookmarkStart w:id="4093" w:name="_Toc18911"/>
      <w:bookmarkStart w:id="4094" w:name="_Toc11410"/>
      <w:bookmarkStart w:id="4095" w:name="_Toc17122"/>
      <w:bookmarkStart w:id="4096" w:name="_Toc14038"/>
      <w:bookmarkStart w:id="4097" w:name="_Toc17814"/>
      <w:bookmarkStart w:id="4098" w:name="_Toc23996"/>
      <w:bookmarkStart w:id="4099" w:name="_Toc12111"/>
      <w:bookmarkStart w:id="4100" w:name="_Toc28130"/>
      <w:bookmarkStart w:id="4101" w:name="_Toc14028"/>
      <w:bookmarkStart w:id="4102" w:name="_Toc23193"/>
      <w:bookmarkStart w:id="4103" w:name="_Toc1283"/>
      <w:bookmarkStart w:id="4104" w:name="_Toc26840"/>
      <w:bookmarkStart w:id="4105" w:name="_Toc29991"/>
      <w:bookmarkStart w:id="4106" w:name="_Toc4012"/>
      <w:bookmarkStart w:id="4107" w:name="_Toc12779"/>
      <w:bookmarkStart w:id="4108" w:name="_Toc6942"/>
      <w:bookmarkStart w:id="4109" w:name="_Toc10407"/>
      <w:bookmarkStart w:id="4110" w:name="_Toc273"/>
      <w:bookmarkStart w:id="4111" w:name="_Toc10583"/>
      <w:bookmarkStart w:id="4112" w:name="_Toc30408"/>
      <w:bookmarkStart w:id="4113" w:name="_Toc143"/>
      <w:bookmarkStart w:id="4114" w:name="_Toc231562150"/>
      <w:bookmarkStart w:id="4115" w:name="_Toc8766"/>
      <w:bookmarkStart w:id="4116" w:name="_Toc23502"/>
      <w:bookmarkStart w:id="4117" w:name="_Toc27065"/>
      <w:bookmarkStart w:id="4118" w:name="_Toc7608"/>
      <w:bookmarkStart w:id="4119" w:name="_Toc7533"/>
      <w:bookmarkStart w:id="4120" w:name="_Toc29524"/>
      <w:bookmarkStart w:id="4121" w:name="_Toc215695312"/>
      <w:r>
        <w:rPr>
          <w:rFonts w:hint="eastAsia" w:ascii="黑体" w:hAnsi="黑体" w:eastAsia="黑体"/>
          <w:b w:val="0"/>
          <w:bCs w:val="0"/>
          <w:sz w:val="32"/>
          <w:szCs w:val="32"/>
          <w:highlight w:val="none"/>
        </w:rPr>
        <w:t>第一章  拓展高质量就业渠道</w:t>
      </w:r>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p>
    <w:p w14:paraId="58324D13">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122" w:name="_Toc1756"/>
      <w:bookmarkStart w:id="4123" w:name="_Toc19670"/>
      <w:bookmarkStart w:id="4124" w:name="_Toc25827"/>
      <w:bookmarkStart w:id="4125" w:name="_Toc4141"/>
      <w:bookmarkStart w:id="4126" w:name="_Toc26927"/>
      <w:bookmarkStart w:id="4127" w:name="_Toc12697"/>
      <w:bookmarkStart w:id="4128" w:name="_Toc7591"/>
      <w:bookmarkStart w:id="4129" w:name="_Toc4179"/>
      <w:bookmarkStart w:id="4130" w:name="_Toc7571"/>
      <w:bookmarkStart w:id="4131" w:name="_Toc8254"/>
      <w:bookmarkStart w:id="4132" w:name="_Toc12132"/>
      <w:bookmarkStart w:id="4133" w:name="_Toc31351"/>
      <w:bookmarkStart w:id="4134" w:name="_Toc31544"/>
      <w:bookmarkStart w:id="4135" w:name="_Toc7351"/>
      <w:bookmarkStart w:id="4136" w:name="_Toc5693"/>
      <w:bookmarkStart w:id="4137" w:name="_Toc231562151"/>
      <w:bookmarkStart w:id="4138" w:name="_Toc3446"/>
      <w:bookmarkStart w:id="4139" w:name="_Toc17599"/>
      <w:bookmarkStart w:id="4140" w:name="_Toc24872"/>
      <w:bookmarkStart w:id="4141" w:name="_Toc18610"/>
      <w:bookmarkStart w:id="4142" w:name="_Toc32051"/>
      <w:bookmarkStart w:id="4143" w:name="_Toc24917"/>
      <w:bookmarkStart w:id="4144" w:name="_Toc1386"/>
      <w:bookmarkStart w:id="4145" w:name="_Toc19893"/>
      <w:bookmarkStart w:id="4146" w:name="_Toc9295"/>
      <w:bookmarkStart w:id="4147" w:name="_Toc28608"/>
      <w:bookmarkStart w:id="4148" w:name="_Toc29819"/>
      <w:bookmarkStart w:id="4149" w:name="_Toc28381"/>
      <w:r>
        <w:rPr>
          <w:rFonts w:hint="eastAsia" w:ascii="楷体_GB2312" w:hAnsi="楷体_GB2312" w:eastAsia="楷体_GB2312" w:cs="楷体_GB2312"/>
          <w:b w:val="0"/>
          <w:bCs w:val="0"/>
          <w:sz w:val="32"/>
          <w:szCs w:val="32"/>
          <w:highlight w:val="none"/>
        </w:rPr>
        <w:t>第一节  促进高质量充分就业</w:t>
      </w:r>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p>
    <w:p w14:paraId="6FC56BB6">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就业优先政策导向。建立重大政策、重大项目及生产力布局对就业影响的评估机制，健全就业影响评估制度，将就业指标全面纳入宏观调控体系和政府考核体系。深入实施“3+X”就业帮扶计划，推进“5+2就业之家”建设，构建覆盖全区的区、街道、社区三级就业服务网络，形成就业服务、创业支持和社会保障一体化的运行机制。</w:t>
      </w:r>
    </w:p>
    <w:p w14:paraId="44D66FAB">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重点群体就业支持体系。健全高校毕业生、农民工、退役军人、残疾人等重点群体就业支持体系。建设青年就业见习基地，完善供需对接机制，推动职业培训与岗位精准匹配。加大对大龄劳动者、长期失业人员的就业帮扶力度，统筹用好公益性岗位，兜牢困难群体就业底线。统筹城乡就业政策，推动本地就业为主、外地就业为辅的“双向就业促进模式”，实现城乡就业一体化发展，确保就业形势总体稳定。</w:t>
      </w:r>
    </w:p>
    <w:p w14:paraId="37CEF171">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适应新质生产力发展要求。适应数字经济、人工智能等新技术发展趋势，建设“一体化、智能化、多样化”的就业服务平台，实现政策咨询、岗位推荐、职业指导、技能培训等服务一站式办理。建立就业动态监测机制，利用大数据分析就业形势和人才供需变化，为就业政策制定提供科学依据。支持和规范发展新就业形态，加强灵活就业和新就业形态劳动者权益保障，完善适应灵活就业的社会保险政策。</w:t>
      </w:r>
    </w:p>
    <w:p w14:paraId="1BA85246">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150" w:name="_Toc1753"/>
      <w:bookmarkStart w:id="4151" w:name="_Toc4616"/>
      <w:bookmarkStart w:id="4152" w:name="_Toc19327"/>
      <w:bookmarkStart w:id="4153" w:name="_Toc14675"/>
      <w:bookmarkStart w:id="4154" w:name="_Toc3193"/>
      <w:bookmarkStart w:id="4155" w:name="_Toc28404"/>
      <w:bookmarkStart w:id="4156" w:name="_Toc25133"/>
      <w:bookmarkStart w:id="4157" w:name="_Toc7069"/>
      <w:bookmarkStart w:id="4158" w:name="_Toc14500"/>
      <w:bookmarkStart w:id="4159" w:name="_Toc15313"/>
      <w:bookmarkStart w:id="4160" w:name="_Toc24368"/>
      <w:bookmarkStart w:id="4161" w:name="_Toc7518"/>
      <w:bookmarkStart w:id="4162" w:name="_Toc26162"/>
      <w:bookmarkStart w:id="4163" w:name="_Toc8102"/>
      <w:bookmarkStart w:id="4164" w:name="_Toc25099"/>
      <w:bookmarkStart w:id="4165" w:name="_Toc16638"/>
      <w:bookmarkStart w:id="4166" w:name="_Toc3114"/>
      <w:bookmarkStart w:id="4167" w:name="_Toc14742"/>
      <w:bookmarkStart w:id="4168" w:name="_Toc231562152"/>
      <w:bookmarkStart w:id="4169" w:name="_Toc25116"/>
      <w:bookmarkStart w:id="4170" w:name="_Toc23855"/>
      <w:bookmarkStart w:id="4171" w:name="_Toc12639"/>
      <w:bookmarkStart w:id="4172" w:name="_Toc1954"/>
      <w:bookmarkStart w:id="4173" w:name="_Toc19404"/>
      <w:bookmarkStart w:id="4174" w:name="_Toc24558"/>
      <w:bookmarkStart w:id="4175" w:name="_Toc19286"/>
      <w:bookmarkStart w:id="4176" w:name="_Toc28225"/>
      <w:bookmarkStart w:id="4177" w:name="_Toc22942"/>
      <w:r>
        <w:rPr>
          <w:rFonts w:hint="eastAsia" w:ascii="楷体_GB2312" w:hAnsi="楷体_GB2312" w:eastAsia="楷体_GB2312" w:cs="楷体_GB2312"/>
          <w:b w:val="0"/>
          <w:bCs w:val="0"/>
          <w:sz w:val="32"/>
          <w:szCs w:val="32"/>
          <w:highlight w:val="none"/>
        </w:rPr>
        <w:t xml:space="preserve">第二节  </w:t>
      </w:r>
      <w:bookmarkEnd w:id="4150"/>
      <w:bookmarkEnd w:id="4151"/>
      <w:bookmarkEnd w:id="4152"/>
      <w:bookmarkEnd w:id="4153"/>
      <w:bookmarkEnd w:id="4154"/>
      <w:bookmarkEnd w:id="4155"/>
      <w:r>
        <w:rPr>
          <w:rFonts w:hint="eastAsia" w:ascii="楷体_GB2312" w:hAnsi="楷体_GB2312" w:eastAsia="楷体_GB2312" w:cs="楷体_GB2312"/>
          <w:b w:val="0"/>
          <w:bCs w:val="0"/>
          <w:sz w:val="32"/>
          <w:szCs w:val="32"/>
          <w:highlight w:val="none"/>
        </w:rPr>
        <w:t>构建和谐劳动关系</w:t>
      </w:r>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p>
    <w:p w14:paraId="7176A3A4">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劳动关系保障体系。健全企业与职工协商机制，全面推行集体合同制度和企业内部劳动协商制度，促进劳资双方权益平衡。推动建立“劳动维权+就业帮扶”模式，通过政策引导、法律服务、职业培训和心理疏导等多维措施化解劳资矛盾，形成政府监管、企业自律和社会监督三位一体的劳动关系保障体系，营造稳定、公平、和谐的劳动关系环境。</w:t>
      </w:r>
    </w:p>
    <w:p w14:paraId="30ACD19E">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黑体" w:hAnsi="黑体" w:eastAsia="黑体"/>
          <w:b w:val="0"/>
          <w:bCs w:val="0"/>
          <w:sz w:val="32"/>
          <w:szCs w:val="32"/>
          <w:highlight w:val="none"/>
        </w:rPr>
      </w:pPr>
      <w:r>
        <w:rPr>
          <w:rFonts w:hint="eastAsia" w:ascii="仿宋_GB2312" w:hAnsi="仿宋_GB2312" w:eastAsia="仿宋_GB2312" w:cs="仿宋_GB2312"/>
          <w:b w:val="0"/>
          <w:bCs w:val="0"/>
          <w:sz w:val="32"/>
          <w:szCs w:val="32"/>
          <w:highlight w:val="none"/>
        </w:rPr>
        <w:t>提升劳动人事争议处理效能。完善劳动争议调解、仲裁及司法衔接机制，提高劳动人事争议处理效率和公正性。推进劳动争议在线申诉、信息化管理和案件智能分流，缩短处理周期，提高响应速度和透明度。强化劳动执法力量，建立事前预防、事中调解、事后监督的全流程争议处理体系。加强劳动仲裁、司法及社区调解人员培训，提升争议处理专业化水平，实现劳动争议预防、化解和保障功能有机结合。</w:t>
      </w:r>
      <w:bookmarkEnd w:id="4089"/>
      <w:bookmarkEnd w:id="4118"/>
      <w:bookmarkEnd w:id="4119"/>
      <w:bookmarkEnd w:id="4120"/>
      <w:bookmarkEnd w:id="4121"/>
      <w:bookmarkStart w:id="4178" w:name="_Toc30123"/>
      <w:bookmarkStart w:id="4179" w:name="_Toc27639"/>
      <w:bookmarkStart w:id="4180" w:name="_Toc17469"/>
      <w:bookmarkStart w:id="4181" w:name="_Toc14228"/>
      <w:bookmarkStart w:id="4182" w:name="_Toc4781"/>
      <w:bookmarkStart w:id="4183" w:name="_Toc24246"/>
      <w:bookmarkStart w:id="4184" w:name="_Toc30359"/>
      <w:bookmarkStart w:id="4185" w:name="_Toc16672"/>
      <w:bookmarkStart w:id="4186" w:name="_Toc23762"/>
      <w:bookmarkStart w:id="4187" w:name="_Toc19736"/>
      <w:bookmarkStart w:id="4188" w:name="_Toc31446"/>
      <w:bookmarkStart w:id="4189" w:name="_Toc7443"/>
      <w:bookmarkStart w:id="4190" w:name="_Toc3526"/>
      <w:bookmarkStart w:id="4191" w:name="_Toc15388"/>
      <w:bookmarkStart w:id="4192" w:name="_Toc449"/>
      <w:bookmarkStart w:id="4193" w:name="_Toc6358"/>
      <w:bookmarkStart w:id="4194" w:name="_Toc13340"/>
      <w:bookmarkStart w:id="4195" w:name="_Toc31185"/>
      <w:bookmarkStart w:id="4196" w:name="_Toc25205"/>
      <w:bookmarkStart w:id="4197" w:name="_Toc16708"/>
      <w:bookmarkStart w:id="4198" w:name="_Toc25236"/>
      <w:bookmarkStart w:id="4199" w:name="_Toc30313"/>
      <w:bookmarkStart w:id="4200" w:name="_Toc18678"/>
      <w:bookmarkStart w:id="4201" w:name="_Toc22259"/>
      <w:bookmarkStart w:id="4202" w:name="_Toc11430"/>
      <w:bookmarkStart w:id="4203" w:name="_Toc215695321"/>
      <w:bookmarkStart w:id="4204" w:name="_Toc4458"/>
      <w:bookmarkStart w:id="4205" w:name="_Toc214611330"/>
    </w:p>
    <w:p w14:paraId="5A88AD16">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4206" w:name="_Toc31866"/>
      <w:bookmarkStart w:id="4207" w:name="_Toc19303"/>
      <w:bookmarkStart w:id="4208" w:name="_Toc3396"/>
      <w:bookmarkStart w:id="4209" w:name="_Toc7037"/>
      <w:bookmarkStart w:id="4210" w:name="_Toc231562153"/>
      <w:r>
        <w:rPr>
          <w:rFonts w:hint="eastAsia" w:ascii="黑体" w:hAnsi="黑体" w:eastAsia="黑体"/>
          <w:b w:val="0"/>
          <w:bCs w:val="0"/>
          <w:sz w:val="32"/>
          <w:szCs w:val="32"/>
          <w:highlight w:val="none"/>
        </w:rPr>
        <w:t xml:space="preserve">第二章  </w:t>
      </w:r>
      <w:bookmarkEnd w:id="4178"/>
      <w:bookmarkEnd w:id="4179"/>
      <w:r>
        <w:rPr>
          <w:rFonts w:hint="eastAsia" w:ascii="黑体" w:hAnsi="黑体" w:eastAsia="黑体"/>
          <w:b w:val="0"/>
          <w:bCs w:val="0"/>
          <w:sz w:val="32"/>
          <w:szCs w:val="32"/>
          <w:highlight w:val="none"/>
        </w:rPr>
        <w:t>完善收入分配结构</w:t>
      </w:r>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6"/>
      <w:bookmarkEnd w:id="4207"/>
      <w:bookmarkEnd w:id="4208"/>
      <w:bookmarkEnd w:id="4209"/>
      <w:bookmarkEnd w:id="4210"/>
    </w:p>
    <w:p w14:paraId="4A8EB520">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211" w:name="_Toc25201"/>
      <w:bookmarkStart w:id="4212" w:name="_Toc26014"/>
      <w:bookmarkStart w:id="4213" w:name="_Toc31110"/>
      <w:bookmarkStart w:id="4214" w:name="_Toc16442"/>
      <w:bookmarkStart w:id="4215" w:name="_Toc15317"/>
      <w:bookmarkStart w:id="4216" w:name="_Toc15972"/>
      <w:bookmarkStart w:id="4217" w:name="_Toc27508"/>
      <w:bookmarkStart w:id="4218" w:name="_Toc11313"/>
      <w:bookmarkStart w:id="4219" w:name="_Toc231562154"/>
      <w:bookmarkStart w:id="4220" w:name="_Toc5793"/>
      <w:bookmarkStart w:id="4221" w:name="_Toc31091"/>
      <w:bookmarkStart w:id="4222" w:name="_Toc8059"/>
      <w:bookmarkStart w:id="4223" w:name="_Toc16296"/>
      <w:bookmarkStart w:id="4224" w:name="_Toc29742"/>
      <w:bookmarkStart w:id="4225" w:name="_Toc18167"/>
      <w:bookmarkStart w:id="4226" w:name="_Toc5856"/>
      <w:bookmarkStart w:id="4227" w:name="_Toc18316"/>
      <w:bookmarkStart w:id="4228" w:name="_Toc32174"/>
      <w:bookmarkStart w:id="4229" w:name="_Toc14359"/>
      <w:bookmarkStart w:id="4230" w:name="_Toc8094"/>
      <w:bookmarkStart w:id="4231" w:name="_Toc2703"/>
      <w:bookmarkStart w:id="4232" w:name="_Toc2504"/>
      <w:bookmarkStart w:id="4233" w:name="_Toc23511"/>
      <w:bookmarkStart w:id="4234" w:name="_Toc183"/>
      <w:bookmarkStart w:id="4235" w:name="_Toc12730"/>
      <w:bookmarkStart w:id="4236" w:name="_Toc14201"/>
      <w:bookmarkStart w:id="4237" w:name="_Toc3297"/>
      <w:bookmarkStart w:id="4238" w:name="_Toc11802"/>
      <w:bookmarkStart w:id="4239" w:name="_Toc22945"/>
      <w:bookmarkStart w:id="4240" w:name="_Toc21843"/>
      <w:r>
        <w:rPr>
          <w:rFonts w:hint="eastAsia" w:ascii="楷体_GB2312" w:hAnsi="楷体_GB2312" w:eastAsia="楷体_GB2312" w:cs="楷体_GB2312"/>
          <w:b w:val="0"/>
          <w:bCs w:val="0"/>
          <w:sz w:val="32"/>
          <w:szCs w:val="32"/>
          <w:highlight w:val="none"/>
        </w:rPr>
        <w:t>第一节  积极促进居民增收</w:t>
      </w:r>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p>
    <w:p w14:paraId="1F4B2658">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拓宽工资性收入增长渠道。健全工资合理增长机制，落实并适时调整最低工资标准，鼓励企业推行工资集体协商制度。大力开展职业技能培训和“订单式”培养，依托景德镇陶瓷大学等院校资源，提升产业工人技能水平和议价能力，确保居民工资性收入与劳动生产率同步提高。</w:t>
      </w:r>
    </w:p>
    <w:p w14:paraId="5598BC01">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激发经营性收入增长活力。全面落实减税降费、普惠金融等政策，降低中小微企业和个体工商户经营成本。大力实施创业扶持计划，持续推广“景漂贷”等特色金融产品，提供创业培训、担保贷款、场地支持等服务，鼓励和支持城乡居民自主创业。发展壮大新型农村集体经济，通过发展现代农业、乡村旅游、农村电商等新业态，拓宽农民增收致富渠道。</w:t>
      </w:r>
    </w:p>
    <w:p w14:paraId="19D3171D">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挖掘财产性收入增长潜力。规范发展理财、基金、保险等金融产品，拓宽居民合法、稳健的投资渠道。探索盘活农村闲置宅基地和闲置农房等资源，通过合作经营、入股分红、租赁等方式，增加农民的财产性收入。鼓励上市公司和龙头企业加大分红力度，让人民群众共享经济发展和资产增值的红利。</w:t>
      </w:r>
    </w:p>
    <w:p w14:paraId="296927ED">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夯实转移性收入保障基础。稳步提高城乡居民基本养老金、基本医疗保险和失业保险等待遇水平。完善城乡居民最低生活保障、特困人员救助供养、临时救助等社会救助体系，实现“应保尽保、应救尽救”。</w:t>
      </w:r>
    </w:p>
    <w:p w14:paraId="63FE8FAA">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241" w:name="_Toc19152"/>
      <w:bookmarkStart w:id="4242" w:name="_Toc21878"/>
      <w:bookmarkStart w:id="4243" w:name="_Toc12183"/>
      <w:bookmarkStart w:id="4244" w:name="_Toc18634"/>
      <w:bookmarkStart w:id="4245" w:name="_Toc19834"/>
      <w:bookmarkStart w:id="4246" w:name="_Toc25769"/>
      <w:bookmarkStart w:id="4247" w:name="_Toc9253"/>
      <w:bookmarkStart w:id="4248" w:name="_Toc22895"/>
      <w:bookmarkStart w:id="4249" w:name="_Toc28724"/>
      <w:bookmarkStart w:id="4250" w:name="_Toc9873"/>
      <w:bookmarkStart w:id="4251" w:name="_Toc16011"/>
      <w:bookmarkStart w:id="4252" w:name="_Toc25508"/>
      <w:bookmarkStart w:id="4253" w:name="_Toc3240"/>
      <w:bookmarkStart w:id="4254" w:name="_Toc20874"/>
      <w:bookmarkStart w:id="4255" w:name="_Toc25024"/>
      <w:bookmarkStart w:id="4256" w:name="_Toc8430"/>
      <w:bookmarkStart w:id="4257" w:name="_Toc28078"/>
      <w:bookmarkStart w:id="4258" w:name="_Toc11467"/>
      <w:bookmarkStart w:id="4259" w:name="_Toc23966"/>
      <w:bookmarkStart w:id="4260" w:name="_Toc13592"/>
      <w:bookmarkStart w:id="4261" w:name="_Toc14032"/>
      <w:bookmarkStart w:id="4262" w:name="_Toc8490"/>
      <w:bookmarkStart w:id="4263" w:name="_Toc3367"/>
      <w:bookmarkStart w:id="4264" w:name="_Toc5858"/>
      <w:bookmarkStart w:id="4265" w:name="_Toc231562155"/>
      <w:bookmarkStart w:id="4266" w:name="_Toc25299"/>
      <w:bookmarkStart w:id="4267" w:name="_Toc15498"/>
      <w:bookmarkStart w:id="4268" w:name="_Toc3289"/>
      <w:r>
        <w:rPr>
          <w:rFonts w:hint="eastAsia" w:ascii="楷体_GB2312" w:hAnsi="楷体_GB2312" w:eastAsia="楷体_GB2312" w:cs="楷体_GB2312"/>
          <w:b w:val="0"/>
          <w:bCs w:val="0"/>
          <w:sz w:val="32"/>
          <w:szCs w:val="32"/>
          <w:highlight w:val="none"/>
        </w:rPr>
        <w:t>第二节  优化收入分配结构</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p>
    <w:p w14:paraId="38CC0F1E">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实施中等收入群体壮大行动。聚焦高校毕业生、技术工人、“景漂”人才、中小企业主和个体工商户、基层一线干部职工等重点群体，实施差异化的收入提升计划。加强对新型农业经营主体的扶持，促进农民工稳定就业和技能提升，为更多农村居民和外来务工人员融入中等收入群体创造条件。</w:t>
      </w:r>
    </w:p>
    <w:p w14:paraId="5BFF21D0">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加大对低收入群体的精准帮扶。健全防止返贫动态监测和帮扶机制，对易返贫致贫人口实施精准帮扶。大力发展劳动密集型产业和社区服务业，开发公益性岗位，为就业困难人员和零就业家庭提供托底安置。建立低收入人口动态监测信息平台，实现精准识别、精准帮扶、精准退出。</w:t>
      </w:r>
    </w:p>
    <w:p w14:paraId="2EA2C07F">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税收、社保等再分配调节功能。完善地方税收体系，发挥税收在调节收入分配中的作用。优化财政支出结构，提高民生类支出占比，将更多资源投向普惠性、基础性、兜底性民生领域。依法加强对高收入的规范和调节，取缔非法收入，维护社会公平正义。</w:t>
      </w:r>
    </w:p>
    <w:p w14:paraId="3BBB3B8B">
      <w:pPr>
        <w:pStyle w:val="7"/>
        <w:pageBreakBefore w:val="0"/>
        <w:kinsoku/>
        <w:wordWrap/>
        <w:overflowPunct/>
        <w:topLinePunct w:val="0"/>
        <w:autoSpaceDE/>
        <w:autoSpaceDN/>
        <w:bidi w:val="0"/>
        <w:spacing w:after="0" w:afterLines="0" w:line="560" w:lineRule="exact"/>
        <w:ind w:firstLine="640" w:firstLineChars="200"/>
        <w:rPr>
          <w:rFonts w:hint="eastAsia" w:ascii="黑体" w:hAnsi="黑体" w:eastAsia="黑体"/>
          <w:b w:val="0"/>
          <w:bCs w:val="0"/>
          <w:sz w:val="32"/>
          <w:szCs w:val="32"/>
          <w:highlight w:val="none"/>
        </w:rPr>
      </w:pPr>
      <w:r>
        <w:rPr>
          <w:rFonts w:hint="eastAsia" w:ascii="仿宋_GB2312" w:hAnsi="仿宋_GB2312" w:eastAsia="仿宋_GB2312" w:cs="仿宋_GB2312"/>
          <w:b w:val="0"/>
          <w:bCs w:val="0"/>
          <w:sz w:val="32"/>
          <w:szCs w:val="32"/>
          <w:highlight w:val="none"/>
        </w:rPr>
        <w:t>鼓励发展慈善等第三次分配。落实公益性捐赠税收优惠等支持政策，培育和规范发展各类慈善组织、公益机构。创新慈善模式，推广网络募捐、慈善信托、志愿服务等形式，引导社会各界积极参与慈善公益事业。</w:t>
      </w:r>
      <w:bookmarkStart w:id="4269" w:name="_Toc27186"/>
      <w:bookmarkStart w:id="4270" w:name="_Toc27361"/>
      <w:bookmarkStart w:id="4271" w:name="_Toc21778"/>
      <w:bookmarkStart w:id="4272" w:name="_Toc17678"/>
      <w:bookmarkStart w:id="4273" w:name="_Toc10730"/>
      <w:bookmarkStart w:id="4274" w:name="_Toc19347"/>
      <w:bookmarkStart w:id="4275" w:name="_Toc16963"/>
      <w:bookmarkStart w:id="4276" w:name="_Toc3606"/>
      <w:bookmarkStart w:id="4277" w:name="_Toc7231"/>
      <w:bookmarkStart w:id="4278" w:name="_Toc16014"/>
      <w:bookmarkStart w:id="4279" w:name="_Toc678"/>
      <w:bookmarkStart w:id="4280" w:name="_Toc10015"/>
      <w:bookmarkStart w:id="4281" w:name="_Toc1829"/>
      <w:bookmarkStart w:id="4282" w:name="_Toc23086"/>
      <w:bookmarkStart w:id="4283" w:name="_Toc23241"/>
      <w:bookmarkStart w:id="4284" w:name="_Toc12972"/>
      <w:bookmarkStart w:id="4285" w:name="_Toc2050"/>
      <w:bookmarkStart w:id="4286" w:name="_Toc25052"/>
      <w:bookmarkStart w:id="4287" w:name="_Toc11742"/>
      <w:bookmarkStart w:id="4288" w:name="_Toc19850"/>
      <w:bookmarkStart w:id="4289" w:name="_Toc6110"/>
      <w:bookmarkStart w:id="4290" w:name="_Toc9124"/>
      <w:bookmarkStart w:id="4291" w:name="_Toc15099"/>
      <w:bookmarkStart w:id="4292" w:name="_Toc25831"/>
      <w:bookmarkStart w:id="4293" w:name="_Toc8408"/>
      <w:bookmarkStart w:id="4294" w:name="_Toc32636"/>
    </w:p>
    <w:p w14:paraId="1B892F33">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4295" w:name="_Toc231562156"/>
      <w:bookmarkStart w:id="4296" w:name="_Toc20986"/>
      <w:bookmarkStart w:id="4297" w:name="_Toc10813"/>
      <w:bookmarkStart w:id="4298" w:name="_Toc23516"/>
      <w:bookmarkStart w:id="4299" w:name="_Toc9948"/>
      <w:r>
        <w:rPr>
          <w:rFonts w:hint="eastAsia" w:ascii="黑体" w:hAnsi="黑体" w:eastAsia="黑体"/>
          <w:b w:val="0"/>
          <w:bCs w:val="0"/>
          <w:sz w:val="32"/>
          <w:szCs w:val="32"/>
          <w:highlight w:val="none"/>
        </w:rPr>
        <w:t>第三章  优化教育资源布局</w:t>
      </w:r>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p>
    <w:p w14:paraId="6A3F2A68">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300" w:name="_Toc20446"/>
      <w:bookmarkStart w:id="4301" w:name="_Toc8053"/>
      <w:bookmarkStart w:id="4302" w:name="_Toc32570"/>
      <w:bookmarkStart w:id="4303" w:name="_Toc20488"/>
      <w:bookmarkStart w:id="4304" w:name="_Toc231562157"/>
      <w:bookmarkStart w:id="4305" w:name="_Toc26510"/>
      <w:bookmarkStart w:id="4306" w:name="_Toc1799"/>
      <w:bookmarkStart w:id="4307" w:name="_Toc28563"/>
      <w:bookmarkStart w:id="4308" w:name="_Toc27142"/>
      <w:bookmarkStart w:id="4309" w:name="_Toc15296"/>
      <w:bookmarkStart w:id="4310" w:name="_Toc1444"/>
      <w:bookmarkStart w:id="4311" w:name="_Toc1895"/>
      <w:bookmarkStart w:id="4312" w:name="_Toc4563"/>
      <w:bookmarkStart w:id="4313" w:name="_Toc32121"/>
      <w:bookmarkStart w:id="4314" w:name="_Toc11450"/>
      <w:bookmarkStart w:id="4315" w:name="_Toc27667"/>
      <w:bookmarkStart w:id="4316" w:name="_Toc27990"/>
      <w:bookmarkStart w:id="4317" w:name="_Toc6228"/>
      <w:bookmarkStart w:id="4318" w:name="_Toc14254"/>
      <w:bookmarkStart w:id="4319" w:name="_Toc25558"/>
      <w:bookmarkStart w:id="4320" w:name="_Toc17995"/>
      <w:bookmarkStart w:id="4321" w:name="_Toc30615"/>
      <w:bookmarkStart w:id="4322" w:name="_Toc23548"/>
      <w:bookmarkStart w:id="4323" w:name="_Toc14182"/>
      <w:bookmarkStart w:id="4324" w:name="_Toc26908"/>
      <w:bookmarkStart w:id="4325" w:name="_Toc29097"/>
      <w:bookmarkStart w:id="4326" w:name="_Toc27544"/>
      <w:bookmarkStart w:id="4327" w:name="_Toc16152"/>
      <w:bookmarkStart w:id="4328" w:name="_Toc1824"/>
      <w:bookmarkStart w:id="4329" w:name="_Toc6471"/>
      <w:bookmarkStart w:id="4330" w:name="_Toc13019"/>
      <w:r>
        <w:rPr>
          <w:rFonts w:hint="eastAsia" w:ascii="楷体_GB2312" w:hAnsi="楷体_GB2312" w:eastAsia="楷体_GB2312" w:cs="楷体_GB2312"/>
          <w:b w:val="0"/>
          <w:bCs w:val="0"/>
          <w:sz w:val="32"/>
          <w:szCs w:val="32"/>
          <w:highlight w:val="none"/>
        </w:rPr>
        <w:t>第一节  推进基础教育优质均衡发展</w:t>
      </w:r>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p>
    <w:p w14:paraId="2479B774">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办强办优基础教育。推进学前教育普及普惠安全优质发展，规范普惠性幼儿园建设，加强民办幼儿园质量监管，推动学前教育与社区资源、家庭教育以及老龄化服务有机结合。巩固义务教育优质均衡发展，全面加强基础薄弱的中小学校建设，全面完成义务教育学校标准化建设。统筹推进“双减”和教育教学质量提升。</w:t>
      </w:r>
    </w:p>
    <w:p w14:paraId="27F6AD60">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动城乡教育资源整合。健全城乡教育资源统筹配置机制，优化城区及乡镇学校布局。实施乡村教育资源整合试点，结合人口变化和学校承载能力，科学调整学校设置，合理合并或重组学校，防止教育资源闲置，确保教育供给与需求动态匹配。强化教师队伍建设，建立高端人才引进、乡村教师培训和轮岗交流制度，进一步缩小城乡教育质量差距，实现基础教育优质均衡发展。</w:t>
      </w:r>
    </w:p>
    <w:p w14:paraId="0D8A15F7">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331" w:name="_Toc29958"/>
      <w:bookmarkStart w:id="4332" w:name="_Toc24043"/>
      <w:bookmarkStart w:id="4333" w:name="_Toc7908"/>
      <w:bookmarkStart w:id="4334" w:name="_Toc28004"/>
      <w:bookmarkStart w:id="4335" w:name="_Toc20531"/>
      <w:bookmarkStart w:id="4336" w:name="_Toc8690"/>
      <w:bookmarkStart w:id="4337" w:name="_Toc24399"/>
      <w:bookmarkStart w:id="4338" w:name="_Toc3219"/>
      <w:bookmarkStart w:id="4339" w:name="_Toc20196"/>
      <w:bookmarkStart w:id="4340" w:name="_Toc6472"/>
      <w:bookmarkStart w:id="4341" w:name="_Toc9209"/>
      <w:bookmarkStart w:id="4342" w:name="_Toc3705"/>
      <w:bookmarkStart w:id="4343" w:name="_Toc8383"/>
      <w:bookmarkStart w:id="4344" w:name="_Toc20468"/>
      <w:bookmarkStart w:id="4345" w:name="_Toc231562158"/>
      <w:bookmarkStart w:id="4346" w:name="_Toc26279"/>
      <w:bookmarkStart w:id="4347" w:name="_Toc31077"/>
      <w:bookmarkStart w:id="4348" w:name="_Toc27370"/>
      <w:bookmarkStart w:id="4349" w:name="_Toc286"/>
      <w:bookmarkStart w:id="4350" w:name="_Toc6321"/>
      <w:bookmarkStart w:id="4351" w:name="_Toc26344"/>
      <w:bookmarkStart w:id="4352" w:name="_Toc790"/>
      <w:bookmarkStart w:id="4353" w:name="_Toc22779"/>
      <w:bookmarkStart w:id="4354" w:name="_Toc6600"/>
      <w:bookmarkStart w:id="4355" w:name="_Toc2349"/>
      <w:bookmarkStart w:id="4356" w:name="_Toc9423"/>
      <w:bookmarkStart w:id="4357" w:name="_Toc27386"/>
      <w:bookmarkStart w:id="4358" w:name="_Toc30106"/>
      <w:bookmarkStart w:id="4359" w:name="_Toc21524"/>
      <w:bookmarkStart w:id="4360" w:name="_Toc7707"/>
      <w:bookmarkStart w:id="4361" w:name="_Toc5132"/>
      <w:r>
        <w:rPr>
          <w:rFonts w:hint="eastAsia" w:ascii="楷体_GB2312" w:hAnsi="楷体_GB2312" w:eastAsia="楷体_GB2312" w:cs="楷体_GB2312"/>
          <w:b w:val="0"/>
          <w:bCs w:val="0"/>
          <w:sz w:val="32"/>
          <w:szCs w:val="32"/>
          <w:highlight w:val="none"/>
        </w:rPr>
        <w:t>第二节  推进职业教育融合创新发展</w:t>
      </w:r>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p>
    <w:p w14:paraId="42C49240">
      <w:pPr>
        <w:pStyle w:val="41"/>
        <w:pageBreakBefore w:val="0"/>
        <w:kinsoku/>
        <w:wordWrap/>
        <w:overflowPunct/>
        <w:topLinePunct w:val="0"/>
        <w:autoSpaceDE/>
        <w:autoSpaceDN/>
        <w:bidi w:val="0"/>
        <w:adjustRightInd/>
        <w:snapToGrid/>
        <w:spacing w:after="0" w:afterLines="0" w:line="560" w:lineRule="exact"/>
        <w:ind w:left="0" w:leftChars="0" w:firstLine="643"/>
        <w:rPr>
          <w:rFonts w:ascii="仿宋_GB2312" w:hAnsi="Calibri" w:eastAsia="仿宋_GB2312" w:cs="Times New Roman"/>
          <w:b w:val="0"/>
          <w:bCs w:val="0"/>
          <w:sz w:val="32"/>
          <w:szCs w:val="32"/>
          <w:highlight w:val="none"/>
        </w:rPr>
      </w:pPr>
      <w:r>
        <w:rPr>
          <w:rFonts w:hint="eastAsia" w:ascii="仿宋_GB2312" w:hAnsi="仿宋_GB2312" w:eastAsia="仿宋_GB2312" w:cs="仿宋_GB2312"/>
          <w:b w:val="0"/>
          <w:bCs w:val="0"/>
          <w:sz w:val="32"/>
          <w:szCs w:val="32"/>
          <w:highlight w:val="none"/>
        </w:rPr>
        <w:t>深化产学研融合与实践创新。紧密结合区域产业需求，形成产教融合和校企协同模式。结合低空经济、数字经济及陶瓷产业，开设特色专业学科和技能培训。深化校企合作，建立企业导师制和联合实训基地。建设产教融合示范项目，通过项目实训和创新创业孵化，提高学生的综合技能水平和就业竞争力。</w:t>
      </w:r>
      <w:bookmarkStart w:id="4362" w:name="_Toc29603"/>
      <w:bookmarkStart w:id="4363" w:name="_Toc19341"/>
      <w:bookmarkStart w:id="4364" w:name="_Toc8004"/>
      <w:bookmarkStart w:id="4365" w:name="_Toc28292"/>
      <w:bookmarkStart w:id="4366" w:name="_Toc30076"/>
      <w:bookmarkStart w:id="4367" w:name="_Toc27341"/>
      <w:bookmarkStart w:id="4368" w:name="_Toc10172"/>
      <w:bookmarkStart w:id="4369" w:name="_Toc12711"/>
      <w:bookmarkStart w:id="4370" w:name="_Toc5059"/>
      <w:bookmarkStart w:id="4371" w:name="_Toc6745"/>
      <w:bookmarkStart w:id="4372" w:name="_Toc311"/>
      <w:bookmarkStart w:id="4373" w:name="_Toc7299"/>
      <w:bookmarkStart w:id="4374" w:name="_Toc2119"/>
      <w:bookmarkStart w:id="4375" w:name="_Toc15883"/>
      <w:bookmarkStart w:id="4376" w:name="_Toc3628"/>
      <w:bookmarkStart w:id="4377" w:name="_Toc1198"/>
      <w:bookmarkStart w:id="4378" w:name="_Toc12502"/>
      <w:bookmarkStart w:id="4379" w:name="_Toc14532"/>
      <w:bookmarkStart w:id="4380" w:name="_Toc17217"/>
      <w:bookmarkStart w:id="4381" w:name="_Toc30712"/>
      <w:bookmarkStart w:id="4382" w:name="_Toc12284"/>
      <w:bookmarkStart w:id="4383" w:name="_Toc17257"/>
      <w:bookmarkStart w:id="4384" w:name="_Toc14813"/>
      <w:bookmarkStart w:id="4385" w:name="_Toc23018"/>
      <w:bookmarkStart w:id="4386" w:name="_Toc3218"/>
      <w:bookmarkStart w:id="4387" w:name="_Toc27126"/>
    </w:p>
    <w:p w14:paraId="1A0CBAC3">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388" w:name="_Toc23021"/>
      <w:bookmarkStart w:id="4389" w:name="_Toc11804"/>
      <w:bookmarkStart w:id="4390" w:name="_Toc18544"/>
      <w:bookmarkStart w:id="4391" w:name="_Toc27723"/>
      <w:bookmarkStart w:id="4392" w:name="_Toc231562159"/>
      <w:r>
        <w:rPr>
          <w:rFonts w:hint="eastAsia" w:ascii="楷体_GB2312" w:hAnsi="楷体_GB2312" w:eastAsia="楷体_GB2312" w:cs="楷体_GB2312"/>
          <w:b w:val="0"/>
          <w:bCs w:val="0"/>
          <w:sz w:val="32"/>
          <w:szCs w:val="32"/>
          <w:highlight w:val="none"/>
        </w:rPr>
        <w:t>第三节  完善终身学习体系</w:t>
      </w:r>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p>
    <w:p w14:paraId="40C4AD4E">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动学校教育资源向社会开放。统筹推进校内图书馆、体育设施及信息化教学资源向社会开放。建立健全数字化资源共享平台，实现线上线下融合，提高城乡居民学习资源可得性。开展面向社会的科学实验、文化艺术、职业技能及社区教育活动，形成学校、社区、家庭协同的学习体系。</w:t>
      </w:r>
    </w:p>
    <w:p w14:paraId="59EC1009">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建立企业大学、社区学习中心。推动企业建设企业大学，建立岗位技能培训、职业能力提升和管理人才培养体系，完善企业内部教育培训标准，形成与企业发展战略和岗位需求紧密衔接的培训机制。加快社区学习中心建设，</w:t>
      </w:r>
      <w:r>
        <w:rPr>
          <w:rFonts w:hint="eastAsia" w:ascii="仿宋_GB2312" w:hAnsi="仿宋_GB2312" w:eastAsia="仿宋_GB2312" w:cs="仿宋_GB2312"/>
          <w:b w:val="0"/>
          <w:bCs w:val="0"/>
          <w:spacing w:val="-6"/>
          <w:sz w:val="32"/>
          <w:szCs w:val="32"/>
          <w:highlight w:val="none"/>
        </w:rPr>
        <w:t>联合</w:t>
      </w:r>
      <w:r>
        <w:rPr>
          <w:rFonts w:hint="eastAsia" w:ascii="仿宋_GB2312" w:hAnsi="仿宋_GB2312" w:eastAsia="仿宋_GB2312" w:cs="仿宋_GB2312"/>
          <w:b w:val="0"/>
          <w:bCs w:val="0"/>
          <w:sz w:val="32"/>
          <w:szCs w:val="32"/>
          <w:highlight w:val="none"/>
        </w:rPr>
        <w:t>家庭教育、成人教育、老年教育及职业培训资源，开展综合性学习服务和多层次培训项目，满足社区居民多样化学习需求。</w:t>
      </w:r>
    </w:p>
    <w:p w14:paraId="13F5556D">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4393" w:name="_Toc21799"/>
      <w:bookmarkStart w:id="4394" w:name="_Toc22311"/>
      <w:bookmarkStart w:id="4395" w:name="_Toc23093"/>
      <w:bookmarkStart w:id="4396" w:name="_Toc4450"/>
      <w:bookmarkStart w:id="4397" w:name="_Toc6376"/>
      <w:bookmarkStart w:id="4398" w:name="_Toc13128"/>
      <w:bookmarkStart w:id="4399" w:name="_Toc24275"/>
      <w:bookmarkStart w:id="4400" w:name="_Toc10138"/>
      <w:bookmarkStart w:id="4401" w:name="_Toc27572"/>
      <w:bookmarkStart w:id="4402" w:name="_Toc231562160"/>
      <w:bookmarkStart w:id="4403" w:name="_Toc32637"/>
      <w:bookmarkStart w:id="4404" w:name="_Toc919"/>
      <w:bookmarkStart w:id="4405" w:name="_Toc601"/>
      <w:bookmarkStart w:id="4406" w:name="_Toc14161"/>
      <w:bookmarkStart w:id="4407" w:name="_Toc9526"/>
      <w:bookmarkStart w:id="4408" w:name="_Toc5010"/>
      <w:bookmarkStart w:id="4409" w:name="_Toc21980"/>
      <w:bookmarkStart w:id="4410" w:name="_Toc9283"/>
      <w:bookmarkStart w:id="4411" w:name="_Toc3131"/>
      <w:bookmarkStart w:id="4412" w:name="_Toc21236"/>
      <w:bookmarkStart w:id="4413" w:name="_Toc19597"/>
      <w:bookmarkStart w:id="4414" w:name="_Toc16721"/>
      <w:bookmarkStart w:id="4415" w:name="_Toc27322"/>
      <w:bookmarkStart w:id="4416" w:name="_Toc29196"/>
      <w:bookmarkStart w:id="4417" w:name="_Toc735"/>
      <w:bookmarkStart w:id="4418" w:name="_Toc20649"/>
      <w:bookmarkStart w:id="4419" w:name="_Toc351"/>
      <w:bookmarkStart w:id="4420" w:name="_Toc11163"/>
      <w:bookmarkStart w:id="4421" w:name="_Toc31217"/>
      <w:bookmarkStart w:id="4422" w:name="_Toc31435"/>
      <w:r>
        <w:rPr>
          <w:rFonts w:hint="eastAsia" w:ascii="黑体" w:hAnsi="黑体" w:eastAsia="黑体"/>
          <w:b w:val="0"/>
          <w:bCs w:val="0"/>
          <w:sz w:val="32"/>
          <w:szCs w:val="32"/>
          <w:highlight w:val="none"/>
        </w:rPr>
        <w:t>第四章  健全社会保障体系</w:t>
      </w:r>
      <w:bookmarkEnd w:id="4203"/>
      <w:bookmarkEnd w:id="4204"/>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p>
    <w:p w14:paraId="45DAF337">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423" w:name="_Toc16352"/>
      <w:bookmarkStart w:id="4424" w:name="_Toc26811"/>
      <w:bookmarkStart w:id="4425" w:name="_Toc26701"/>
      <w:bookmarkStart w:id="4426" w:name="_Toc5899"/>
      <w:bookmarkStart w:id="4427" w:name="_Toc19102"/>
      <w:bookmarkStart w:id="4428" w:name="_Toc23656"/>
      <w:bookmarkStart w:id="4429" w:name="_Toc17984"/>
      <w:bookmarkStart w:id="4430" w:name="_Toc15220"/>
      <w:bookmarkStart w:id="4431" w:name="_Toc25744"/>
      <w:bookmarkStart w:id="4432" w:name="_Toc1965"/>
      <w:bookmarkStart w:id="4433" w:name="_Toc25013"/>
      <w:bookmarkStart w:id="4434" w:name="_Toc14229"/>
      <w:bookmarkStart w:id="4435" w:name="_Toc13334"/>
      <w:bookmarkStart w:id="4436" w:name="_Toc30186"/>
      <w:bookmarkStart w:id="4437" w:name="_Toc31190"/>
      <w:bookmarkStart w:id="4438" w:name="_Toc15840"/>
      <w:bookmarkStart w:id="4439" w:name="_Toc215695322"/>
      <w:bookmarkStart w:id="4440" w:name="_Toc9708"/>
      <w:bookmarkStart w:id="4441" w:name="_Toc1091"/>
      <w:bookmarkStart w:id="4442" w:name="_Toc4335"/>
      <w:bookmarkStart w:id="4443" w:name="_Toc231562161"/>
      <w:bookmarkStart w:id="4444" w:name="_Toc16132"/>
      <w:bookmarkStart w:id="4445" w:name="_Toc765"/>
      <w:bookmarkStart w:id="4446" w:name="_Toc10726"/>
      <w:bookmarkStart w:id="4447" w:name="_Toc17669"/>
      <w:bookmarkStart w:id="4448" w:name="_Toc3132"/>
      <w:bookmarkStart w:id="4449" w:name="_Toc10267"/>
      <w:bookmarkStart w:id="4450" w:name="_Toc23902"/>
      <w:bookmarkStart w:id="4451" w:name="_Toc13480"/>
      <w:bookmarkStart w:id="4452" w:name="_Toc10552"/>
      <w:bookmarkStart w:id="4453" w:name="_Toc19915"/>
      <w:bookmarkStart w:id="4454" w:name="_Toc18276"/>
      <w:r>
        <w:rPr>
          <w:rFonts w:hint="eastAsia" w:ascii="楷体_GB2312" w:hAnsi="楷体_GB2312" w:eastAsia="楷体_GB2312" w:cs="楷体_GB2312"/>
          <w:b w:val="0"/>
          <w:bCs w:val="0"/>
          <w:sz w:val="32"/>
          <w:szCs w:val="32"/>
          <w:highlight w:val="none"/>
        </w:rPr>
        <w:t>第一节  完善社会保险体系</w:t>
      </w:r>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p>
    <w:p w14:paraId="7BB15CCB">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多层次养老保险制度。推动城乡居民养老保险、企业养老保险、机关事业单位补充养老保险和个人养老金制度有效衔接，形成覆盖全民、多层次、多支柱的养老保障体系。扩大灵活就业人员、新就业形态人员、“景漂”人才等群体的保障覆盖范围。鼓励社会力量参与补充养老保险和商业养老保险发展，推动企业年金发展，提升居民养老保障水平。</w:t>
      </w:r>
    </w:p>
    <w:p w14:paraId="5E41D374">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多层次医疗保险体系。健全城乡居民基本医疗保险制度，推动医保政策与基层医疗机构、社区卫生服务中心及医院信息互通。完善大病保险、补充医疗保险及报销政策，降低群众医疗费用负担，提升医疗保障效率和可及性。推动“互联网+医疗健康”与医保系统对接，支持数字化医保服务，实现线上报销、智能审核和信息共享，提高异地就医直接结算便利度。</w:t>
      </w:r>
    </w:p>
    <w:p w14:paraId="1E59DEC9">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失业与工伤保险制度。完善失业保险政策，提高失业人员社会保障水平，并将职业培训与再就业服务紧密结合，帮助失业人员快速再就业。完善工伤保险体系，将灵活就业人员、新就业形态劳动者纳入保障范围。加强理赔服务和制度宣传，保障劳动者在职业风险发生时获得及时救助。推动工伤保险与医疗、康复、心理疏导等服务衔接，提高劳动者风险保障能力。</w:t>
      </w:r>
    </w:p>
    <w:p w14:paraId="78C49018">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生育保障制度。完善生育保险制度，保障职工及居民获得产假津贴、医疗服务及相关支持。结合昌江区学前教育和托育服务发展，推动生育保障与妇幼保健、托育服务衔接，提高家庭育儿保障水平，缓解育儿成本压力。</w:t>
      </w:r>
    </w:p>
    <w:p w14:paraId="689C369C">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455" w:name="_Toc23034"/>
      <w:bookmarkStart w:id="4456" w:name="_Toc894"/>
      <w:bookmarkStart w:id="4457" w:name="_Toc12682"/>
      <w:bookmarkStart w:id="4458" w:name="_Toc205"/>
      <w:bookmarkStart w:id="4459" w:name="_Toc29335"/>
      <w:bookmarkStart w:id="4460" w:name="_Toc20659"/>
      <w:bookmarkStart w:id="4461" w:name="_Toc4620"/>
      <w:bookmarkStart w:id="4462" w:name="_Toc5806"/>
      <w:bookmarkStart w:id="4463" w:name="_Toc3364"/>
      <w:bookmarkStart w:id="4464" w:name="_Toc30400"/>
      <w:bookmarkStart w:id="4465" w:name="_Toc18465"/>
      <w:bookmarkStart w:id="4466" w:name="_Toc28909"/>
      <w:bookmarkStart w:id="4467" w:name="_Toc5851"/>
      <w:bookmarkStart w:id="4468" w:name="_Toc17585"/>
      <w:bookmarkStart w:id="4469" w:name="_Toc29103"/>
      <w:bookmarkStart w:id="4470" w:name="_Toc20639"/>
      <w:bookmarkStart w:id="4471" w:name="_Toc29597"/>
      <w:bookmarkStart w:id="4472" w:name="_Toc13038"/>
      <w:bookmarkStart w:id="4473" w:name="_Toc7822"/>
      <w:bookmarkStart w:id="4474" w:name="_Toc231562162"/>
      <w:bookmarkStart w:id="4475" w:name="_Toc25747"/>
      <w:bookmarkStart w:id="4476" w:name="_Toc11007"/>
      <w:bookmarkStart w:id="4477" w:name="_Toc22163"/>
      <w:bookmarkStart w:id="4478" w:name="_Toc20300"/>
      <w:bookmarkStart w:id="4479" w:name="_Toc23299"/>
      <w:bookmarkStart w:id="4480" w:name="_Toc647"/>
      <w:bookmarkStart w:id="4481" w:name="_Toc9341"/>
      <w:bookmarkStart w:id="4482" w:name="_Toc11960"/>
      <w:bookmarkStart w:id="4483" w:name="_Toc157"/>
      <w:bookmarkStart w:id="4484" w:name="_Toc24116"/>
      <w:bookmarkStart w:id="4485" w:name="_Toc13415"/>
      <w:r>
        <w:rPr>
          <w:rFonts w:hint="eastAsia" w:ascii="楷体_GB2312" w:hAnsi="楷体_GB2312" w:eastAsia="楷体_GB2312" w:cs="楷体_GB2312"/>
          <w:b w:val="0"/>
          <w:bCs w:val="0"/>
          <w:sz w:val="32"/>
          <w:szCs w:val="32"/>
          <w:highlight w:val="none"/>
        </w:rPr>
        <w:t xml:space="preserve">第二节  </w:t>
      </w:r>
      <w:bookmarkEnd w:id="4455"/>
      <w:bookmarkEnd w:id="4456"/>
      <w:bookmarkEnd w:id="4457"/>
      <w:bookmarkEnd w:id="4458"/>
      <w:bookmarkEnd w:id="4459"/>
      <w:bookmarkEnd w:id="4460"/>
      <w:bookmarkEnd w:id="4461"/>
      <w:bookmarkEnd w:id="4462"/>
      <w:bookmarkEnd w:id="4463"/>
      <w:bookmarkEnd w:id="4464"/>
      <w:bookmarkEnd w:id="4465"/>
      <w:bookmarkEnd w:id="4466"/>
      <w:bookmarkEnd w:id="4467"/>
      <w:r>
        <w:rPr>
          <w:rFonts w:hint="eastAsia" w:ascii="楷体_GB2312" w:hAnsi="楷体_GB2312" w:eastAsia="楷体_GB2312" w:cs="楷体_GB2312"/>
          <w:b w:val="0"/>
          <w:bCs w:val="0"/>
          <w:sz w:val="32"/>
          <w:szCs w:val="32"/>
          <w:highlight w:val="none"/>
        </w:rPr>
        <w:t>优化“一老一小”服务体系</w:t>
      </w:r>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p>
    <w:p w14:paraId="3E1CB320">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构建生育友好型社会。完善生育支持政策体系，落实育儿补贴制度，保障产假、育儿假等法定假期有效执行。鼓励用人单位实施弹性工作安排，支持职工平衡工作与家庭。扩大普惠托育服务供给，推动社区、单位、企业及幼儿园提供托位，加强托育机构标准化建设与师资培养，构建多元参与、布局合理的托育服务体系。健全母婴儿童健康保障网络，加强危重孕产妇和新生儿救治能力建设，完善婴幼儿健康筛查与早期干预机制。</w:t>
      </w:r>
    </w:p>
    <w:p w14:paraId="7D84D347">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构建现代化养老服务体系。</w:t>
      </w:r>
      <w:bookmarkStart w:id="4486" w:name="_Toc9867"/>
      <w:r>
        <w:rPr>
          <w:rFonts w:hint="eastAsia" w:ascii="仿宋_GB2312" w:hAnsi="仿宋_GB2312" w:eastAsia="仿宋_GB2312" w:cs="仿宋_GB2312"/>
          <w:b w:val="0"/>
          <w:bCs w:val="0"/>
          <w:sz w:val="32"/>
          <w:szCs w:val="32"/>
          <w:highlight w:val="none"/>
        </w:rPr>
        <w:t>发展居家社区机构相协调的养老服务模式，完善社区日间照料、康复护理、助餐配餐及精神关怀等功能，支持社会力量参与养老服务供给。深化医养结合，推动嵌入式医养康复中心建设，促进医疗资源与社区、机构养老服务深度融合，提供预防、康复、护理一体化服务。加快智慧养老发展，建设统一管理平台与智能居家系统，提升养老服务信息化、精细化水平。</w:t>
      </w:r>
      <w:bookmarkEnd w:id="4486"/>
    </w:p>
    <w:p w14:paraId="27D8E913">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487" w:name="_Toc11489"/>
      <w:bookmarkStart w:id="4488" w:name="_Toc12170"/>
      <w:bookmarkStart w:id="4489" w:name="_Toc28391"/>
      <w:bookmarkStart w:id="4490" w:name="_Toc20694"/>
      <w:bookmarkStart w:id="4491" w:name="_Toc14398"/>
      <w:bookmarkStart w:id="4492" w:name="_Toc23364"/>
      <w:bookmarkStart w:id="4493" w:name="_Toc32493"/>
      <w:bookmarkStart w:id="4494" w:name="_Toc21433"/>
      <w:bookmarkStart w:id="4495" w:name="_Toc3712"/>
      <w:bookmarkStart w:id="4496" w:name="_Toc4203"/>
      <w:bookmarkStart w:id="4497" w:name="_Toc3194"/>
      <w:bookmarkStart w:id="4498" w:name="_Toc19157"/>
      <w:bookmarkStart w:id="4499" w:name="_Toc8044"/>
      <w:bookmarkStart w:id="4500" w:name="_Toc20606"/>
      <w:bookmarkStart w:id="4501" w:name="_Toc11632"/>
      <w:bookmarkStart w:id="4502" w:name="_Toc21386"/>
      <w:bookmarkStart w:id="4503" w:name="_Toc19765"/>
      <w:bookmarkStart w:id="4504" w:name="_Toc27250"/>
      <w:bookmarkStart w:id="4505" w:name="_Toc31808"/>
      <w:bookmarkStart w:id="4506" w:name="_Toc13043"/>
      <w:bookmarkStart w:id="4507" w:name="_Toc215695323"/>
      <w:bookmarkStart w:id="4508" w:name="_Toc25580"/>
      <w:bookmarkStart w:id="4509" w:name="_Toc1035"/>
      <w:bookmarkStart w:id="4510" w:name="_Toc18344"/>
      <w:bookmarkStart w:id="4511" w:name="_Toc231562163"/>
      <w:bookmarkStart w:id="4512" w:name="_Toc28843"/>
      <w:bookmarkStart w:id="4513" w:name="_Toc14835"/>
      <w:bookmarkStart w:id="4514" w:name="_Toc20"/>
      <w:bookmarkStart w:id="4515" w:name="_Toc27376"/>
      <w:bookmarkStart w:id="4516" w:name="_Toc29516"/>
      <w:bookmarkStart w:id="4517" w:name="_Toc24821"/>
      <w:bookmarkStart w:id="4518" w:name="_Toc13940"/>
      <w:r>
        <w:rPr>
          <w:rFonts w:hint="eastAsia" w:ascii="楷体_GB2312" w:hAnsi="楷体_GB2312" w:eastAsia="楷体_GB2312" w:cs="楷体_GB2312"/>
          <w:b w:val="0"/>
          <w:bCs w:val="0"/>
          <w:sz w:val="32"/>
          <w:szCs w:val="32"/>
          <w:highlight w:val="none"/>
        </w:rPr>
        <w:t>第三节  完善退役军人服务保障体系</w:t>
      </w:r>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p>
    <w:p w14:paraId="3F3B2166">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完善组织管理体系。充分发挥区委退役军人事务工作领导小组的牵头协调作用，健全部门协同、军地协同机制。完善双拥工作机制，深化拥军支前实战实备，巩固军政军民团结，弘扬崇军拥军社会风尚。夯实服务保障基层基础，持续推动退役军人服务中心（站）提质增效。</w:t>
      </w:r>
    </w:p>
    <w:p w14:paraId="507988ED">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完善工作运行体系。完善信息化管理平台运行机制，实现退役军人就业、医疗等社会服务信息数据化管理，运用大数据分析实现精准服务和政策制定。完善“一站式”服务体系，提升退役军人服务保障的便捷化、精准化水平。</w:t>
      </w:r>
    </w:p>
    <w:p w14:paraId="7D5E7A1B">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Calibri" w:eastAsia="仿宋_GB2312" w:cs="Times New Roman"/>
          <w:b w:val="0"/>
          <w:bCs w:val="0"/>
          <w:sz w:val="32"/>
          <w:szCs w:val="32"/>
          <w:highlight w:val="none"/>
        </w:rPr>
      </w:pPr>
      <w:r>
        <w:rPr>
          <w:rFonts w:hint="eastAsia" w:ascii="仿宋_GB2312" w:hAnsi="仿宋_GB2312" w:eastAsia="仿宋_GB2312" w:cs="仿宋_GB2312"/>
          <w:b w:val="0"/>
          <w:bCs w:val="0"/>
          <w:sz w:val="32"/>
          <w:szCs w:val="32"/>
          <w:highlight w:val="none"/>
        </w:rPr>
        <w:t>健全完善服务保障体系。健全安置制度机制，提高安置工作质效。完善退役军人就业支持体系，加强教育培训服务，加大就业促进力度，强化创业扶持。落实抚恤优待政策，拓展优抚对象基本优待目录清单，推进优待证赋能增效。加强思想引领和权益维护，提升烈士纪念设施管护水平，加强和规范退役军人安置和就业服务工作。</w:t>
      </w:r>
      <w:bookmarkStart w:id="4519" w:name="_Toc15310"/>
      <w:bookmarkStart w:id="4520" w:name="_Toc24077"/>
      <w:bookmarkStart w:id="4521" w:name="_Toc28726"/>
      <w:bookmarkStart w:id="4522" w:name="_Toc6610"/>
      <w:bookmarkStart w:id="4523" w:name="_Toc9183"/>
      <w:bookmarkStart w:id="4524" w:name="_Toc231562164"/>
      <w:bookmarkStart w:id="4525" w:name="_Toc215695324"/>
      <w:bookmarkStart w:id="4526" w:name="_Toc27488"/>
      <w:bookmarkStart w:id="4527" w:name="_Toc32679"/>
      <w:bookmarkStart w:id="4528" w:name="_Toc18133"/>
      <w:bookmarkStart w:id="4529" w:name="_Toc16291"/>
      <w:bookmarkStart w:id="4530" w:name="_Toc21296"/>
      <w:bookmarkStart w:id="4531" w:name="_Toc17864"/>
      <w:bookmarkStart w:id="4532" w:name="_Toc31245"/>
      <w:bookmarkStart w:id="4533" w:name="_Toc682"/>
      <w:bookmarkStart w:id="4534" w:name="_Toc13247"/>
      <w:bookmarkStart w:id="4535" w:name="_Toc20425"/>
      <w:bookmarkStart w:id="4536" w:name="_Toc500"/>
      <w:bookmarkStart w:id="4537" w:name="_Toc29065"/>
      <w:bookmarkStart w:id="4538" w:name="_Toc11486"/>
      <w:bookmarkStart w:id="4539" w:name="_Toc23512"/>
      <w:bookmarkStart w:id="4540" w:name="_Toc28605"/>
      <w:bookmarkStart w:id="4541" w:name="_Toc3010"/>
      <w:bookmarkStart w:id="4542" w:name="_Toc425"/>
      <w:bookmarkStart w:id="4543" w:name="_Toc6148"/>
      <w:bookmarkStart w:id="4544" w:name="_Toc31282"/>
      <w:bookmarkStart w:id="4545" w:name="_Toc27220"/>
      <w:bookmarkStart w:id="4546" w:name="_Toc11948"/>
    </w:p>
    <w:p w14:paraId="2E1CE939">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547" w:name="_Toc3876"/>
      <w:bookmarkStart w:id="4548" w:name="_Toc29479"/>
      <w:bookmarkStart w:id="4549" w:name="_Toc12645"/>
      <w:bookmarkStart w:id="4550" w:name="_Toc7464"/>
      <w:r>
        <w:rPr>
          <w:rFonts w:hint="eastAsia" w:ascii="楷体_GB2312" w:hAnsi="楷体_GB2312" w:eastAsia="楷体_GB2312" w:cs="楷体_GB2312"/>
          <w:b w:val="0"/>
          <w:bCs w:val="0"/>
          <w:sz w:val="32"/>
          <w:szCs w:val="32"/>
          <w:highlight w:val="none"/>
        </w:rPr>
        <w:t>第四节  健全社会救助和福利体系</w:t>
      </w:r>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p>
    <w:p w14:paraId="600E44AB">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分层分类社会救助制度。健全城乡低保、特困人员供养及临时救助制度，建立覆盖全区的社会救助网络。完善低收入人口动态监测信息平台，实现救助申请、审核、发放和监督全过程管理。利用大数据分析弱势群体需求，实现精准救助和资源优化配置。</w:t>
      </w:r>
    </w:p>
    <w:p w14:paraId="61D036C4">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加强特殊群体福利保障。加强对孤老、残疾人、困境儿童、失能人员等特殊群体的康复、教育、生活照料及心理支持服务。建设嵌入式社区服务中心，</w:t>
      </w:r>
      <w:r>
        <w:rPr>
          <w:rFonts w:hint="eastAsia" w:ascii="仿宋_GB2312" w:hAnsi="仿宋_GB2312" w:eastAsia="仿宋_GB2312" w:cs="仿宋_GB2312"/>
          <w:b w:val="0"/>
          <w:bCs w:val="0"/>
          <w:spacing w:val="-6"/>
          <w:sz w:val="32"/>
          <w:szCs w:val="32"/>
          <w:highlight w:val="none"/>
        </w:rPr>
        <w:t>联合</w:t>
      </w:r>
      <w:r>
        <w:rPr>
          <w:rFonts w:hint="eastAsia" w:ascii="仿宋_GB2312" w:hAnsi="仿宋_GB2312" w:eastAsia="仿宋_GB2312" w:cs="仿宋_GB2312"/>
          <w:b w:val="0"/>
          <w:bCs w:val="0"/>
          <w:sz w:val="32"/>
          <w:szCs w:val="32"/>
          <w:highlight w:val="none"/>
        </w:rPr>
        <w:t>医疗、文化、教育及社会服务资源，形成覆盖全生命周期的综合福利保障体系。完善残疾人两项补贴制度，提高孤儿和事实无人抚养儿童保障水平。建立健全基本殡葬服务制度。</w:t>
      </w:r>
    </w:p>
    <w:p w14:paraId="48E38956">
      <w:pPr>
        <w:rPr>
          <w:rFonts w:hint="eastAsia" w:ascii="楷体_GB2312" w:hAnsi="楷体_GB2312" w:eastAsia="楷体_GB2312" w:cs="楷体_GB2312"/>
          <w:b w:val="0"/>
          <w:bCs w:val="0"/>
          <w:sz w:val="32"/>
          <w:szCs w:val="32"/>
          <w:highlight w:val="none"/>
        </w:rPr>
      </w:pPr>
      <w:bookmarkStart w:id="4551" w:name="_Toc7249"/>
      <w:bookmarkStart w:id="4552" w:name="_Toc6878"/>
      <w:bookmarkStart w:id="4553" w:name="_Toc231562165"/>
      <w:bookmarkStart w:id="4554" w:name="_Toc14592"/>
      <w:bookmarkStart w:id="4555" w:name="_Toc11114"/>
      <w:bookmarkStart w:id="4556" w:name="_Toc9865"/>
      <w:bookmarkStart w:id="4557" w:name="_Toc10806"/>
      <w:bookmarkStart w:id="4558" w:name="_Toc4916"/>
      <w:bookmarkStart w:id="4559" w:name="_Toc25383"/>
      <w:bookmarkStart w:id="4560" w:name="_Toc4115"/>
      <w:bookmarkStart w:id="4561" w:name="_Toc13002"/>
      <w:bookmarkStart w:id="4562" w:name="_Toc1120"/>
      <w:bookmarkStart w:id="4563" w:name="_Toc16063"/>
      <w:bookmarkStart w:id="4564" w:name="_Toc13192"/>
      <w:bookmarkStart w:id="4565" w:name="_Toc30999"/>
      <w:bookmarkStart w:id="4566" w:name="_Toc11526"/>
      <w:bookmarkStart w:id="4567" w:name="_Toc14494"/>
      <w:bookmarkStart w:id="4568" w:name="_Toc28316"/>
      <w:bookmarkStart w:id="4569" w:name="_Toc5164"/>
      <w:bookmarkStart w:id="4570" w:name="_Toc20074"/>
      <w:bookmarkStart w:id="4571" w:name="_Toc30784"/>
      <w:bookmarkStart w:id="4572" w:name="_Toc17418"/>
      <w:bookmarkStart w:id="4573" w:name="_Toc215695325"/>
      <w:bookmarkStart w:id="4574" w:name="_Toc16595"/>
      <w:bookmarkStart w:id="4575" w:name="_Toc9198"/>
      <w:bookmarkStart w:id="4576" w:name="_Toc18624"/>
      <w:bookmarkStart w:id="4577" w:name="_Toc23754"/>
      <w:bookmarkStart w:id="4578" w:name="_Toc27430"/>
      <w:r>
        <w:rPr>
          <w:rFonts w:hint="eastAsia" w:ascii="楷体_GB2312" w:hAnsi="楷体_GB2312" w:eastAsia="楷体_GB2312" w:cs="楷体_GB2312"/>
          <w:b w:val="0"/>
          <w:bCs w:val="0"/>
          <w:sz w:val="32"/>
          <w:szCs w:val="32"/>
          <w:highlight w:val="none"/>
        </w:rPr>
        <w:br w:type="page"/>
      </w:r>
    </w:p>
    <w:p w14:paraId="0BD1D95E">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579" w:name="_Toc22281"/>
      <w:bookmarkStart w:id="4580" w:name="_Toc21379"/>
      <w:bookmarkStart w:id="4581" w:name="_Toc17471"/>
      <w:bookmarkStart w:id="4582" w:name="_Toc21197"/>
      <w:r>
        <w:rPr>
          <w:rFonts w:hint="eastAsia" w:ascii="楷体_GB2312" w:hAnsi="楷体_GB2312" w:eastAsia="楷体_GB2312" w:cs="楷体_GB2312"/>
          <w:b w:val="0"/>
          <w:bCs w:val="0"/>
          <w:sz w:val="32"/>
          <w:szCs w:val="32"/>
          <w:highlight w:val="none"/>
        </w:rPr>
        <w:t>第五节  持续强化住房保障</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p>
    <w:p w14:paraId="0C155620">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住房保障体系建设。加快构建房地产发展新模式，健全以配租型和配售型保障性住房为主体的住房保障体系。加大公共租赁住房、保障性租赁住房建设力度，满足城镇工薪群体、新市民、青年人和各类困难家庭基本住房需求。针对“景漂”人才等重点群体，建设人才公寓，提供灵活的租赁保障。实施项目选址优化、配套设施完善及管理标准化，提高住房安全性、舒适性和便利性。依托社区和街道信息系统，动态管理住房保障对象，确保住房政策落实公平、透明。</w:t>
      </w:r>
    </w:p>
    <w:p w14:paraId="2995BD1A">
      <w:pPr>
        <w:pStyle w:val="41"/>
        <w:pageBreakBefore w:val="0"/>
        <w:kinsoku/>
        <w:wordWrap/>
        <w:overflowPunct/>
        <w:topLinePunct w:val="0"/>
        <w:autoSpaceDE/>
        <w:autoSpaceDN/>
        <w:bidi w:val="0"/>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规范住房租赁市场发展。完善住房租赁市场管理体系，规范市场秩序，完善包括物业管理、社区服务、公共设施及安全保障的保障房配套服务体系。推动“校地共建”模式，将校园体育设施、文化空间向社区开放，实现居住、教育、文化和体育资源的综合利用，提高居民生活品质。</w:t>
      </w:r>
    </w:p>
    <w:p w14:paraId="4354E0F5">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4583" w:name="_Toc21307"/>
      <w:bookmarkStart w:id="4584" w:name="_Toc18023"/>
      <w:bookmarkStart w:id="4585" w:name="_Toc29109"/>
      <w:bookmarkStart w:id="4586" w:name="_Toc17256"/>
      <w:bookmarkStart w:id="4587" w:name="_Toc13536"/>
      <w:bookmarkStart w:id="4588" w:name="_Toc29409"/>
      <w:bookmarkStart w:id="4589" w:name="_Toc7676"/>
      <w:bookmarkStart w:id="4590" w:name="_Toc23646"/>
      <w:bookmarkStart w:id="4591" w:name="_Toc17696"/>
      <w:bookmarkStart w:id="4592" w:name="_Toc3504"/>
      <w:bookmarkStart w:id="4593" w:name="_Toc231562166"/>
      <w:bookmarkStart w:id="4594" w:name="_Toc29614"/>
      <w:bookmarkStart w:id="4595" w:name="_Toc26825"/>
      <w:bookmarkStart w:id="4596" w:name="_Toc9294"/>
      <w:bookmarkStart w:id="4597" w:name="_Toc3350"/>
      <w:bookmarkStart w:id="4598" w:name="_Toc18302"/>
      <w:bookmarkStart w:id="4599" w:name="_Toc22852"/>
      <w:bookmarkStart w:id="4600" w:name="_Toc23860"/>
      <w:bookmarkStart w:id="4601" w:name="_Toc15257"/>
      <w:bookmarkStart w:id="4602" w:name="_Toc9470"/>
      <w:bookmarkStart w:id="4603" w:name="_Toc7944"/>
      <w:bookmarkStart w:id="4604" w:name="_Toc4442"/>
      <w:bookmarkStart w:id="4605" w:name="_Toc2979"/>
      <w:bookmarkStart w:id="4606" w:name="_Toc32050"/>
      <w:bookmarkStart w:id="4607" w:name="_Toc4848"/>
      <w:bookmarkStart w:id="4608" w:name="_Toc11905"/>
      <w:bookmarkStart w:id="4609" w:name="_Toc24033"/>
      <w:bookmarkStart w:id="4610" w:name="_Toc6604"/>
      <w:bookmarkStart w:id="4611" w:name="_Toc4856"/>
      <w:bookmarkStart w:id="4612" w:name="_Toc27078"/>
      <w:bookmarkStart w:id="4613" w:name="_Toc1582"/>
      <w:r>
        <w:rPr>
          <w:rFonts w:hint="eastAsia" w:ascii="黑体" w:hAnsi="黑体" w:eastAsia="黑体"/>
          <w:b w:val="0"/>
          <w:bCs w:val="0"/>
          <w:sz w:val="32"/>
          <w:szCs w:val="32"/>
          <w:highlight w:val="none"/>
        </w:rPr>
        <w:t>第五章  建设健康昌江</w:t>
      </w:r>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p>
    <w:p w14:paraId="63B6C14B">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614" w:name="_Toc4187"/>
      <w:bookmarkStart w:id="4615" w:name="_Toc4543"/>
      <w:bookmarkStart w:id="4616" w:name="_Toc12940"/>
      <w:bookmarkStart w:id="4617" w:name="_Toc518"/>
      <w:bookmarkStart w:id="4618" w:name="_Toc4188"/>
      <w:bookmarkStart w:id="4619" w:name="_Toc1972"/>
      <w:bookmarkStart w:id="4620" w:name="_Toc10272"/>
      <w:bookmarkStart w:id="4621" w:name="_Toc21638"/>
      <w:bookmarkStart w:id="4622" w:name="_Toc30597"/>
      <w:bookmarkStart w:id="4623" w:name="_Toc10158"/>
      <w:bookmarkStart w:id="4624" w:name="_Toc5013"/>
      <w:bookmarkStart w:id="4625" w:name="_Toc27626"/>
      <w:bookmarkStart w:id="4626" w:name="_Toc25372"/>
      <w:bookmarkStart w:id="4627" w:name="_Toc14793"/>
      <w:bookmarkStart w:id="4628" w:name="_Toc231562167"/>
      <w:bookmarkStart w:id="4629" w:name="_Toc1723"/>
      <w:bookmarkStart w:id="4630" w:name="_Toc17375"/>
      <w:bookmarkStart w:id="4631" w:name="_Toc15039"/>
      <w:bookmarkStart w:id="4632" w:name="_Toc25296"/>
      <w:bookmarkStart w:id="4633" w:name="_Toc12527"/>
      <w:bookmarkStart w:id="4634" w:name="_Toc18109"/>
      <w:bookmarkStart w:id="4635" w:name="_Toc23896"/>
      <w:bookmarkStart w:id="4636" w:name="_Toc19217"/>
      <w:bookmarkStart w:id="4637" w:name="_Toc23919"/>
      <w:bookmarkStart w:id="4638" w:name="_Toc9725"/>
      <w:bookmarkStart w:id="4639" w:name="_Toc16784"/>
      <w:bookmarkStart w:id="4640" w:name="_Toc20816"/>
      <w:bookmarkStart w:id="4641" w:name="_Toc15186"/>
      <w:bookmarkStart w:id="4642" w:name="_Toc22441"/>
      <w:bookmarkStart w:id="4643" w:name="_Toc29154"/>
      <w:bookmarkStart w:id="4644" w:name="_Toc28373"/>
      <w:r>
        <w:rPr>
          <w:rFonts w:hint="eastAsia" w:ascii="楷体_GB2312" w:hAnsi="楷体_GB2312" w:eastAsia="楷体_GB2312" w:cs="楷体_GB2312"/>
          <w:b w:val="0"/>
          <w:bCs w:val="0"/>
          <w:sz w:val="32"/>
          <w:szCs w:val="32"/>
          <w:highlight w:val="none"/>
        </w:rPr>
        <w:t>第一节  强化卫生监管与疾病防治</w:t>
      </w:r>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p>
    <w:p w14:paraId="3C01809E">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提升卫生监管效能。完善医疗卫生监管体系，强化医疗管理、医保基金监管及医药协同治理，提升监管科学化、精细化和公正性。建立跨部门协同监管机制，实现医疗、医保、医药数据互联互通和信息共享。完善医疗服务质量评价体系、执业行为监管及行政管理制度，推动监管手段数字化、智能化，提升制度执行力和风险防控能力。</w:t>
      </w:r>
    </w:p>
    <w:p w14:paraId="236E65BB">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疾病防治体系。加强疾病预防控制体系建设，完善传染病监测、突发公共卫生事件应急和重大疾病防控机制。推动基层公共卫生服务能力提升，巩固国家级慢性病综合防控示范区创建成果，极大降低艾滋病、结核病等重大传染病的发病率，强化免疫规划、慢性病管理、健康档案管理及早筛查干预。推进重点疾病早诊早治，优化疾病防控与健康管理衔接，实现预防、治疗和康复全链条覆盖，提高居民健康水平和生命质量。</w:t>
      </w:r>
    </w:p>
    <w:p w14:paraId="26C2D8D9">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645" w:name="_Toc26773"/>
      <w:bookmarkStart w:id="4646" w:name="_Toc20646"/>
      <w:bookmarkStart w:id="4647" w:name="_Toc3460"/>
      <w:bookmarkStart w:id="4648" w:name="_Toc2110"/>
      <w:bookmarkStart w:id="4649" w:name="_Toc22960"/>
      <w:bookmarkStart w:id="4650" w:name="_Toc16661"/>
      <w:bookmarkStart w:id="4651" w:name="_Toc8723"/>
      <w:bookmarkStart w:id="4652" w:name="_Toc3823"/>
      <w:bookmarkStart w:id="4653" w:name="_Toc4702"/>
      <w:bookmarkStart w:id="4654" w:name="_Toc5947"/>
      <w:bookmarkStart w:id="4655" w:name="_Toc19962"/>
      <w:bookmarkStart w:id="4656" w:name="_Toc751"/>
      <w:bookmarkStart w:id="4657" w:name="_Toc17391"/>
      <w:bookmarkStart w:id="4658" w:name="_Toc14965"/>
      <w:bookmarkStart w:id="4659" w:name="_Toc16441"/>
      <w:bookmarkStart w:id="4660" w:name="_Toc8922"/>
      <w:bookmarkStart w:id="4661" w:name="_Toc792"/>
      <w:bookmarkStart w:id="4662" w:name="_Toc231562168"/>
      <w:bookmarkStart w:id="4663" w:name="_Toc28405"/>
      <w:bookmarkStart w:id="4664" w:name="_Toc12390"/>
      <w:bookmarkStart w:id="4665" w:name="_Toc21464"/>
      <w:bookmarkStart w:id="4666" w:name="_Toc20720"/>
      <w:bookmarkStart w:id="4667" w:name="_Toc10579"/>
      <w:bookmarkStart w:id="4668" w:name="_Toc7363"/>
      <w:bookmarkStart w:id="4669" w:name="_Toc24427"/>
      <w:bookmarkStart w:id="4670" w:name="_Toc2716"/>
      <w:bookmarkStart w:id="4671" w:name="_Toc32096"/>
      <w:bookmarkStart w:id="4672" w:name="_Toc24419"/>
      <w:bookmarkStart w:id="4673" w:name="_Toc2908"/>
      <w:bookmarkStart w:id="4674" w:name="_Toc5632"/>
      <w:bookmarkStart w:id="4675" w:name="_Toc700"/>
      <w:r>
        <w:rPr>
          <w:rFonts w:hint="eastAsia" w:ascii="楷体_GB2312" w:hAnsi="楷体_GB2312" w:eastAsia="楷体_GB2312" w:cs="楷体_GB2312"/>
          <w:b w:val="0"/>
          <w:bCs w:val="0"/>
          <w:sz w:val="32"/>
          <w:szCs w:val="32"/>
          <w:highlight w:val="none"/>
        </w:rPr>
        <w:t>第二节  优化健康服务</w:t>
      </w:r>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r>
        <w:rPr>
          <w:rFonts w:hint="eastAsia" w:ascii="楷体_GB2312" w:hAnsi="楷体_GB2312" w:eastAsia="楷体_GB2312" w:cs="楷体_GB2312"/>
          <w:b w:val="0"/>
          <w:bCs w:val="0"/>
          <w:sz w:val="32"/>
          <w:szCs w:val="32"/>
          <w:highlight w:val="none"/>
        </w:rPr>
        <w:t>体系</w:t>
      </w:r>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p>
    <w:p w14:paraId="5D60C0C1">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覆盖全民的公共卫生服务。完善分级诊疗体系，落实“基层首诊、双向转诊”机制，实现优质医疗资源向基层、农村及城乡接合部合理下沉。加强重点专科建设、急诊救治体系和基层医疗卫生服务能力，优化医疗资源布局，减轻群众就医负担。统筹推进“健康昌江”建设，将健康融入所有政策，建立制度保障体系，提高公共卫生服务均等化水平，形成覆盖城乡、全人群的健康服务网络。</w:t>
      </w:r>
    </w:p>
    <w:p w14:paraId="26E52F26">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提供优质高效的医疗服务。建设覆盖城乡的智慧医疗平台，实现医疗数据互联互通和信息共享，提高基层医疗机构服务能力和数字化水平。推广远程影像、心电及会诊平台应用，推动“互联网+医疗健康”在常见病、慢性病管理及重大疾病诊疗中的应用。通过数字化手段实现医疗机构信息互认、检查检验结果共享，提高医疗服务效率、服务可及性及公平性，形成现代化、高效、便捷的医疗服务体系。</w:t>
      </w:r>
    </w:p>
    <w:p w14:paraId="65893C90">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发挥中医药独特优势。推进中医药综合改革，提升中医药服务可及性，丰富医疗服务供给结构。支持中医药特色医院、诊所及社区服务中心（站）建设，推广中医药预防、治疗及康复服务。推动中医药与现代医学技术融合应用，加强中医药科研与创新，形成兼具传统特色和现代化水平的中医药服务体系。</w:t>
      </w:r>
    </w:p>
    <w:p w14:paraId="6CB53749">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676" w:name="_Toc9472"/>
      <w:bookmarkStart w:id="4677" w:name="_Toc28028"/>
      <w:bookmarkStart w:id="4678" w:name="_Toc8456"/>
      <w:bookmarkStart w:id="4679" w:name="_Toc6645"/>
      <w:bookmarkStart w:id="4680" w:name="_Toc16670"/>
      <w:bookmarkStart w:id="4681" w:name="_Toc26196"/>
      <w:bookmarkStart w:id="4682" w:name="_Toc18875"/>
      <w:bookmarkStart w:id="4683" w:name="_Toc13063"/>
      <w:bookmarkStart w:id="4684" w:name="_Toc14774"/>
      <w:bookmarkStart w:id="4685" w:name="_Toc23655"/>
      <w:bookmarkStart w:id="4686" w:name="_Toc817"/>
      <w:bookmarkStart w:id="4687" w:name="_Toc29341"/>
      <w:bookmarkStart w:id="4688" w:name="_Toc17105"/>
      <w:bookmarkStart w:id="4689" w:name="_Toc12966"/>
      <w:bookmarkStart w:id="4690" w:name="_Toc10061"/>
      <w:bookmarkStart w:id="4691" w:name="_Toc6288"/>
      <w:bookmarkStart w:id="4692" w:name="_Toc20710"/>
      <w:bookmarkStart w:id="4693" w:name="_Toc13560"/>
      <w:bookmarkStart w:id="4694" w:name="_Toc19752"/>
      <w:bookmarkStart w:id="4695" w:name="_Toc7979"/>
      <w:bookmarkStart w:id="4696" w:name="_Toc30998"/>
      <w:bookmarkStart w:id="4697" w:name="_Toc1359"/>
      <w:bookmarkStart w:id="4698" w:name="_Toc4542"/>
      <w:bookmarkStart w:id="4699" w:name="_Toc18255"/>
      <w:bookmarkStart w:id="4700" w:name="_Toc231562169"/>
      <w:bookmarkStart w:id="4701" w:name="_Toc32085"/>
      <w:bookmarkStart w:id="4702" w:name="_Toc1747"/>
      <w:bookmarkStart w:id="4703" w:name="_Toc30796"/>
      <w:bookmarkStart w:id="4704" w:name="_Toc25277"/>
      <w:bookmarkStart w:id="4705" w:name="_Toc9143"/>
      <w:bookmarkStart w:id="4706" w:name="_Toc12065"/>
      <w:r>
        <w:rPr>
          <w:rFonts w:hint="eastAsia" w:ascii="楷体_GB2312" w:hAnsi="楷体_GB2312" w:eastAsia="楷体_GB2312" w:cs="楷体_GB2312"/>
          <w:b w:val="0"/>
          <w:bCs w:val="0"/>
          <w:sz w:val="32"/>
          <w:szCs w:val="32"/>
          <w:highlight w:val="none"/>
        </w:rPr>
        <w:t>第三节  倡导健康生活理念</w:t>
      </w:r>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p>
    <w:p w14:paraId="51A1743F">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加大健康教育力度。建设制度化、标准化的健康教育体系，将健康教育纳入学校教育、社区服务和社会宣传体系。引导学校开展营养、心理、生理、急救知识等健康课程。鼓励社区开展居民健康讲座、慢病管理指导和健康促进活动，特别关注老年人和慢性病高风险人群。通过健康教育与健康服务相结合，形成制度化、可持续的教育培训机制，增强居民健康意识和主动健康管理能力。</w:t>
      </w:r>
    </w:p>
    <w:p w14:paraId="6EC025F1">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构建全民锻炼体系。全面推进全民健身行动和青少年体育发展规划，加强学校体育设施建设和课程安排，落实青少年每天适量运动的要求，提高体质测试标准和评估体系的科学性。完善社区和公共场所健身设施布局，开展群众性体育活动和运动兴趣小组。制定推动老年人、妇女和特殊人群的体育锻炼方案，提高全民整体健康水平。</w:t>
      </w:r>
    </w:p>
    <w:p w14:paraId="4DE99CD2">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4707" w:name="_Toc11366"/>
      <w:bookmarkStart w:id="4708" w:name="_Toc10702"/>
      <w:bookmarkStart w:id="4709" w:name="_Toc12145"/>
      <w:bookmarkStart w:id="4710" w:name="_Toc231562170"/>
      <w:bookmarkStart w:id="4711" w:name="_Toc22371"/>
      <w:bookmarkStart w:id="4712" w:name="_Toc22040"/>
      <w:bookmarkStart w:id="4713" w:name="_Toc18440"/>
      <w:bookmarkStart w:id="4714" w:name="_Toc23477"/>
      <w:bookmarkStart w:id="4715" w:name="_Toc23105"/>
      <w:bookmarkStart w:id="4716" w:name="_Toc14766"/>
      <w:bookmarkStart w:id="4717" w:name="_Toc6740"/>
      <w:bookmarkStart w:id="4718" w:name="_Toc6765"/>
      <w:bookmarkStart w:id="4719" w:name="_Toc21978"/>
      <w:bookmarkStart w:id="4720" w:name="_Toc8572"/>
      <w:bookmarkStart w:id="4721" w:name="_Toc31417"/>
      <w:bookmarkStart w:id="4722" w:name="_Toc16553"/>
      <w:bookmarkStart w:id="4723" w:name="_Toc31039"/>
      <w:bookmarkStart w:id="4724" w:name="_Toc12520"/>
      <w:bookmarkStart w:id="4725" w:name="_Toc31941"/>
      <w:bookmarkStart w:id="4726" w:name="_Toc28426"/>
      <w:bookmarkStart w:id="4727" w:name="_Toc25589"/>
      <w:bookmarkStart w:id="4728" w:name="_Toc24531"/>
      <w:r>
        <w:rPr>
          <w:rFonts w:hint="eastAsia" w:ascii="黑体" w:hAnsi="黑体" w:eastAsia="黑体"/>
          <w:b w:val="0"/>
          <w:bCs w:val="0"/>
          <w:sz w:val="32"/>
          <w:szCs w:val="32"/>
          <w:highlight w:val="none"/>
        </w:rPr>
        <w:t>第六章  打造高品质公共文化服务</w:t>
      </w:r>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p>
    <w:p w14:paraId="4477F23E">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729" w:name="_Toc10923"/>
      <w:bookmarkStart w:id="4730" w:name="_Toc25408"/>
      <w:bookmarkStart w:id="4731" w:name="_Toc5842"/>
      <w:bookmarkStart w:id="4732" w:name="_Toc32300"/>
      <w:bookmarkStart w:id="4733" w:name="_Toc231562171"/>
      <w:bookmarkStart w:id="4734" w:name="_Toc10289"/>
      <w:bookmarkStart w:id="4735" w:name="_Toc24559"/>
      <w:bookmarkStart w:id="4736" w:name="_Toc17372"/>
      <w:bookmarkStart w:id="4737" w:name="_Toc6243"/>
      <w:bookmarkStart w:id="4738" w:name="_Toc29781"/>
      <w:bookmarkStart w:id="4739" w:name="_Toc21940"/>
      <w:bookmarkStart w:id="4740" w:name="_Toc16020"/>
      <w:bookmarkStart w:id="4741" w:name="_Toc25935"/>
      <w:bookmarkStart w:id="4742" w:name="_Toc19757"/>
      <w:bookmarkStart w:id="4743" w:name="_Toc30753"/>
      <w:bookmarkStart w:id="4744" w:name="_Toc15151"/>
      <w:bookmarkStart w:id="4745" w:name="_Toc21098"/>
      <w:bookmarkStart w:id="4746" w:name="_Toc29187"/>
      <w:bookmarkStart w:id="4747" w:name="_Toc24296"/>
      <w:bookmarkStart w:id="4748" w:name="_Toc4468"/>
      <w:bookmarkStart w:id="4749" w:name="_Toc9256"/>
      <w:bookmarkStart w:id="4750" w:name="_Toc32034"/>
      <w:r>
        <w:rPr>
          <w:rFonts w:hint="eastAsia" w:ascii="楷体_GB2312" w:hAnsi="楷体_GB2312" w:eastAsia="楷体_GB2312" w:cs="楷体_GB2312"/>
          <w:b w:val="0"/>
          <w:bCs w:val="0"/>
          <w:sz w:val="32"/>
          <w:szCs w:val="32"/>
          <w:highlight w:val="none"/>
        </w:rPr>
        <w:t>第一节  提升公共文化设施服务能力</w:t>
      </w:r>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p>
    <w:p w14:paraId="385FF80F">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公共文化设施体系。加强图书馆、文化馆、街道文体中心、城市书房、乡镇村史馆（室）、党史教育基地及全民健身设施的一体化建设，实现设施建设与服务能力同步提升。力争全区新增或改扩建图书馆、文化馆不少于2个，建设或改扩建城市书房10个，确保城区形成“15分钟阅读圈”；实现所有乡镇（街道）至少建有1个村史馆（室），并完成《昌江区志（2001-2020）》的编纂出版，形成系统化的地方文化档案。文体设施建设将与城市更新同步规划和实施，实现主要街道、社区文化空间“应设尽设、应管尽管”。</w:t>
      </w:r>
    </w:p>
    <w:p w14:paraId="13B1C6D0">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进公共文化数字化。依托“昌江文化云”等数字平台，推进数字文化普惠应用，建设数字图书馆、线上讲座、VR展览及数字博物馆等重点工程，实现文化“线上+线下”融合发展。通过智能推荐、数据分析、在线预约、数字资源共享等功能，提高公共文化服务的精准性和可及性。推动基层社区和学校数字文化设施建设，提升居民数字文化素养和参与便利度，形成覆盖城乡、普惠性强、便捷高效的数字文化服务网络。</w:t>
      </w:r>
    </w:p>
    <w:p w14:paraId="051860DB">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751" w:name="_Toc2437"/>
      <w:bookmarkStart w:id="4752" w:name="_Toc5349"/>
      <w:bookmarkStart w:id="4753" w:name="_Toc23668"/>
      <w:bookmarkStart w:id="4754" w:name="_Toc17429"/>
      <w:bookmarkStart w:id="4755" w:name="_Toc14083"/>
      <w:bookmarkStart w:id="4756" w:name="_Toc15362"/>
      <w:bookmarkStart w:id="4757" w:name="_Toc5175"/>
      <w:bookmarkStart w:id="4758" w:name="_Toc31829"/>
      <w:bookmarkStart w:id="4759" w:name="_Toc4724"/>
      <w:bookmarkStart w:id="4760" w:name="_Toc24745"/>
      <w:bookmarkStart w:id="4761" w:name="_Toc13456"/>
      <w:bookmarkStart w:id="4762" w:name="_Toc17181"/>
      <w:bookmarkStart w:id="4763" w:name="_Toc2149"/>
      <w:bookmarkStart w:id="4764" w:name="_Toc231562172"/>
      <w:bookmarkStart w:id="4765" w:name="_Toc11457"/>
      <w:bookmarkStart w:id="4766" w:name="_Toc10612"/>
      <w:bookmarkStart w:id="4767" w:name="_Toc25947"/>
      <w:bookmarkStart w:id="4768" w:name="_Toc19140"/>
      <w:bookmarkStart w:id="4769" w:name="_Toc4625"/>
      <w:bookmarkStart w:id="4770" w:name="_Toc20154"/>
      <w:bookmarkStart w:id="4771" w:name="_Toc113"/>
      <w:bookmarkStart w:id="4772" w:name="_Toc8655"/>
      <w:r>
        <w:rPr>
          <w:rFonts w:hint="eastAsia" w:ascii="楷体_GB2312" w:hAnsi="楷体_GB2312" w:eastAsia="楷体_GB2312" w:cs="楷体_GB2312"/>
          <w:b w:val="0"/>
          <w:bCs w:val="0"/>
          <w:sz w:val="32"/>
          <w:szCs w:val="32"/>
          <w:highlight w:val="none"/>
        </w:rPr>
        <w:t>第二节  多层级优质公共文化服务供给</w:t>
      </w:r>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p>
    <w:p w14:paraId="744251F1">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进公共文化服务进社区常态化。健全“区级统筹、街道协同、社区实施”的公共文化运行机制，推动文化服务深度嵌入居民生活圈。组织开展群众喜闻乐见的文艺演出、健康讲座、科普活动等，打造“文化五进”精品项目。重点在老旧小区和学校周边设立文化活动点，实现社区居民“看得见、参与得上、享得到”的文化服务全覆盖，增强社区文化凝聚力。</w:t>
      </w:r>
    </w:p>
    <w:p w14:paraId="5A82EA7A">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扶持基层文艺创作与传播。鼓励本地文艺骨干和群众文艺团队创作具有地方特色、贴近群众的文艺作品，加大对原创文艺项目、戏剧协会、非遗项目及民间艺术的扶持力度。</w:t>
      </w:r>
    </w:p>
    <w:p w14:paraId="40A4949C">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丰富文化活动类型。丰富公共文化活动形式，除传统文艺演出外，积极探索脱口秀、街头艺术、数字展览、互动体验等新兴文化活动。鼓励文化机构、学校和社会团体创新活动内容和形式，提高文化供给的多样性和趣味性，满足不同群体的文化需求。</w:t>
      </w:r>
    </w:p>
    <w:p w14:paraId="25D31874">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拓展群众文化参与度。通过社区文化中心、学校、公共场馆及数字平台，拓宽居民参与公共文化活动的渠道。开展文化志愿服务、群众艺术培训、文化创作工作坊等项目，形成“参与式、互动性、普惠性”的文化服务模式。利用数字化工具与线上线下结合的方式，提升全区公共文化服务的覆盖率和居民获得感。</w:t>
      </w:r>
    </w:p>
    <w:bookmarkEnd w:id="4205"/>
    <w:p w14:paraId="1C5E4E93">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4773" w:name="_Toc28240"/>
      <w:bookmarkStart w:id="4774" w:name="_Toc25098"/>
      <w:bookmarkStart w:id="4775" w:name="_Toc7190"/>
      <w:bookmarkStart w:id="4776" w:name="_Toc18959"/>
      <w:bookmarkStart w:id="4777" w:name="_Toc9501"/>
      <w:bookmarkStart w:id="4778" w:name="_Toc28188"/>
      <w:bookmarkStart w:id="4779" w:name="_Toc931"/>
      <w:bookmarkStart w:id="4780" w:name="_Toc231562173"/>
      <w:bookmarkStart w:id="4781" w:name="_Toc25455"/>
      <w:bookmarkStart w:id="4782" w:name="_Toc14211"/>
      <w:bookmarkStart w:id="4783" w:name="_Toc18925"/>
      <w:bookmarkStart w:id="4784" w:name="_Toc11173"/>
      <w:bookmarkStart w:id="4785" w:name="_Toc434"/>
      <w:bookmarkStart w:id="4786" w:name="_Toc23148"/>
      <w:bookmarkStart w:id="4787" w:name="_Toc28037"/>
      <w:bookmarkStart w:id="4788" w:name="_Toc4928"/>
      <w:bookmarkStart w:id="4789" w:name="_Toc10010"/>
      <w:bookmarkStart w:id="4790" w:name="_Toc19524"/>
      <w:bookmarkStart w:id="4791" w:name="_Toc21959"/>
      <w:bookmarkStart w:id="4792" w:name="_Toc24334"/>
      <w:bookmarkStart w:id="4793" w:name="_Toc8165"/>
      <w:bookmarkStart w:id="4794" w:name="_Toc14288"/>
      <w:bookmarkStart w:id="4795" w:name="_Toc214611341"/>
      <w:bookmarkStart w:id="4796" w:name="_Toc7061"/>
      <w:bookmarkStart w:id="4797" w:name="_Toc12419"/>
      <w:bookmarkStart w:id="4798" w:name="_Toc29556"/>
      <w:bookmarkStart w:id="4799" w:name="_Toc215695333"/>
      <w:bookmarkStart w:id="4800" w:name="_Toc17617"/>
      <w:bookmarkStart w:id="4801" w:name="_Toc12911"/>
      <w:bookmarkStart w:id="4802" w:name="_Toc20417"/>
      <w:bookmarkStart w:id="4803" w:name="_Toc31028"/>
      <w:bookmarkStart w:id="4804" w:name="_Toc6490"/>
      <w:bookmarkStart w:id="4805" w:name="_Toc3706"/>
      <w:r>
        <w:rPr>
          <w:rFonts w:hint="eastAsia" w:ascii="黑体" w:hAnsi="黑体" w:eastAsia="黑体"/>
          <w:b w:val="0"/>
          <w:bCs w:val="0"/>
          <w:sz w:val="32"/>
          <w:szCs w:val="32"/>
          <w:highlight w:val="none"/>
        </w:rPr>
        <w:t>第七章  筑牢公平包容的民生保障网</w:t>
      </w:r>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p>
    <w:p w14:paraId="29C0C660">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806" w:name="_Toc4516"/>
      <w:bookmarkStart w:id="4807" w:name="_Toc7004"/>
      <w:bookmarkStart w:id="4808" w:name="_Toc16757"/>
      <w:bookmarkStart w:id="4809" w:name="_Toc2162"/>
      <w:bookmarkStart w:id="4810" w:name="_Toc8188"/>
      <w:bookmarkStart w:id="4811" w:name="_Toc6697"/>
      <w:bookmarkStart w:id="4812" w:name="_Toc19454"/>
      <w:bookmarkStart w:id="4813" w:name="_Toc25251"/>
      <w:bookmarkStart w:id="4814" w:name="_Toc3425"/>
      <w:bookmarkStart w:id="4815" w:name="_Toc10103"/>
      <w:bookmarkStart w:id="4816" w:name="_Toc17744"/>
      <w:bookmarkStart w:id="4817" w:name="_Toc17927"/>
      <w:bookmarkStart w:id="4818" w:name="_Toc5196"/>
      <w:bookmarkStart w:id="4819" w:name="_Toc24719"/>
      <w:bookmarkStart w:id="4820" w:name="_Toc21494"/>
      <w:bookmarkStart w:id="4821" w:name="_Toc5386"/>
      <w:bookmarkStart w:id="4822" w:name="_Toc6365"/>
      <w:bookmarkStart w:id="4823" w:name="_Toc9689"/>
      <w:bookmarkStart w:id="4824" w:name="_Toc9054"/>
      <w:bookmarkStart w:id="4825" w:name="_Toc231562174"/>
      <w:bookmarkStart w:id="4826" w:name="_Toc13708"/>
      <w:bookmarkStart w:id="4827" w:name="_Toc30321"/>
      <w:r>
        <w:rPr>
          <w:rFonts w:hint="eastAsia" w:ascii="楷体_GB2312" w:hAnsi="楷体_GB2312" w:eastAsia="楷体_GB2312" w:cs="楷体_GB2312"/>
          <w:b w:val="0"/>
          <w:bCs w:val="0"/>
          <w:sz w:val="32"/>
          <w:szCs w:val="32"/>
          <w:highlight w:val="none"/>
        </w:rPr>
        <w:t>第一节  提升基本公共服务均等化水平</w:t>
      </w:r>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p>
    <w:p w14:paraId="57750C4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着力推动城乡区域服务均衡布局。聚焦农村和薄弱地区，实施基本公共服务补短板行动。通过组建城乡教育联合体、医疗集团，促进优质教育、医疗资源向乡村延伸。统筹规划建设城乡公共文化、体育健身、养老托育等设施，推动城乡基础设施一体化和公共服务网络化。加大财政对基层公共服务的倾斜力度，完善人员“区管乡用、乡管村用”机制，引导人才资源流向基层，逐步缩小城乡、区域间的服务差距。</w:t>
      </w:r>
    </w:p>
    <w:p w14:paraId="4ED84033">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精准保障重点群体服务需求。聚焦残疾人、低收入家庭等重点和特殊群体，提供更有针对性、更具普惠性的基本公共服务。健全社会救助、社会福利、优抚安置等制度，加强对困难群众的兜底保障。落实残疾人“两项补贴”政策，完善康复、教育、就业等服务网络，确保基本民生保障不留死角、不漏一人。</w:t>
      </w:r>
    </w:p>
    <w:p w14:paraId="5DD75DDC">
      <w:pPr>
        <w:rPr>
          <w:rFonts w:hint="eastAsia" w:ascii="楷体_GB2312" w:hAnsi="楷体_GB2312" w:eastAsia="楷体_GB2312" w:cs="楷体_GB2312"/>
          <w:b w:val="0"/>
          <w:bCs w:val="0"/>
          <w:sz w:val="32"/>
          <w:szCs w:val="32"/>
          <w:highlight w:val="none"/>
        </w:rPr>
      </w:pPr>
      <w:bookmarkStart w:id="4828" w:name="_Toc231562175"/>
      <w:bookmarkStart w:id="4829" w:name="_Toc3121"/>
      <w:bookmarkStart w:id="4830" w:name="_Toc19440"/>
      <w:bookmarkStart w:id="4831" w:name="_Toc11597"/>
      <w:bookmarkStart w:id="4832" w:name="_Toc23950"/>
      <w:bookmarkStart w:id="4833" w:name="_Toc24291"/>
      <w:bookmarkStart w:id="4834" w:name="_Toc9783"/>
      <w:bookmarkStart w:id="4835" w:name="_Toc17351"/>
      <w:bookmarkStart w:id="4836" w:name="_Toc3462"/>
      <w:bookmarkStart w:id="4837" w:name="_Toc2306"/>
      <w:bookmarkStart w:id="4838" w:name="_Toc20633"/>
      <w:bookmarkStart w:id="4839" w:name="_Toc7517"/>
      <w:bookmarkStart w:id="4840" w:name="_Toc21360"/>
      <w:bookmarkStart w:id="4841" w:name="_Toc19350"/>
      <w:bookmarkStart w:id="4842" w:name="_Toc21480"/>
      <w:bookmarkStart w:id="4843" w:name="_Toc18293"/>
      <w:bookmarkStart w:id="4844" w:name="_Toc23712"/>
      <w:bookmarkStart w:id="4845" w:name="_Toc14954"/>
      <w:r>
        <w:rPr>
          <w:rFonts w:hint="eastAsia" w:ascii="楷体_GB2312" w:hAnsi="楷体_GB2312" w:eastAsia="楷体_GB2312" w:cs="楷体_GB2312"/>
          <w:b w:val="0"/>
          <w:bCs w:val="0"/>
          <w:sz w:val="32"/>
          <w:szCs w:val="32"/>
          <w:highlight w:val="none"/>
        </w:rPr>
        <w:br w:type="page"/>
      </w:r>
    </w:p>
    <w:p w14:paraId="3D7E41A1">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846" w:name="_Toc4721"/>
      <w:bookmarkStart w:id="4847" w:name="_Toc19282"/>
      <w:bookmarkStart w:id="4848" w:name="_Toc9589"/>
      <w:bookmarkStart w:id="4849" w:name="_Toc28241"/>
      <w:r>
        <w:rPr>
          <w:rFonts w:hint="eastAsia" w:ascii="楷体_GB2312" w:hAnsi="楷体_GB2312" w:eastAsia="楷体_GB2312" w:cs="楷体_GB2312"/>
          <w:b w:val="0"/>
          <w:bCs w:val="0"/>
          <w:sz w:val="32"/>
          <w:szCs w:val="32"/>
          <w:highlight w:val="none"/>
        </w:rPr>
        <w:t>第二节  创新公共服务供给方式</w:t>
      </w:r>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p>
    <w:p w14:paraId="0314962A">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大力推进政府购买服务。在养老、助残、托育、公共文化、社会工作等适宜领域，加大政府购买服务力度。建立健全政府购买服务的指导性目录、绩效评价和监督管理机制，培育一批专业化、规范化的社会组织和企业承接公共服务。通过引入竞争机制，激发市场活力，提高公共服务的供给效率和专业化水平，满足群众多样化、个性化的服务需求。</w:t>
      </w:r>
    </w:p>
    <w:p w14:paraId="34A0F4B4">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全面拥抱公共服务数字化转型。依托“城市大脑”和一体化政务服务平台，推动更多教育、医疗、社保、文旅等公共服务事项“一网通办”“掌上办”“免证办”。建设智慧医院、智慧学校、数字图书馆、数字文化馆，让优质服务突破时空限制。运用大数据技术精准分析群众服务需求，实现从“人找服务”到“服务找人”的转变，为群众提供更加便捷、智能的公共服务体验。</w:t>
      </w:r>
    </w:p>
    <w:p w14:paraId="5B50C216">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鼓励引导社会力量广泛参与。支持和引导社会资本以多种形式参与非基本公共服务供给。落实税费优惠、财政补贴、用地保障等激励政策，鼓励社会力量兴办医疗、养老、托育、体育等机构。大力弘扬志愿服务精神，健全志愿服务体系，畅通社会公众参与公共服务供给的渠道，形成政府主导、社会共建、市场补充、公众参与的多元供给新格局。</w:t>
      </w:r>
    </w:p>
    <w:p w14:paraId="562B54F8">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850" w:name="_Toc15734"/>
      <w:bookmarkStart w:id="4851" w:name="_Toc4031"/>
      <w:bookmarkStart w:id="4852" w:name="_Toc23515"/>
      <w:bookmarkStart w:id="4853" w:name="_Toc17205"/>
      <w:bookmarkStart w:id="4854" w:name="_Toc231562176"/>
      <w:bookmarkStart w:id="4855" w:name="_Toc30497"/>
      <w:bookmarkStart w:id="4856" w:name="_Toc11763"/>
      <w:bookmarkStart w:id="4857" w:name="_Toc21276"/>
      <w:bookmarkStart w:id="4858" w:name="_Toc12752"/>
      <w:bookmarkStart w:id="4859" w:name="_Toc29948"/>
      <w:bookmarkStart w:id="4860" w:name="_Toc2588"/>
      <w:bookmarkStart w:id="4861" w:name="_Toc4386"/>
      <w:bookmarkStart w:id="4862" w:name="_Toc2694"/>
      <w:bookmarkStart w:id="4863" w:name="_Toc12765"/>
      <w:bookmarkStart w:id="4864" w:name="_Toc16583"/>
      <w:bookmarkStart w:id="4865" w:name="_Toc17884"/>
      <w:bookmarkStart w:id="4866" w:name="_Toc25829"/>
      <w:bookmarkStart w:id="4867" w:name="_Toc18349"/>
      <w:bookmarkStart w:id="4868" w:name="_Toc3208"/>
      <w:bookmarkStart w:id="4869" w:name="_Toc26732"/>
      <w:bookmarkStart w:id="4870" w:name="_Toc26672"/>
      <w:bookmarkStart w:id="4871" w:name="_Toc7940"/>
      <w:r>
        <w:rPr>
          <w:rFonts w:hint="eastAsia" w:ascii="楷体_GB2312" w:hAnsi="楷体_GB2312" w:eastAsia="楷体_GB2312" w:cs="楷体_GB2312"/>
          <w:b w:val="0"/>
          <w:bCs w:val="0"/>
          <w:sz w:val="32"/>
          <w:szCs w:val="32"/>
          <w:highlight w:val="none"/>
        </w:rPr>
        <w:t>第三节  打造绿色文明民生服务体系</w:t>
      </w:r>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p>
    <w:p w14:paraId="2BCF25B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推进更温暖、更便捷的婚姻家庭服务。以群众体验为核心，对区级婚姻登记场所进行标准化建设和功能化配置。推动信息化登记、错时预约、节假日开放等便民举措落地，使服务更加高效顺畅。加强专业力量引入，推动婚姻辅导常态化，打造“婚前指导、婚中关怀、婚后支持”全链条服务体系，同时通过社区宣传、校园教育等方式倡导文明新风。</w:t>
      </w:r>
    </w:p>
    <w:p w14:paraId="7DF08B72">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稳步推进绿色、节约、文明的殡葬模式。优化殡葬公共设施结构，推进公益性安葬设施布局更加均衡。严格落实惠民殡葬政策，对基本服务实行减免或免费。通过新媒体宣传、社区讲座、典型示范等方式，引导群众逐步接受生态安葬、节地安葬等绿色方式，让文明殡葬理念深入人心。</w:t>
      </w:r>
    </w:p>
    <w:bookmarkEnd w:id="4795"/>
    <w:bookmarkEnd w:id="4796"/>
    <w:bookmarkEnd w:id="4797"/>
    <w:bookmarkEnd w:id="4798"/>
    <w:bookmarkEnd w:id="4799"/>
    <w:bookmarkEnd w:id="4800"/>
    <w:bookmarkEnd w:id="4801"/>
    <w:bookmarkEnd w:id="4802"/>
    <w:bookmarkEnd w:id="4803"/>
    <w:bookmarkEnd w:id="4804"/>
    <w:bookmarkEnd w:id="4805"/>
    <w:p w14:paraId="4BF1A6E9">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872" w:name="_Toc231562177"/>
      <w:bookmarkStart w:id="4873" w:name="_Toc26866"/>
      <w:bookmarkStart w:id="4874" w:name="_Toc28915"/>
      <w:bookmarkStart w:id="4875" w:name="_Toc7326"/>
      <w:bookmarkStart w:id="4876" w:name="_Toc26519"/>
      <w:bookmarkStart w:id="4877" w:name="_Toc4140"/>
      <w:bookmarkStart w:id="4878" w:name="_Toc21149"/>
      <w:bookmarkStart w:id="4879" w:name="_Toc20797"/>
      <w:bookmarkStart w:id="4880" w:name="_Toc215695339"/>
      <w:bookmarkStart w:id="4881" w:name="_Toc20353"/>
      <w:bookmarkStart w:id="4882" w:name="_Toc4025"/>
      <w:bookmarkStart w:id="4883" w:name="_Toc26882"/>
      <w:bookmarkStart w:id="4884" w:name="_Toc15459"/>
      <w:bookmarkStart w:id="4885" w:name="_Toc14530"/>
      <w:bookmarkStart w:id="4886" w:name="_Toc20555"/>
      <w:bookmarkStart w:id="4887" w:name="_Toc20982"/>
      <w:bookmarkStart w:id="4888" w:name="_Toc2599"/>
      <w:bookmarkStart w:id="4889" w:name="_Toc8346"/>
      <w:bookmarkStart w:id="4890" w:name="_Toc29319"/>
      <w:bookmarkStart w:id="4891" w:name="_Toc23384"/>
      <w:bookmarkStart w:id="4892" w:name="_Toc17563"/>
      <w:bookmarkStart w:id="4893" w:name="_Toc27935"/>
      <w:bookmarkStart w:id="4894" w:name="_Toc14582"/>
      <w:bookmarkStart w:id="4895" w:name="_Toc10778"/>
      <w:bookmarkStart w:id="4896" w:name="_Toc20897"/>
      <w:bookmarkStart w:id="4897" w:name="_Toc28864"/>
      <w:bookmarkStart w:id="4898" w:name="_Toc16840"/>
      <w:bookmarkStart w:id="4899" w:name="_Toc18199"/>
      <w:bookmarkStart w:id="4900" w:name="_Toc16572"/>
      <w:bookmarkStart w:id="4901" w:name="_Toc24606"/>
      <w:bookmarkStart w:id="4902" w:name="_Toc32217"/>
      <w:bookmarkStart w:id="4903" w:name="_Toc17580"/>
      <w:bookmarkStart w:id="4904" w:name="_Toc214611349"/>
      <w:r>
        <w:rPr>
          <w:rFonts w:hint="eastAsia" w:ascii="楷体_GB2312" w:hAnsi="楷体_GB2312" w:eastAsia="楷体_GB2312" w:cs="楷体_GB2312"/>
          <w:b w:val="0"/>
          <w:bCs w:val="0"/>
          <w:sz w:val="32"/>
          <w:szCs w:val="32"/>
          <w:highlight w:val="none"/>
        </w:rPr>
        <w:t>第四节  构建青年友好型城区</w:t>
      </w:r>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p>
    <w:p w14:paraId="7384F71C">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构建青年发展综合支持体系。全面优化青年人才驿站功能，提高青年对接政策、融入城区的便利度。加大对青年租赁住房、人才公寓等项目支持力度，探索建设集文化、休闲、交流于一体的青年社区空间。建立政策协同机制，为青年创新创业提供补助、信用贷款、股权投资、创业导师等全链条支持。</w:t>
      </w:r>
    </w:p>
    <w:p w14:paraId="21DB2C6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拓宽青年成长成才的实践场景。打造更加开放的青年就业生态，推动企业事业单位提供更多见习岗位和实践机会，引入新职业培训机构，为青年提供技能提升、职业规划和就业推荐服务。支持各类众创平台、科创载体向青年开放空间、设备和资源，举办创新挑战赛、青年创客集训营等活动，激发青年创新活力。</w:t>
      </w:r>
    </w:p>
    <w:p w14:paraId="30AB67A1">
      <w:pPr>
        <w:pageBreakBefore w:val="0"/>
        <w:kinsoku/>
        <w:wordWrap/>
        <w:overflowPunct/>
        <w:topLinePunct w:val="0"/>
        <w:autoSpaceDE/>
        <w:autoSpaceDN/>
        <w:bidi w:val="0"/>
        <w:spacing w:after="0" w:afterLines="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br w:type="page"/>
      </w:r>
    </w:p>
    <w:p w14:paraId="3E3CE8B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C52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6464115A">
            <w:pPr>
              <w:pageBreakBefore w:val="0"/>
              <w:tabs>
                <w:tab w:val="left" w:pos="6725"/>
              </w:tabs>
              <w:kinsoku/>
              <w:wordWrap/>
              <w:overflowPunct/>
              <w:topLinePunct w:val="0"/>
              <w:autoSpaceDE/>
              <w:autoSpaceDN/>
              <w:bidi w:val="0"/>
              <w:spacing w:after="0" w:afterLines="0" w:line="240" w:lineRule="auto"/>
              <w:jc w:val="center"/>
              <w:rPr>
                <w:rFonts w:hint="eastAsia" w:ascii="仿宋_GB2312" w:hAnsi="仿宋_GB2312" w:eastAsia="仿宋_GB2312" w:cs="仿宋_GB2312"/>
                <w:b w:val="0"/>
                <w:bCs w:val="0"/>
                <w:sz w:val="32"/>
                <w:szCs w:val="32"/>
                <w:highlight w:val="none"/>
              </w:rPr>
            </w:pPr>
            <w:r>
              <w:rPr>
                <w:rFonts w:hint="eastAsia" w:ascii="黑体" w:hAnsi="黑体" w:eastAsia="黑体" w:cs="黑体"/>
                <w:b w:val="0"/>
                <w:bCs w:val="0"/>
                <w:sz w:val="24"/>
                <w:highlight w:val="none"/>
                <w:lang w:bidi="ar"/>
              </w:rPr>
              <w:t>专栏12  人民幸福重点工程</w:t>
            </w:r>
          </w:p>
        </w:tc>
      </w:tr>
      <w:tr w14:paraId="0465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4433B7AC">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1.技能培训提升工程</w:t>
            </w:r>
          </w:p>
          <w:p w14:paraId="620AD5FB">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推进吕蒙街道失地农民培训中心项目，提升失地农民就业能力。</w:t>
            </w:r>
          </w:p>
          <w:p w14:paraId="48DC0072">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2.教育均衡提质工程</w:t>
            </w:r>
          </w:p>
          <w:p w14:paraId="05E44BAA">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动昌江一中改扩建项目（二期、三期）、昌江三中改扩建项目、昌江区义务教育学校综合改造提升项目、昌江区公办幼儿园综合改造提升项目、昌江区教学设备信息化提升项目等一批教育重点项目，提升学校承载力与智慧化程度。</w:t>
            </w:r>
          </w:p>
          <w:p w14:paraId="44AFFE90">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3.医疗康养服务升级工程</w:t>
            </w:r>
          </w:p>
          <w:p w14:paraId="4937B4E5">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推动昌江区中医医院医养中心建设项目、昌江区森林公园康养中心建设项目、昌江区社区嵌入式养老服务设施建设项目、华风康养教育中心建设项目等医疗康养重点项目建设。</w:t>
            </w:r>
          </w:p>
          <w:p w14:paraId="7F47B9B9">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4.托育供给强化工程</w:t>
            </w:r>
          </w:p>
          <w:p w14:paraId="1D73B163">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推动昌江区公办幼儿园综合改造提升项目、昌江区托育综合服务中心建设项目等托育重点项目建设，提升托育服务供给能力。</w:t>
            </w:r>
          </w:p>
          <w:p w14:paraId="6074387B">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5.公共文化休闲设施优化工程</w:t>
            </w:r>
          </w:p>
          <w:p w14:paraId="53A9CC7D">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24"/>
                <w:highlight w:val="none"/>
              </w:rPr>
            </w:pPr>
            <w:r>
              <w:rPr>
                <w:rFonts w:hint="eastAsia" w:ascii="仿宋_GB2312" w:hAnsi="仿宋_GB2312" w:eastAsia="仿宋_GB2312" w:cs="仿宋_GB2312"/>
                <w:b w:val="0"/>
                <w:bCs w:val="0"/>
                <w:sz w:val="24"/>
                <w:highlight w:val="none"/>
              </w:rPr>
              <w:t>推动景德镇市人民公园提升打造项目、鲇鱼山镇“生态健身走廊”步行道及配套设施建设项目等重点项目建设。</w:t>
            </w:r>
          </w:p>
          <w:p w14:paraId="52E61F41">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黑体" w:hAnsi="黑体" w:eastAsia="黑体" w:cs="黑体"/>
                <w:b w:val="0"/>
                <w:bCs w:val="0"/>
                <w:sz w:val="24"/>
                <w:highlight w:val="none"/>
              </w:rPr>
            </w:pPr>
            <w:r>
              <w:rPr>
                <w:rFonts w:hint="eastAsia" w:ascii="黑体" w:hAnsi="黑体" w:eastAsia="黑体" w:cs="黑体"/>
                <w:b w:val="0"/>
                <w:bCs w:val="0"/>
                <w:sz w:val="24"/>
                <w:highlight w:val="none"/>
              </w:rPr>
              <w:t>6.住房保障与服务提升工程</w:t>
            </w:r>
          </w:p>
          <w:p w14:paraId="30A00470">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24"/>
                <w:highlight w:val="none"/>
              </w:rPr>
              <w:t>推动昌江区西河农贸综合批发市场建设项目、昌江区鱼丽农贸综合批发市场项目、昌江区人才公寓建设项目、昌江区保障性住房基础配套设施工程、鱼丽片区生活服务综合体建设项目、新枫街道城乡居民人居环境提升工程、吕蒙街道官庄村居民生活改善综合体建设项目等一系列民生重点项目建设。</w:t>
            </w:r>
          </w:p>
        </w:tc>
      </w:tr>
    </w:tbl>
    <w:p w14:paraId="05F088D4">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bookmarkEnd w:id="4904"/>
    <w:p w14:paraId="297E955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bookmarkStart w:id="4905" w:name="_Toc32756"/>
      <w:bookmarkStart w:id="4906" w:name="_Toc21981"/>
      <w:bookmarkStart w:id="4907" w:name="_Toc8978"/>
      <w:bookmarkStart w:id="4908" w:name="_Toc3067"/>
      <w:bookmarkStart w:id="4909" w:name="_Toc10970"/>
      <w:bookmarkStart w:id="4910" w:name="_Toc10890"/>
      <w:bookmarkStart w:id="4911" w:name="_Toc24695"/>
      <w:bookmarkStart w:id="4912" w:name="_Toc2411"/>
      <w:bookmarkStart w:id="4913" w:name="_Toc31977"/>
      <w:bookmarkStart w:id="4914" w:name="_Toc32117"/>
      <w:bookmarkStart w:id="4915" w:name="_Toc215695357"/>
      <w:bookmarkStart w:id="4916" w:name="_Toc214611365"/>
      <w:r>
        <w:rPr>
          <w:rFonts w:hint="eastAsia" w:ascii="仿宋_GB2312" w:hAnsi="仿宋_GB2312" w:eastAsia="仿宋_GB2312" w:cs="仿宋_GB2312"/>
          <w:b w:val="0"/>
          <w:bCs w:val="0"/>
          <w:sz w:val="32"/>
          <w:szCs w:val="32"/>
          <w:highlight w:val="none"/>
        </w:rPr>
        <w:br w:type="page"/>
      </w:r>
    </w:p>
    <w:p w14:paraId="4E5FE67A">
      <w:pPr>
        <w:keepNext w:val="0"/>
        <w:keepLines w:val="0"/>
        <w:pageBreakBefore w:val="0"/>
        <w:widowControl w:val="0"/>
        <w:kinsoku/>
        <w:wordWrap/>
        <w:overflowPunct/>
        <w:topLinePunct w:val="0"/>
        <w:autoSpaceDE/>
        <w:autoSpaceDN/>
        <w:bidi w:val="0"/>
        <w:adjustRightInd w:val="0"/>
        <w:snapToGrid w:val="0"/>
        <w:spacing w:after="0" w:afterLines="0" w:line="560" w:lineRule="exact"/>
        <w:jc w:val="center"/>
        <w:textAlignment w:val="auto"/>
        <w:outlineLvl w:val="0"/>
        <w:rPr>
          <w:rFonts w:hint="eastAsia" w:ascii="方正小标宋简体" w:eastAsia="方正小标宋简体"/>
          <w:b w:val="0"/>
          <w:bCs w:val="0"/>
          <w:sz w:val="36"/>
          <w:szCs w:val="36"/>
          <w:highlight w:val="none"/>
        </w:rPr>
      </w:pPr>
      <w:bookmarkStart w:id="4917" w:name="_Toc6795"/>
      <w:bookmarkStart w:id="4918" w:name="_Toc20192"/>
      <w:bookmarkStart w:id="4919" w:name="_Toc17996"/>
      <w:bookmarkStart w:id="4920" w:name="_Toc10685"/>
      <w:bookmarkStart w:id="4921" w:name="_Toc22261"/>
      <w:bookmarkStart w:id="4922" w:name="_Toc5648"/>
      <w:bookmarkStart w:id="4923" w:name="_Toc28158"/>
      <w:bookmarkStart w:id="4924" w:name="_Toc5139"/>
      <w:bookmarkStart w:id="4925" w:name="_Toc24884"/>
      <w:bookmarkStart w:id="4926" w:name="_Toc28962"/>
      <w:bookmarkStart w:id="4927" w:name="_Toc32155"/>
      <w:bookmarkStart w:id="4928" w:name="_Toc231562178"/>
      <w:bookmarkStart w:id="4929" w:name="_Toc14171"/>
      <w:bookmarkStart w:id="4930" w:name="_Toc848"/>
      <w:bookmarkStart w:id="4931" w:name="_Toc24313"/>
      <w:bookmarkStart w:id="4932" w:name="_Toc30538"/>
      <w:bookmarkStart w:id="4933" w:name="_Toc892"/>
      <w:bookmarkStart w:id="4934" w:name="_Toc12643"/>
      <w:bookmarkStart w:id="4935" w:name="_Toc23985"/>
      <w:bookmarkStart w:id="4936" w:name="_Toc7890"/>
      <w:bookmarkStart w:id="4937" w:name="_Toc24628"/>
      <w:r>
        <w:rPr>
          <w:rFonts w:hint="eastAsia" w:ascii="方正小标宋简体" w:eastAsia="方正小标宋简体"/>
          <w:b w:val="0"/>
          <w:bCs w:val="0"/>
          <w:sz w:val="36"/>
          <w:szCs w:val="36"/>
          <w:highlight w:val="none"/>
        </w:rPr>
        <w:t>第十三篇  加强社会治理建设，推动智慧韧性城区</w:t>
      </w:r>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14:paraId="7A95A3DD">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4E43253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国家安全是民族复兴的根基，是中国式现代化行稳致远的重要基础。全面贯彻总体国家安全观，坚持政治安全、人民安全和国家利益至上，走中国特色社会主义社会治理之路，坚持统筹发展和安全，</w:t>
      </w:r>
      <w:r>
        <w:rPr>
          <w:rFonts w:hint="eastAsia" w:ascii="仿宋_GB2312" w:hAnsi="仿宋_GB2312" w:eastAsia="仿宋_GB2312" w:cs="仿宋_GB2312"/>
          <w:b w:val="0"/>
          <w:bCs w:val="0"/>
          <w:sz w:val="32"/>
          <w:szCs w:val="32"/>
          <w:highlight w:val="none"/>
          <w:lang w:bidi="ar"/>
        </w:rPr>
        <w:t>聚焦政治安全、经济安全、文化安全、网络安全等关键领域，构建全方位、多层次的国家安全防护体系，为昌江高质量发展保驾护航。</w:t>
      </w:r>
    </w:p>
    <w:p w14:paraId="2C26F64C">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4938" w:name="_Toc16223"/>
      <w:bookmarkStart w:id="4939" w:name="_Toc2428"/>
      <w:bookmarkStart w:id="4940" w:name="_Toc3004"/>
      <w:bookmarkStart w:id="4941" w:name="_Toc18694"/>
      <w:bookmarkStart w:id="4942" w:name="_Toc30748"/>
      <w:bookmarkStart w:id="4943" w:name="_Toc22471"/>
      <w:bookmarkStart w:id="4944" w:name="_Toc25374"/>
      <w:bookmarkStart w:id="4945" w:name="_Toc231562179"/>
      <w:bookmarkStart w:id="4946" w:name="_Toc11353"/>
      <w:bookmarkStart w:id="4947" w:name="_Toc21060"/>
      <w:bookmarkStart w:id="4948" w:name="_Toc25401"/>
      <w:bookmarkStart w:id="4949" w:name="_Toc4655"/>
      <w:bookmarkStart w:id="4950" w:name="_Toc742"/>
      <w:bookmarkStart w:id="4951" w:name="_Toc4172"/>
      <w:bookmarkStart w:id="4952" w:name="_Toc28411"/>
      <w:bookmarkStart w:id="4953" w:name="_Toc12505"/>
      <w:bookmarkStart w:id="4954" w:name="_Toc4906"/>
      <w:bookmarkStart w:id="4955" w:name="_Toc603"/>
      <w:bookmarkStart w:id="4956" w:name="_Toc505"/>
      <w:bookmarkStart w:id="4957" w:name="_Toc9759"/>
      <w:bookmarkStart w:id="4958" w:name="_Toc2872"/>
      <w:bookmarkStart w:id="4959" w:name="_Toc13497"/>
      <w:bookmarkStart w:id="4960" w:name="_Toc15765"/>
      <w:bookmarkStart w:id="4961" w:name="_Toc8836"/>
      <w:bookmarkStart w:id="4962" w:name="_Toc15370"/>
      <w:bookmarkStart w:id="4963" w:name="_Toc14804"/>
      <w:bookmarkStart w:id="4964" w:name="_Toc6175"/>
      <w:bookmarkStart w:id="4965" w:name="_Toc26290"/>
      <w:bookmarkStart w:id="4966" w:name="_Toc4568"/>
      <w:bookmarkStart w:id="4967" w:name="_Toc15312"/>
      <w:bookmarkStart w:id="4968" w:name="_Toc23995"/>
      <w:bookmarkStart w:id="4969" w:name="_Toc214611366"/>
      <w:bookmarkStart w:id="4970" w:name="_Toc215695358"/>
      <w:r>
        <w:rPr>
          <w:rFonts w:hint="eastAsia" w:ascii="黑体" w:hAnsi="黑体" w:eastAsia="黑体"/>
          <w:b w:val="0"/>
          <w:bCs w:val="0"/>
          <w:sz w:val="32"/>
          <w:szCs w:val="32"/>
          <w:highlight w:val="none"/>
        </w:rPr>
        <w:t>第一章  坚决维护国家安全</w:t>
      </w:r>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p>
    <w:p w14:paraId="27918CE5">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4971" w:name="_Toc30669"/>
      <w:bookmarkStart w:id="4972" w:name="_Toc20980"/>
      <w:bookmarkStart w:id="4973" w:name="_Toc1903"/>
      <w:bookmarkStart w:id="4974" w:name="_Toc21911"/>
      <w:bookmarkStart w:id="4975" w:name="_Toc1434"/>
      <w:bookmarkStart w:id="4976" w:name="_Toc2554"/>
      <w:bookmarkStart w:id="4977" w:name="_Toc258"/>
      <w:bookmarkStart w:id="4978" w:name="_Toc8768"/>
      <w:bookmarkStart w:id="4979" w:name="_Toc8632"/>
      <w:bookmarkStart w:id="4980" w:name="_Toc3533"/>
      <w:bookmarkStart w:id="4981" w:name="_Toc3439"/>
      <w:bookmarkStart w:id="4982" w:name="_Toc21172"/>
      <w:bookmarkStart w:id="4983" w:name="_Toc15339"/>
      <w:bookmarkStart w:id="4984" w:name="_Toc5411"/>
      <w:bookmarkStart w:id="4985" w:name="_Toc25706"/>
      <w:bookmarkStart w:id="4986" w:name="_Toc231562180"/>
      <w:bookmarkStart w:id="4987" w:name="_Toc26057"/>
      <w:bookmarkStart w:id="4988" w:name="_Toc29901"/>
      <w:bookmarkStart w:id="4989" w:name="_Toc16038"/>
      <w:bookmarkStart w:id="4990" w:name="_Toc7075"/>
      <w:bookmarkStart w:id="4991" w:name="_Toc15509"/>
      <w:bookmarkStart w:id="4992" w:name="_Toc13109"/>
      <w:bookmarkStart w:id="4993" w:name="_Toc2571"/>
      <w:bookmarkStart w:id="4994" w:name="_Toc30891"/>
      <w:bookmarkStart w:id="4995" w:name="_Toc8421"/>
      <w:bookmarkStart w:id="4996" w:name="_Toc13134"/>
      <w:bookmarkStart w:id="4997" w:name="_Toc13435"/>
      <w:bookmarkStart w:id="4998" w:name="_Toc1625"/>
      <w:bookmarkStart w:id="4999" w:name="_Toc20520"/>
      <w:bookmarkStart w:id="5000" w:name="_Toc4158"/>
      <w:bookmarkStart w:id="5001" w:name="_Toc21088"/>
      <w:r>
        <w:rPr>
          <w:rFonts w:hint="eastAsia" w:ascii="楷体_GB2312" w:hAnsi="楷体_GB2312" w:eastAsia="楷体_GB2312" w:cs="楷体_GB2312"/>
          <w:b w:val="0"/>
          <w:bCs w:val="0"/>
          <w:sz w:val="32"/>
          <w:szCs w:val="32"/>
          <w:highlight w:val="none"/>
        </w:rPr>
        <w:t>第一节  筑牢政治安全防线</w:t>
      </w:r>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p>
    <w:p w14:paraId="3723612A">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坚决维护国家安全。坚持党对国家安全工作的绝对领导，</w:t>
      </w:r>
      <w:r>
        <w:rPr>
          <w:rFonts w:hint="eastAsia" w:ascii="仿宋_GB2312" w:hAnsi="仿宋_GB2312" w:eastAsia="仿宋_GB2312" w:cs="仿宋_GB2312"/>
          <w:b w:val="0"/>
          <w:bCs w:val="0"/>
          <w:sz w:val="32"/>
          <w:szCs w:val="32"/>
          <w:highlight w:val="none"/>
          <w:lang w:bidi="ar"/>
        </w:rPr>
        <w:t>始终把政治安全放在首位，</w:t>
      </w:r>
      <w:r>
        <w:rPr>
          <w:rFonts w:hint="eastAsia" w:ascii="仿宋_GB2312" w:hAnsi="仿宋_GB2312" w:eastAsia="仿宋_GB2312" w:cs="仿宋_GB2312"/>
          <w:b w:val="0"/>
          <w:bCs w:val="0"/>
          <w:sz w:val="32"/>
          <w:szCs w:val="32"/>
          <w:highlight w:val="none"/>
        </w:rPr>
        <w:t>将总体国家安全观贯穿于全区工作各方面全过程，健全重点领域国家安全工作协调机制和政治安全风险的监测预警、分析研判、协同响应、应急处置机制，持续完善</w:t>
      </w:r>
      <w:r>
        <w:rPr>
          <w:rFonts w:hint="eastAsia" w:ascii="仿宋_GB2312" w:hAnsi="仿宋_GB2312" w:eastAsia="仿宋_GB2312" w:cs="仿宋_GB2312"/>
          <w:b w:val="0"/>
          <w:bCs w:val="0"/>
          <w:sz w:val="32"/>
          <w:szCs w:val="32"/>
          <w:highlight w:val="none"/>
          <w:lang w:bidi="ar"/>
        </w:rPr>
        <w:t>区、</w:t>
      </w:r>
      <w:r>
        <w:rPr>
          <w:rFonts w:hint="eastAsia" w:ascii="仿宋_GB2312" w:hAnsi="仿宋_GB2312" w:eastAsia="仿宋_GB2312" w:cs="仿宋_GB2312"/>
          <w:b w:val="0"/>
          <w:bCs w:val="0"/>
          <w:sz w:val="32"/>
          <w:szCs w:val="32"/>
          <w:highlight w:val="none"/>
        </w:rPr>
        <w:t>乡镇（街道）</w:t>
      </w:r>
      <w:r>
        <w:rPr>
          <w:rFonts w:hint="eastAsia" w:ascii="仿宋_GB2312" w:hAnsi="仿宋_GB2312" w:eastAsia="仿宋_GB2312" w:cs="仿宋_GB2312"/>
          <w:b w:val="0"/>
          <w:bCs w:val="0"/>
          <w:sz w:val="32"/>
          <w:szCs w:val="32"/>
          <w:highlight w:val="none"/>
          <w:lang w:bidi="ar"/>
        </w:rPr>
        <w:t>、村（社区）三级政治安全责任体系建设</w:t>
      </w:r>
      <w:r>
        <w:rPr>
          <w:rFonts w:hint="eastAsia" w:ascii="仿宋_GB2312" w:hAnsi="仿宋_GB2312" w:eastAsia="仿宋_GB2312" w:cs="仿宋_GB2312"/>
          <w:b w:val="0"/>
          <w:bCs w:val="0"/>
          <w:sz w:val="32"/>
          <w:szCs w:val="32"/>
          <w:highlight w:val="none"/>
        </w:rPr>
        <w:t>，确保国家安全各项决策部署在昌江不折不扣落地见效。</w:t>
      </w:r>
    </w:p>
    <w:p w14:paraId="7D935692">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筑牢国家安全人民防线。深入开展全民国家安全宣传教育，推动国家安全教育进学校、进企业、进社区，实现常态化、制度化。创新宣传方式，增强宣传教育的吸引力和感染力，提升全民国家安全意识和素养。健全反奸防谍、反恐防暴、反颠覆反破坏的工作机制，严密防范和依法打击敌对势力的各类渗透破坏活动，凝聚起维护国家安全的强大社会合力。</w:t>
      </w:r>
    </w:p>
    <w:p w14:paraId="49E02D0B">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坚定维护网络与意识形态安全。全面落实意识形态工作责任制，牢牢掌握意识形态工作领导权。完善网络安全、信息安全、数据安全综合防护体系，加强对党政机关、关键信息基础设施、重要数据资源的安全保护。强化网络空间综合治理，提升网络安全态势感知、监测预警和应急处置能力，坚决维护国家政权安全、制度安全和意识形态安全。</w:t>
      </w:r>
    </w:p>
    <w:p w14:paraId="2A73350B">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002" w:name="_Toc8207"/>
      <w:bookmarkStart w:id="5003" w:name="_Toc12566"/>
      <w:bookmarkStart w:id="5004" w:name="_Toc1301"/>
      <w:bookmarkStart w:id="5005" w:name="_Toc12535"/>
      <w:bookmarkStart w:id="5006" w:name="_Toc9924"/>
      <w:bookmarkStart w:id="5007" w:name="_Toc1626"/>
      <w:bookmarkStart w:id="5008" w:name="_Toc6635"/>
      <w:bookmarkStart w:id="5009" w:name="_Toc22123"/>
      <w:bookmarkStart w:id="5010" w:name="_Toc21983"/>
      <w:bookmarkStart w:id="5011" w:name="_Toc9587"/>
      <w:bookmarkStart w:id="5012" w:name="_Toc13959"/>
      <w:bookmarkStart w:id="5013" w:name="_Toc6693"/>
      <w:bookmarkStart w:id="5014" w:name="_Toc1996"/>
      <w:bookmarkStart w:id="5015" w:name="_Toc28988"/>
      <w:bookmarkStart w:id="5016" w:name="_Toc17786"/>
      <w:bookmarkStart w:id="5017" w:name="_Toc15727"/>
      <w:bookmarkStart w:id="5018" w:name="_Toc3685"/>
      <w:bookmarkStart w:id="5019" w:name="_Toc18409"/>
      <w:bookmarkStart w:id="5020" w:name="_Toc1878"/>
      <w:bookmarkStart w:id="5021" w:name="_Toc12442"/>
      <w:bookmarkStart w:id="5022" w:name="_Toc231562181"/>
      <w:bookmarkStart w:id="5023" w:name="_Toc6632"/>
      <w:bookmarkStart w:id="5024" w:name="_Toc4409"/>
      <w:bookmarkStart w:id="5025" w:name="_Toc27851"/>
      <w:bookmarkStart w:id="5026" w:name="_Toc18601"/>
      <w:bookmarkStart w:id="5027" w:name="_Toc22341"/>
      <w:bookmarkStart w:id="5028" w:name="_Toc6469"/>
      <w:bookmarkStart w:id="5029" w:name="_Toc30385"/>
      <w:bookmarkStart w:id="5030" w:name="_Toc7762"/>
      <w:bookmarkStart w:id="5031" w:name="_Toc14863"/>
      <w:bookmarkStart w:id="5032" w:name="_Toc17647"/>
      <w:r>
        <w:rPr>
          <w:rFonts w:hint="eastAsia" w:ascii="楷体_GB2312" w:hAnsi="楷体_GB2312" w:eastAsia="楷体_GB2312" w:cs="楷体_GB2312"/>
          <w:b w:val="0"/>
          <w:bCs w:val="0"/>
          <w:sz w:val="32"/>
          <w:szCs w:val="32"/>
          <w:highlight w:val="none"/>
        </w:rPr>
        <w:t>第二节  夯实经济安全基础</w:t>
      </w:r>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p>
    <w:p w14:paraId="477859D3">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战略物资储备与保障能力。健全粮食、能源、医药、防汛防灾等重点战略物资的储备、轮换、调控和应急保供体系，优化储备品类、规模和布局。严格落实粮食安全“党政同责”和区长负责制。完善应急物资快速调拨和紧急运输机制，确保在关键时刻战略物资供应安全、调度高效。</w:t>
      </w:r>
    </w:p>
    <w:p w14:paraId="54357FC9">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保障关键基础设施安全运行。实施关键基础设施安全保护规划，对交通、能源、水利、通信、金融等城市生命线工程，完善全天候、全方位的安全监测、风险评估、预警报告和应急处置机制。推进“智慧基建”，利用物联网、大数据、人工智能等技术，提升关键基础设施的风险识别、安全韧性和灾后快速恢复能力。</w:t>
      </w:r>
    </w:p>
    <w:p w14:paraId="11B8051F">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增强产业链供应链韧性与安全水平。建立健全重点产业经济运行安全监测预警体系，加强对产业链、供应链、能源链等关键环节的动态监控和风险评估。推动重点行业企业落实安全生产主体责任，开展安全生产标准化建设，提升企业本质安全水平，确保产业链稳定运行。完善应急状态下重点企业生产和关键环节供应保障预案，增强区域经济的抗冲击能力和发展韧性。</w:t>
      </w:r>
    </w:p>
    <w:p w14:paraId="015B0DA6">
      <w:pPr>
        <w:rPr>
          <w:rFonts w:hint="eastAsia" w:ascii="黑体" w:hAnsi="黑体" w:eastAsia="黑体"/>
          <w:b w:val="0"/>
          <w:bCs w:val="0"/>
          <w:sz w:val="32"/>
          <w:szCs w:val="32"/>
          <w:highlight w:val="none"/>
        </w:rPr>
      </w:pPr>
      <w:bookmarkStart w:id="5033" w:name="_Toc31782"/>
      <w:bookmarkStart w:id="5034" w:name="_Toc13367"/>
      <w:bookmarkStart w:id="5035" w:name="_Toc26203"/>
      <w:bookmarkStart w:id="5036" w:name="_Toc12344"/>
      <w:bookmarkStart w:id="5037" w:name="_Toc2112"/>
      <w:bookmarkStart w:id="5038" w:name="_Toc31704"/>
      <w:bookmarkStart w:id="5039" w:name="_Toc20604"/>
      <w:bookmarkStart w:id="5040" w:name="_Toc26738"/>
      <w:bookmarkStart w:id="5041" w:name="_Toc15646"/>
      <w:bookmarkStart w:id="5042" w:name="_Toc24133"/>
      <w:bookmarkStart w:id="5043" w:name="_Toc15924"/>
      <w:bookmarkStart w:id="5044" w:name="_Toc13533"/>
      <w:bookmarkStart w:id="5045" w:name="_Toc29281"/>
      <w:bookmarkStart w:id="5046" w:name="_Toc231562182"/>
      <w:bookmarkStart w:id="5047" w:name="_Toc14534"/>
      <w:bookmarkStart w:id="5048" w:name="_Toc18749"/>
      <w:bookmarkStart w:id="5049" w:name="_Toc1887"/>
      <w:bookmarkStart w:id="5050" w:name="_Toc18241"/>
      <w:bookmarkStart w:id="5051" w:name="_Toc26930"/>
      <w:bookmarkStart w:id="5052" w:name="_Toc24210"/>
      <w:bookmarkStart w:id="5053" w:name="_Toc31730"/>
      <w:bookmarkStart w:id="5054" w:name="_Toc29985"/>
      <w:bookmarkStart w:id="5055" w:name="_Toc32472"/>
      <w:bookmarkStart w:id="5056" w:name="_Toc1927"/>
      <w:bookmarkStart w:id="5057" w:name="_Toc3550"/>
      <w:bookmarkStart w:id="5058" w:name="_Toc18844"/>
      <w:bookmarkStart w:id="5059" w:name="_Toc807"/>
      <w:r>
        <w:rPr>
          <w:rFonts w:hint="eastAsia" w:ascii="黑体" w:hAnsi="黑体" w:eastAsia="黑体"/>
          <w:b w:val="0"/>
          <w:bCs w:val="0"/>
          <w:sz w:val="32"/>
          <w:szCs w:val="32"/>
          <w:highlight w:val="none"/>
        </w:rPr>
        <w:br w:type="page"/>
      </w:r>
    </w:p>
    <w:p w14:paraId="4705ED20">
      <w:pPr>
        <w:pageBreakBefore w:val="0"/>
        <w:widowControl/>
        <w:kinsoku/>
        <w:wordWrap/>
        <w:overflowPunct/>
        <w:topLinePunct w:val="0"/>
        <w:autoSpaceDE/>
        <w:autoSpaceDN/>
        <w:bidi w:val="0"/>
        <w:adjustRightInd/>
        <w:snapToGrid/>
        <w:spacing w:after="0" w:afterLines="0" w:line="560" w:lineRule="exact"/>
        <w:jc w:val="center"/>
        <w:outlineLvl w:val="1"/>
        <w:rPr>
          <w:rFonts w:hint="eastAsia" w:ascii="黑体" w:hAnsi="黑体" w:eastAsia="黑体"/>
          <w:b w:val="0"/>
          <w:bCs w:val="0"/>
          <w:sz w:val="32"/>
          <w:szCs w:val="32"/>
          <w:highlight w:val="none"/>
        </w:rPr>
      </w:pPr>
      <w:bookmarkStart w:id="5060" w:name="_Toc31922"/>
      <w:bookmarkStart w:id="5061" w:name="_Toc30725"/>
      <w:bookmarkStart w:id="5062" w:name="_Toc554"/>
      <w:bookmarkStart w:id="5063" w:name="_Toc18406"/>
      <w:r>
        <w:rPr>
          <w:rFonts w:hint="eastAsia" w:ascii="黑体" w:hAnsi="黑体" w:eastAsia="黑体"/>
          <w:b w:val="0"/>
          <w:bCs w:val="0"/>
          <w:sz w:val="32"/>
          <w:szCs w:val="32"/>
          <w:highlight w:val="none"/>
        </w:rPr>
        <w:t>第二章  全面加强安全生产</w:t>
      </w:r>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p>
    <w:p w14:paraId="29B8AAB4">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064" w:name="_Toc29965"/>
      <w:bookmarkStart w:id="5065" w:name="_Toc30839"/>
      <w:bookmarkStart w:id="5066" w:name="_Toc19509"/>
      <w:bookmarkStart w:id="5067" w:name="_Toc3031"/>
      <w:bookmarkStart w:id="5068" w:name="_Toc12359"/>
      <w:bookmarkStart w:id="5069" w:name="_Toc10680"/>
      <w:bookmarkStart w:id="5070" w:name="_Toc31433"/>
      <w:bookmarkStart w:id="5071" w:name="_Toc231562183"/>
      <w:bookmarkStart w:id="5072" w:name="_Toc14343"/>
      <w:bookmarkStart w:id="5073" w:name="_Toc26125"/>
      <w:bookmarkStart w:id="5074" w:name="_Toc20857"/>
      <w:bookmarkStart w:id="5075" w:name="_Toc13496"/>
      <w:bookmarkStart w:id="5076" w:name="_Toc7010"/>
      <w:bookmarkStart w:id="5077" w:name="_Toc29935"/>
      <w:bookmarkStart w:id="5078" w:name="_Toc30982"/>
      <w:bookmarkStart w:id="5079" w:name="_Toc26359"/>
      <w:bookmarkStart w:id="5080" w:name="_Toc2065"/>
      <w:bookmarkStart w:id="5081" w:name="_Toc10242"/>
      <w:bookmarkStart w:id="5082" w:name="_Toc32287"/>
      <w:bookmarkStart w:id="5083" w:name="_Toc12123"/>
      <w:bookmarkStart w:id="5084" w:name="_Toc15248"/>
      <w:bookmarkStart w:id="5085" w:name="_Toc12134"/>
      <w:bookmarkStart w:id="5086" w:name="_Toc1436"/>
      <w:bookmarkStart w:id="5087" w:name="_Toc4953"/>
      <w:bookmarkStart w:id="5088" w:name="_Toc3658"/>
      <w:bookmarkStart w:id="5089" w:name="_Toc11490"/>
      <w:bookmarkStart w:id="5090" w:name="_Toc27822"/>
      <w:bookmarkStart w:id="5091" w:name="_Toc19537"/>
      <w:bookmarkStart w:id="5092" w:name="_Toc883"/>
      <w:bookmarkStart w:id="5093" w:name="_Toc10606"/>
      <w:bookmarkStart w:id="5094" w:name="_Toc2484"/>
      <w:r>
        <w:rPr>
          <w:rFonts w:hint="eastAsia" w:ascii="楷体_GB2312" w:hAnsi="楷体_GB2312" w:eastAsia="楷体_GB2312" w:cs="楷体_GB2312"/>
          <w:b w:val="0"/>
          <w:bCs w:val="0"/>
          <w:sz w:val="32"/>
          <w:szCs w:val="32"/>
          <w:highlight w:val="none"/>
        </w:rPr>
        <w:t>第一节  完善和落实安全生产责任制</w:t>
      </w:r>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p>
    <w:p w14:paraId="22D59B86">
      <w:pPr>
        <w:pStyle w:val="7"/>
        <w:pageBreakBefore w:val="0"/>
        <w:kinsoku/>
        <w:wordWrap/>
        <w:overflowPunct/>
        <w:topLinePunct w:val="0"/>
        <w:autoSpaceDE/>
        <w:autoSpaceDN/>
        <w:bidi w:val="0"/>
        <w:adjustRightInd/>
        <w:snapToGrid/>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压实落细各方安全责任。严格落实“党政同责、一岗双责、齐抓共管、失职追责”的领导责任和“三管三必须”的行业监管责任，制定并动态更新安全生产权力和责任清单，将责任明确到岗位、落实到人头。建立健全安全生产巡查、考核、督办机制，将考核结果作为评价领导班子和领导干部的重要依据，形成权责清晰、齐抓共管、失职追责的严密责任链条。</w:t>
      </w:r>
    </w:p>
    <w:p w14:paraId="6DC5FDA5">
      <w:pPr>
        <w:pStyle w:val="7"/>
        <w:pageBreakBefore w:val="0"/>
        <w:kinsoku/>
        <w:wordWrap/>
        <w:overflowPunct/>
        <w:topLinePunct w:val="0"/>
        <w:autoSpaceDE/>
        <w:autoSpaceDN/>
        <w:bidi w:val="0"/>
        <w:adjustRightInd/>
        <w:snapToGrid/>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全面夯实企业主体责任。引导企业严格履行安全生产第一责任人的法定职责，建立健全从主要负责人到一线从业人员的全员安全生产责任制。推动企业加大安全生产投入，强化风险分级管控和隐患排查治理双重预防机制建设，实现安全管理、操作行为、设备设施和作业环境的标准化。对高危行业领域，全面推行安全生产责任保险，发挥保险机构参与风险评估和事故预防的作用。</w:t>
      </w:r>
    </w:p>
    <w:p w14:paraId="1D32222B">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095" w:name="_Toc356"/>
      <w:bookmarkStart w:id="5096" w:name="_Toc26486"/>
      <w:bookmarkStart w:id="5097" w:name="_Toc17565"/>
      <w:bookmarkStart w:id="5098" w:name="_Toc4936"/>
      <w:bookmarkStart w:id="5099" w:name="_Toc24672"/>
      <w:bookmarkStart w:id="5100" w:name="_Toc25215"/>
      <w:bookmarkStart w:id="5101" w:name="_Toc26174"/>
      <w:bookmarkStart w:id="5102" w:name="_Toc24660"/>
      <w:bookmarkStart w:id="5103" w:name="_Toc2699"/>
      <w:bookmarkStart w:id="5104" w:name="_Toc11660"/>
      <w:bookmarkStart w:id="5105" w:name="_Toc26378"/>
      <w:bookmarkStart w:id="5106" w:name="_Toc10613"/>
      <w:bookmarkStart w:id="5107" w:name="_Toc231562184"/>
      <w:bookmarkStart w:id="5108" w:name="_Toc11982"/>
      <w:bookmarkStart w:id="5109" w:name="_Toc26425"/>
      <w:bookmarkStart w:id="5110" w:name="_Toc6412"/>
      <w:bookmarkStart w:id="5111" w:name="_Toc26132"/>
      <w:bookmarkStart w:id="5112" w:name="_Toc15081"/>
      <w:bookmarkStart w:id="5113" w:name="_Toc3341"/>
      <w:bookmarkStart w:id="5114" w:name="_Toc8800"/>
      <w:bookmarkStart w:id="5115" w:name="_Toc643"/>
      <w:bookmarkStart w:id="5116" w:name="_Toc21553"/>
      <w:bookmarkStart w:id="5117" w:name="_Toc29572"/>
      <w:bookmarkStart w:id="5118" w:name="_Toc28768"/>
      <w:bookmarkStart w:id="5119" w:name="_Toc2726"/>
      <w:bookmarkStart w:id="5120" w:name="_Toc13296"/>
      <w:bookmarkStart w:id="5121" w:name="_Toc18966"/>
      <w:bookmarkStart w:id="5122" w:name="_Toc2800"/>
      <w:bookmarkStart w:id="5123" w:name="_Toc1703"/>
      <w:bookmarkStart w:id="5124" w:name="_Toc30344"/>
      <w:bookmarkStart w:id="5125" w:name="_Toc10217"/>
      <w:r>
        <w:rPr>
          <w:rFonts w:hint="eastAsia" w:ascii="楷体_GB2312" w:hAnsi="楷体_GB2312" w:eastAsia="楷体_GB2312" w:cs="楷体_GB2312"/>
          <w:b w:val="0"/>
          <w:bCs w:val="0"/>
          <w:sz w:val="32"/>
          <w:szCs w:val="32"/>
          <w:highlight w:val="none"/>
        </w:rPr>
        <w:t>第二节  固本强基提升本质安全水平</w:t>
      </w:r>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p>
    <w:p w14:paraId="63B24F8D">
      <w:pPr>
        <w:pStyle w:val="7"/>
        <w:pageBreakBefore w:val="0"/>
        <w:kinsoku/>
        <w:wordWrap/>
        <w:overflowPunct/>
        <w:topLinePunct w:val="0"/>
        <w:autoSpaceDE/>
        <w:autoSpaceDN/>
        <w:bidi w:val="0"/>
        <w:adjustRightInd/>
        <w:snapToGrid/>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基础设施与管理体系标准化。推进重点行业领域安全生产标准化、规范化建设，建立覆盖风险辨识、隐患排查、整改落实和评估改进的全流程闭环管理机制。强化交通、供水、电力、燃气、通信等城市生命线工程的安全运行监测与维护，推进智慧基础设施建设，利用物联网、大数据等技术完善全天候监测预警系统，提升基础设施的抗风险能力和本质安全水平。</w:t>
      </w:r>
    </w:p>
    <w:p w14:paraId="78164621">
      <w:pPr>
        <w:pStyle w:val="7"/>
        <w:pageBreakBefore w:val="0"/>
        <w:kinsoku/>
        <w:wordWrap/>
        <w:overflowPunct/>
        <w:topLinePunct w:val="0"/>
        <w:autoSpaceDE/>
        <w:autoSpaceDN/>
        <w:bidi w:val="0"/>
        <w:adjustRightInd/>
        <w:snapToGrid/>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提升应急处置与社会共治能力。健全区、企两级安全生产应急预案体系，明确应急响应程序和处置措施，加强跨部门、跨行业的桌面推演和实战化应急演练。统筹规划应急救援队伍、装备和物资保障体系，提升生产安全风险的快速响应和高效处置能力。加强社会公众应急安全教育和自救互救技能培训，形成政府主导、企业负责、社会协同、公众参与的安全生产综合治理格局。</w:t>
      </w:r>
    </w:p>
    <w:p w14:paraId="2DB72963">
      <w:pPr>
        <w:pageBreakBefore w:val="0"/>
        <w:widowControl/>
        <w:kinsoku/>
        <w:wordWrap/>
        <w:overflowPunct/>
        <w:topLinePunct w:val="0"/>
        <w:autoSpaceDE/>
        <w:autoSpaceDN/>
        <w:bidi w:val="0"/>
        <w:adjustRightInd/>
        <w:snapToGrid/>
        <w:spacing w:after="0" w:afterLines="0" w:line="560" w:lineRule="exact"/>
        <w:jc w:val="center"/>
        <w:outlineLvl w:val="1"/>
        <w:rPr>
          <w:rFonts w:hint="eastAsia" w:ascii="黑体" w:hAnsi="黑体" w:eastAsia="黑体"/>
          <w:b w:val="0"/>
          <w:bCs w:val="0"/>
          <w:sz w:val="32"/>
          <w:szCs w:val="32"/>
          <w:highlight w:val="none"/>
        </w:rPr>
      </w:pPr>
      <w:bookmarkStart w:id="5126" w:name="_Toc231562185"/>
      <w:bookmarkStart w:id="5127" w:name="_Toc36"/>
      <w:bookmarkStart w:id="5128" w:name="_Toc32018"/>
      <w:bookmarkStart w:id="5129" w:name="_Toc15073"/>
      <w:bookmarkStart w:id="5130" w:name="_Toc22351"/>
      <w:bookmarkStart w:id="5131" w:name="_Toc20108"/>
      <w:bookmarkStart w:id="5132" w:name="_Toc2346"/>
      <w:bookmarkStart w:id="5133" w:name="_Toc26202"/>
      <w:bookmarkStart w:id="5134" w:name="_Toc9100"/>
      <w:bookmarkStart w:id="5135" w:name="_Toc22385"/>
      <w:bookmarkStart w:id="5136" w:name="_Toc3086"/>
      <w:bookmarkStart w:id="5137" w:name="_Toc4647"/>
      <w:bookmarkStart w:id="5138" w:name="_Toc12735"/>
      <w:bookmarkStart w:id="5139" w:name="_Toc13552"/>
      <w:bookmarkStart w:id="5140" w:name="_Toc23134"/>
      <w:bookmarkStart w:id="5141" w:name="_Toc22098"/>
      <w:bookmarkStart w:id="5142" w:name="_Toc8804"/>
      <w:bookmarkStart w:id="5143" w:name="_Toc7971"/>
      <w:bookmarkStart w:id="5144" w:name="_Toc28799"/>
      <w:bookmarkStart w:id="5145" w:name="_Toc9415"/>
      <w:bookmarkStart w:id="5146" w:name="_Toc26411"/>
      <w:bookmarkStart w:id="5147" w:name="_Toc19316"/>
      <w:bookmarkStart w:id="5148" w:name="_Toc23403"/>
      <w:bookmarkStart w:id="5149" w:name="_Toc20469"/>
      <w:bookmarkStart w:id="5150" w:name="_Toc21091"/>
      <w:bookmarkStart w:id="5151" w:name="_Toc16335"/>
      <w:bookmarkStart w:id="5152" w:name="_Toc8205"/>
      <w:bookmarkStart w:id="5153" w:name="_Toc24270"/>
      <w:bookmarkStart w:id="5154" w:name="_Toc25634"/>
      <w:bookmarkStart w:id="5155" w:name="_Toc24768"/>
      <w:bookmarkStart w:id="5156" w:name="_Toc32081"/>
      <w:r>
        <w:rPr>
          <w:rFonts w:hint="eastAsia" w:ascii="黑体" w:hAnsi="黑体" w:eastAsia="黑体"/>
          <w:b w:val="0"/>
          <w:bCs w:val="0"/>
          <w:sz w:val="32"/>
          <w:szCs w:val="32"/>
          <w:highlight w:val="none"/>
        </w:rPr>
        <w:t>第三章  提高公共安全治理水平</w:t>
      </w:r>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p>
    <w:p w14:paraId="7C550292">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157" w:name="_Toc14115"/>
      <w:bookmarkStart w:id="5158" w:name="_Toc30218"/>
      <w:bookmarkStart w:id="5159" w:name="_Toc20500"/>
      <w:bookmarkStart w:id="5160" w:name="_Toc11132"/>
      <w:bookmarkStart w:id="5161" w:name="_Toc12125"/>
      <w:bookmarkStart w:id="5162" w:name="_Toc8055"/>
      <w:bookmarkStart w:id="5163" w:name="_Toc16251"/>
      <w:bookmarkStart w:id="5164" w:name="_Toc31429"/>
      <w:bookmarkStart w:id="5165" w:name="_Toc15674"/>
      <w:bookmarkStart w:id="5166" w:name="_Toc23098"/>
      <w:bookmarkStart w:id="5167" w:name="_Toc5520"/>
      <w:bookmarkStart w:id="5168" w:name="_Toc7841"/>
      <w:bookmarkStart w:id="5169" w:name="_Toc3572"/>
      <w:bookmarkStart w:id="5170" w:name="_Toc8352"/>
      <w:bookmarkStart w:id="5171" w:name="_Toc2237"/>
      <w:bookmarkStart w:id="5172" w:name="_Toc7447"/>
      <w:bookmarkStart w:id="5173" w:name="_Toc22315"/>
      <w:bookmarkStart w:id="5174" w:name="_Toc17928"/>
      <w:bookmarkStart w:id="5175" w:name="_Toc231562186"/>
      <w:bookmarkStart w:id="5176" w:name="_Toc26532"/>
      <w:bookmarkStart w:id="5177" w:name="_Toc748"/>
      <w:bookmarkStart w:id="5178" w:name="_Toc10210"/>
      <w:bookmarkStart w:id="5179" w:name="_Toc9029"/>
      <w:bookmarkStart w:id="5180" w:name="_Toc23347"/>
      <w:bookmarkStart w:id="5181" w:name="_Toc22117"/>
      <w:bookmarkStart w:id="5182" w:name="_Toc30843"/>
      <w:bookmarkStart w:id="5183" w:name="_Toc746"/>
      <w:bookmarkStart w:id="5184" w:name="_Toc8461"/>
      <w:bookmarkStart w:id="5185" w:name="_Toc6131"/>
      <w:bookmarkStart w:id="5186" w:name="_Toc25984"/>
      <w:bookmarkStart w:id="5187" w:name="_Toc32576"/>
      <w:r>
        <w:rPr>
          <w:rFonts w:hint="eastAsia" w:ascii="楷体_GB2312" w:hAnsi="楷体_GB2312" w:eastAsia="楷体_GB2312" w:cs="楷体_GB2312"/>
          <w:b w:val="0"/>
          <w:bCs w:val="0"/>
          <w:sz w:val="32"/>
          <w:szCs w:val="32"/>
          <w:highlight w:val="none"/>
        </w:rPr>
        <w:t>第一节  完善社会治安防控体系</w:t>
      </w:r>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p>
    <w:p w14:paraId="635EF869">
      <w:pPr>
        <w:pStyle w:val="7"/>
        <w:pageBreakBefore w:val="0"/>
        <w:kinsoku/>
        <w:wordWrap/>
        <w:overflowPunct/>
        <w:topLinePunct w:val="0"/>
        <w:autoSpaceDE/>
        <w:autoSpaceDN/>
        <w:bidi w:val="0"/>
        <w:adjustRightInd/>
        <w:snapToGrid/>
        <w:spacing w:after="0" w:afterLines="0" w:line="560" w:lineRule="exact"/>
        <w:ind w:firstLine="640" w:firstLineChars="200"/>
        <w:rPr>
          <w:rFonts w:hint="eastAsia" w:ascii="仿宋_GB2312" w:hAnsi="仿宋_GB2312" w:eastAsia="仿宋_GB2312" w:cs="仿宋_GB2312"/>
          <w:b w:val="0"/>
          <w:bCs w:val="0"/>
          <w:sz w:val="32"/>
          <w:szCs w:val="32"/>
          <w:highlight w:val="none"/>
        </w:rPr>
      </w:pPr>
      <w:bookmarkStart w:id="5188" w:name="_Toc25783"/>
      <w:bookmarkStart w:id="5189" w:name="_Toc17293"/>
      <w:r>
        <w:rPr>
          <w:rFonts w:hint="eastAsia" w:ascii="仿宋_GB2312" w:hAnsi="仿宋_GB2312" w:eastAsia="仿宋_GB2312" w:cs="仿宋_GB2312"/>
          <w:b w:val="0"/>
          <w:bCs w:val="0"/>
          <w:sz w:val="32"/>
          <w:szCs w:val="32"/>
          <w:highlight w:val="none"/>
        </w:rPr>
        <w:t>构建立体化信息化治安防控网。深入推进“雪亮工程”建设与深度应用，优化城乡公共安全视频监控布局，完善智能分析及联动指挥系统，实现对社会面治安事件的实时监测、分析研判和快速响应。优化警力配置和勤务模式，加强对文旅景区、交通枢纽、校园周边等重点区域和人员密集场所的巡逻防控，提高见警率、管事率和震慑力，织密社会面安全防护网。</w:t>
      </w:r>
    </w:p>
    <w:p w14:paraId="3317C1FB">
      <w:pPr>
        <w:pStyle w:val="7"/>
        <w:pageBreakBefore w:val="0"/>
        <w:kinsoku/>
        <w:wordWrap/>
        <w:overflowPunct/>
        <w:topLinePunct w:val="0"/>
        <w:autoSpaceDE/>
        <w:autoSpaceDN/>
        <w:bidi w:val="0"/>
        <w:adjustRightInd/>
        <w:snapToGrid/>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基层社会治理网络。完善“专群结合、群防群治”工作格局，加强“平安志愿者”等群防群治队伍建设，引导社会力量参与平安建设。深化网格化服务管理，整合公安、城管、社区、物业及志愿者等资源，构建全域覆盖、信息共享、快速响应基层公共安全治理网络，将风险化解在基层、消除在萌芽状态。</w:t>
      </w:r>
    </w:p>
    <w:p w14:paraId="523280BA">
      <w:pPr>
        <w:pStyle w:val="7"/>
        <w:pageBreakBefore w:val="0"/>
        <w:kinsoku/>
        <w:wordWrap/>
        <w:overflowPunct/>
        <w:topLinePunct w:val="0"/>
        <w:autoSpaceDE/>
        <w:autoSpaceDN/>
        <w:bidi w:val="0"/>
        <w:adjustRightInd/>
        <w:snapToGrid/>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加强重点要素动态管控。完善社区矫正对象、刑满释放人员、严重精神障碍患者、不良行为青少年等重点人群的服务管理体系，建立健全信息数据融合共享和风险动态评估机制。强化心理疏导、就业帮扶、社会救助和矛盾化解，坚持教育、管理、服务相结合，最大限度预防和减少个人极端案（事）件的发生。</w:t>
      </w:r>
    </w:p>
    <w:p w14:paraId="511E232C">
      <w:pPr>
        <w:pStyle w:val="41"/>
        <w:pageBreakBefore w:val="0"/>
        <w:kinsoku/>
        <w:wordWrap/>
        <w:overflowPunct/>
        <w:topLinePunct w:val="0"/>
        <w:autoSpaceDE/>
        <w:autoSpaceDN/>
        <w:bidi w:val="0"/>
        <w:adjustRightInd/>
        <w:snapToGrid/>
        <w:spacing w:after="0" w:afterLines="0" w:line="560" w:lineRule="exact"/>
        <w:ind w:left="0" w:leftChars="0" w:firstLine="643"/>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提升数字治理效能。围绕提升社会治安防控智能化、精准化水平，深化“一网通办”“一网统管”等数字政府建设成果应用，推动治安防控、城市管理、应急处置等系统互联互通，增强对社会风险的综合感知、分析研判和协同处置能力。运用大数据、智能分析等技术手段，提升对治安隐患和突发事件的前瞻预警和快速响应能力。坚持统筹发展和安全，健全网络和数据安全保障体系，加强数据全生命周期安全管理，常态化开展风险排查和应急演练。</w:t>
      </w:r>
    </w:p>
    <w:p w14:paraId="36FD7F0A">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190" w:name="_Toc30896"/>
      <w:bookmarkStart w:id="5191" w:name="_Toc3683"/>
      <w:bookmarkStart w:id="5192" w:name="_Toc8545"/>
      <w:bookmarkStart w:id="5193" w:name="_Toc20749"/>
      <w:bookmarkStart w:id="5194" w:name="_Toc31578"/>
      <w:bookmarkStart w:id="5195" w:name="_Toc18247"/>
      <w:bookmarkStart w:id="5196" w:name="_Toc20510"/>
      <w:bookmarkStart w:id="5197" w:name="_Toc2042"/>
      <w:bookmarkStart w:id="5198" w:name="_Toc4490"/>
      <w:bookmarkStart w:id="5199" w:name="_Toc16904"/>
      <w:bookmarkStart w:id="5200" w:name="_Toc4177"/>
      <w:bookmarkStart w:id="5201" w:name="_Toc5123"/>
      <w:bookmarkStart w:id="5202" w:name="_Toc29915"/>
      <w:bookmarkStart w:id="5203" w:name="_Toc20138"/>
      <w:bookmarkStart w:id="5204" w:name="_Toc17048"/>
      <w:bookmarkStart w:id="5205" w:name="_Toc8463"/>
      <w:bookmarkStart w:id="5206" w:name="_Toc14349"/>
      <w:bookmarkStart w:id="5207" w:name="_Toc9244"/>
      <w:bookmarkStart w:id="5208" w:name="_Toc1711"/>
      <w:bookmarkStart w:id="5209" w:name="_Toc572"/>
      <w:bookmarkStart w:id="5210" w:name="_Toc9951"/>
      <w:bookmarkStart w:id="5211" w:name="_Toc7621"/>
      <w:bookmarkStart w:id="5212" w:name="_Toc534"/>
      <w:bookmarkStart w:id="5213" w:name="_Toc231562187"/>
      <w:bookmarkStart w:id="5214" w:name="_Toc28997"/>
      <w:bookmarkStart w:id="5215" w:name="_Toc2068"/>
      <w:bookmarkStart w:id="5216" w:name="_Toc16407"/>
      <w:bookmarkStart w:id="5217" w:name="_Toc10192"/>
      <w:bookmarkStart w:id="5218" w:name="_Toc25591"/>
      <w:r>
        <w:rPr>
          <w:rFonts w:hint="eastAsia" w:ascii="楷体_GB2312" w:hAnsi="楷体_GB2312" w:eastAsia="楷体_GB2312" w:cs="楷体_GB2312"/>
          <w:b w:val="0"/>
          <w:bCs w:val="0"/>
          <w:sz w:val="32"/>
          <w:szCs w:val="32"/>
          <w:highlight w:val="none"/>
        </w:rPr>
        <w:t>第二节  严控食品药品安全风险</w:t>
      </w:r>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p>
    <w:p w14:paraId="02FCB405">
      <w:pPr>
        <w:pStyle w:val="7"/>
        <w:pageBreakBefore w:val="0"/>
        <w:kinsoku/>
        <w:wordWrap/>
        <w:overflowPunct/>
        <w:topLinePunct w:val="0"/>
        <w:autoSpaceDE/>
        <w:autoSpaceDN/>
        <w:bidi w:val="0"/>
        <w:adjustRightInd/>
        <w:snapToGrid/>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落实最严谨的标准和最严格的监管。落实食品药品安全“四个最严”要求，健全从源头到消费的全过程监管制度。强化食品生产、流通、餐饮服务各环节风险分级管理，加强校园周边、网络订餐、农贸市场等领域监督。深化药品、医疗器械、化妆品全生命周期质量监管，严厉打击制假售假、无证经营等违法行为。</w:t>
      </w:r>
    </w:p>
    <w:p w14:paraId="3582FB5C">
      <w:pPr>
        <w:pStyle w:val="7"/>
        <w:pageBreakBefore w:val="0"/>
        <w:kinsoku/>
        <w:wordWrap/>
        <w:overflowPunct/>
        <w:topLinePunct w:val="0"/>
        <w:autoSpaceDE/>
        <w:autoSpaceDN/>
        <w:bidi w:val="0"/>
        <w:adjustRightInd/>
        <w:snapToGrid/>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提升检验检测与智慧追溯能力。强化食品药品检验检测能力建设，完善抽检监测计划，提高风险监测的靶向性和覆盖面。大力推进“智慧食安”“智慧药监”建设，督促和引导生产经营企业建立信息化追溯体系，实现重点品类“来源可查、去向可追、责任可究”，运用大数据技术提升风险预警和精准监管水平。</w:t>
      </w:r>
    </w:p>
    <w:p w14:paraId="7392B11D">
      <w:pPr>
        <w:pStyle w:val="7"/>
        <w:pageBreakBefore w:val="0"/>
        <w:kinsoku/>
        <w:wordWrap/>
        <w:overflowPunct/>
        <w:topLinePunct w:val="0"/>
        <w:autoSpaceDE/>
        <w:autoSpaceDN/>
        <w:bidi w:val="0"/>
        <w:adjustRightInd/>
        <w:snapToGrid/>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社会共治与科普宣传。畅通“12315”等投诉举报渠道，落实举报人奖励制度，构建企业自律、政府监管、社会监督、公众参与的食品药品安全共治格局。持续开展食品药品安全科普宣传进社区、进校园、进企业活动，进一步提升公众安全意识和辨识能力，大力营造人人关心、共创共享食品药品安全的良好社会氛围。</w:t>
      </w:r>
    </w:p>
    <w:p w14:paraId="003F730B">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219" w:name="_Toc28247"/>
      <w:bookmarkStart w:id="5220" w:name="_Toc23354"/>
      <w:bookmarkStart w:id="5221" w:name="_Toc28219"/>
      <w:bookmarkStart w:id="5222" w:name="_Toc26087"/>
      <w:bookmarkStart w:id="5223" w:name="_Toc22488"/>
      <w:bookmarkStart w:id="5224" w:name="_Toc8811"/>
      <w:bookmarkStart w:id="5225" w:name="_Toc16975"/>
      <w:bookmarkStart w:id="5226" w:name="_Toc231562188"/>
      <w:bookmarkStart w:id="5227" w:name="_Toc29245"/>
      <w:bookmarkStart w:id="5228" w:name="_Toc12976"/>
      <w:bookmarkStart w:id="5229" w:name="_Toc11212"/>
      <w:bookmarkStart w:id="5230" w:name="_Toc9162"/>
      <w:bookmarkStart w:id="5231" w:name="_Toc23120"/>
      <w:bookmarkStart w:id="5232" w:name="_Toc12596"/>
      <w:bookmarkStart w:id="5233" w:name="_Toc28531"/>
      <w:bookmarkStart w:id="5234" w:name="_Toc17595"/>
      <w:bookmarkStart w:id="5235" w:name="_Toc20032"/>
      <w:bookmarkStart w:id="5236" w:name="_Toc32467"/>
      <w:bookmarkStart w:id="5237" w:name="_Toc17447"/>
      <w:bookmarkStart w:id="5238" w:name="_Toc11700"/>
      <w:bookmarkStart w:id="5239" w:name="_Toc27521"/>
      <w:bookmarkStart w:id="5240" w:name="_Toc22848"/>
      <w:bookmarkStart w:id="5241" w:name="_Toc22532"/>
      <w:bookmarkStart w:id="5242" w:name="_Toc230"/>
      <w:bookmarkStart w:id="5243" w:name="_Toc14814"/>
      <w:bookmarkStart w:id="5244" w:name="_Toc28012"/>
      <w:bookmarkStart w:id="5245" w:name="_Toc12543"/>
      <w:bookmarkStart w:id="5246" w:name="_Toc31431"/>
      <w:bookmarkStart w:id="5247" w:name="_Toc11679"/>
      <w:bookmarkStart w:id="5248" w:name="_Toc24404"/>
      <w:bookmarkStart w:id="5249" w:name="_Toc15021"/>
      <w:r>
        <w:rPr>
          <w:rFonts w:hint="eastAsia" w:ascii="楷体_GB2312" w:hAnsi="楷体_GB2312" w:eastAsia="楷体_GB2312" w:cs="楷体_GB2312"/>
          <w:b w:val="0"/>
          <w:bCs w:val="0"/>
          <w:sz w:val="32"/>
          <w:szCs w:val="32"/>
          <w:highlight w:val="none"/>
        </w:rPr>
        <w:t>第三节  强化应急管理能力建设</w:t>
      </w:r>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p>
    <w:p w14:paraId="4DFE204B">
      <w:pPr>
        <w:pageBreakBefore w:val="0"/>
        <w:kinsoku/>
        <w:wordWrap/>
        <w:overflowPunct/>
        <w:topLinePunct w:val="0"/>
        <w:autoSpaceDE/>
        <w:autoSpaceDN/>
        <w:bidi w:val="0"/>
        <w:adjustRightInd/>
        <w:snapToGrid/>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统一高效的应急指挥体系。完善以区应急指挥中心为核心，各部门、各乡镇（街道）分级响应、协同联动的应急指挥机制，实现统一指挥、上下贯通、运转高效。修编完善区级总体应急预案和各专项应急预案，加强跨部门、跨行业、跨区域的桌面推演和实战化应急演练，实现预案与实践的有效衔接。</w:t>
      </w:r>
    </w:p>
    <w:p w14:paraId="60A57EDC">
      <w:pPr>
        <w:pageBreakBefore w:val="0"/>
        <w:kinsoku/>
        <w:wordWrap/>
        <w:overflowPunct/>
        <w:topLinePunct w:val="0"/>
        <w:autoSpaceDE/>
        <w:autoSpaceDN/>
        <w:bidi w:val="0"/>
        <w:adjustRightInd/>
        <w:snapToGrid/>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构建“防—控—救”一体化防灾减灾救灾体系。聚焦洪涝、地质灾害、森林火灾等主要自然灾害，加强风险普查和监测预警能力建设。高质量推进防汛排涝工程、地灾治理工程和应急避难场所等基础设施建设，构筑“物防+技防+人防”的多层次防线。统筹专业应急救援队伍与社会应急力量建设，适时在西客站周边规划建设1个小型消防站，缩短应急响应半径，确保灾害发生后能够迅速组织、高效救援。</w:t>
      </w:r>
    </w:p>
    <w:p w14:paraId="09208FF0">
      <w:pPr>
        <w:pageBreakBefore w:val="0"/>
        <w:kinsoku/>
        <w:wordWrap/>
        <w:overflowPunct/>
        <w:topLinePunct w:val="0"/>
        <w:autoSpaceDE/>
        <w:autoSpaceDN/>
        <w:bidi w:val="0"/>
        <w:adjustRightInd/>
        <w:snapToGrid/>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加强应急物资与能力保障。完善粮食、医药、防汛防灾等应急物资的储备与调控体系，优化仓储设施布局和管理，健全储备物资更新轮换和紧急调拨机制，确保关键时刻“拿得出、调得快、用得上”。加强基层应急能力建设，推动应急资源向乡镇（街道）、村（社区）下沉，开展广泛的公共安全和应急知识普及，提升社会公众的自救互救能力。</w:t>
      </w:r>
    </w:p>
    <w:p w14:paraId="39C0C335">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250" w:name="_Toc6700"/>
      <w:bookmarkStart w:id="5251" w:name="_Toc9063"/>
      <w:bookmarkStart w:id="5252" w:name="_Toc21525"/>
      <w:bookmarkStart w:id="5253" w:name="_Toc29557"/>
      <w:bookmarkStart w:id="5254" w:name="_Toc20454"/>
      <w:bookmarkStart w:id="5255" w:name="_Toc12852"/>
      <w:bookmarkStart w:id="5256" w:name="_Toc23792"/>
      <w:bookmarkStart w:id="5257" w:name="_Toc13525"/>
      <w:bookmarkStart w:id="5258" w:name="_Toc7668"/>
      <w:bookmarkStart w:id="5259" w:name="_Toc27391"/>
      <w:bookmarkStart w:id="5260" w:name="_Toc22886"/>
      <w:bookmarkStart w:id="5261" w:name="_Toc27857"/>
      <w:bookmarkStart w:id="5262" w:name="_Toc2615"/>
      <w:bookmarkStart w:id="5263" w:name="_Toc231562189"/>
      <w:bookmarkStart w:id="5264" w:name="_Toc1263"/>
      <w:bookmarkStart w:id="5265" w:name="_Toc12918"/>
      <w:bookmarkStart w:id="5266" w:name="_Toc30924"/>
      <w:bookmarkStart w:id="5267" w:name="_Toc11221"/>
      <w:bookmarkStart w:id="5268" w:name="_Toc907"/>
      <w:bookmarkStart w:id="5269" w:name="_Toc32239"/>
      <w:bookmarkStart w:id="5270" w:name="_Toc22682"/>
      <w:bookmarkStart w:id="5271" w:name="_Toc25"/>
      <w:bookmarkStart w:id="5272" w:name="_Toc7673"/>
      <w:bookmarkStart w:id="5273" w:name="_Toc29690"/>
      <w:bookmarkStart w:id="5274" w:name="_Toc6350"/>
      <w:bookmarkStart w:id="5275" w:name="_Toc16740"/>
      <w:bookmarkStart w:id="5276" w:name="_Toc13208"/>
      <w:bookmarkStart w:id="5277" w:name="_Toc1056"/>
      <w:bookmarkStart w:id="5278" w:name="_Toc4979"/>
      <w:r>
        <w:rPr>
          <w:rFonts w:hint="eastAsia" w:ascii="楷体_GB2312" w:hAnsi="楷体_GB2312" w:eastAsia="楷体_GB2312" w:cs="楷体_GB2312"/>
          <w:b w:val="0"/>
          <w:bCs w:val="0"/>
          <w:sz w:val="32"/>
          <w:szCs w:val="32"/>
          <w:highlight w:val="none"/>
        </w:rPr>
        <w:t>第四节  强化舆情监管与引导</w:t>
      </w:r>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p>
    <w:p w14:paraId="652DE937">
      <w:pPr>
        <w:pageBreakBefore w:val="0"/>
        <w:kinsoku/>
        <w:wordWrap/>
        <w:overflowPunct/>
        <w:topLinePunct w:val="0"/>
        <w:autoSpaceDE/>
        <w:autoSpaceDN/>
        <w:bidi w:val="0"/>
        <w:adjustRightInd/>
        <w:snapToGrid/>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构建全域舆情监测与智能研判体系。建立覆盖全区的舆情监测体系，整合社交媒体、政府网站及短视频平台信息，实现信息采集全覆盖，重点关注中国陶瓷博物馆、古窑、昌南里、三闾庙等文旅热点区域网络舆情动态。依托自然语言处理、情感分析和意见领袖识别等技术，对舆情事件进行精准分类、趋势分析和风险评估，提高对突发舆情事件的早期发现和深度研判能力。</w:t>
      </w:r>
    </w:p>
    <w:p w14:paraId="53798490">
      <w:pPr>
        <w:pageBreakBefore w:val="0"/>
        <w:kinsoku/>
        <w:wordWrap/>
        <w:overflowPunct/>
        <w:topLinePunct w:val="0"/>
        <w:autoSpaceDE/>
        <w:autoSpaceDN/>
        <w:bidi w:val="0"/>
        <w:adjustRightInd/>
        <w:snapToGrid/>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舆情分级预警与协同处置机制。建立舆情事件分级预警体系，按照传播速度、影响范围和公众情绪进行分类分级管控，实现从被动应对向主动管理的转变。完善舆情应急处置预案，定期组织风险模拟演练，提升部门快速响应和协同处置能力。强化权威信息发布和正面舆论引导，建立虚假信息甄别、标注及处置机制，并完善公众互动渠道，引导群众通过官方平台反映问题，实现舆情处置与社会参与的良性互动。</w:t>
      </w:r>
    </w:p>
    <w:p w14:paraId="0088FDC4">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数据平台建设与技术创新应用。整合政务、公安、宣传、网信等核心数据资源，建设全区统一的舆情数据治理与服务平台，实现舆情信息的互通共享、实时分析和“一网统管”。积极推广舆情传播图谱分析、多模态信息综合研判、舆情趋势预测等智能化工具，提升舆情事件的预判精度、预警时效和处置效率。</w:t>
      </w:r>
    </w:p>
    <w:p w14:paraId="603919AA">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5279" w:name="_Toc11962"/>
      <w:bookmarkStart w:id="5280" w:name="_Toc8137"/>
      <w:bookmarkStart w:id="5281" w:name="_Toc6558"/>
      <w:bookmarkStart w:id="5282" w:name="_Toc24950"/>
      <w:bookmarkStart w:id="5283" w:name="_Toc231562190"/>
      <w:bookmarkStart w:id="5284" w:name="_Toc1791"/>
      <w:bookmarkStart w:id="5285" w:name="_Toc30980"/>
      <w:bookmarkStart w:id="5286" w:name="_Toc28771"/>
      <w:bookmarkStart w:id="5287" w:name="_Toc20996"/>
      <w:bookmarkStart w:id="5288" w:name="_Toc28034"/>
      <w:bookmarkStart w:id="5289" w:name="_Toc23070"/>
      <w:bookmarkStart w:id="5290" w:name="_Toc7810"/>
      <w:bookmarkStart w:id="5291" w:name="_Toc27737"/>
      <w:bookmarkStart w:id="5292" w:name="_Toc20968"/>
      <w:bookmarkStart w:id="5293" w:name="_Toc2260"/>
      <w:bookmarkStart w:id="5294" w:name="_Toc1182"/>
      <w:bookmarkStart w:id="5295" w:name="_Toc5863"/>
      <w:bookmarkStart w:id="5296" w:name="_Toc20224"/>
      <w:r>
        <w:rPr>
          <w:rFonts w:hint="eastAsia" w:ascii="黑体" w:hAnsi="黑体" w:eastAsia="黑体"/>
          <w:b w:val="0"/>
          <w:bCs w:val="0"/>
          <w:sz w:val="32"/>
          <w:szCs w:val="32"/>
          <w:highlight w:val="none"/>
        </w:rPr>
        <w:t>第四章  提升法治昌江建设水平</w:t>
      </w:r>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p>
    <w:p w14:paraId="7F4C03E0">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297" w:name="_Toc11911"/>
      <w:bookmarkStart w:id="5298" w:name="_Toc24150"/>
      <w:bookmarkStart w:id="5299" w:name="_Toc6531"/>
      <w:bookmarkStart w:id="5300" w:name="_Toc16614"/>
      <w:bookmarkStart w:id="5301" w:name="_Toc18110"/>
      <w:bookmarkStart w:id="5302" w:name="_Toc18510"/>
      <w:bookmarkStart w:id="5303" w:name="_Toc231562191"/>
      <w:bookmarkStart w:id="5304" w:name="_Toc20084"/>
      <w:bookmarkStart w:id="5305" w:name="_Toc24542"/>
      <w:bookmarkStart w:id="5306" w:name="_Toc22759"/>
      <w:bookmarkStart w:id="5307" w:name="_Toc23205"/>
      <w:bookmarkStart w:id="5308" w:name="_Toc19184"/>
      <w:bookmarkStart w:id="5309" w:name="_Toc31158"/>
      <w:bookmarkStart w:id="5310" w:name="_Toc3795"/>
      <w:bookmarkStart w:id="5311" w:name="_Toc8115"/>
      <w:bookmarkStart w:id="5312" w:name="_Toc16430"/>
      <w:bookmarkStart w:id="5313" w:name="_Toc21996"/>
      <w:bookmarkStart w:id="5314" w:name="_Toc2021"/>
      <w:r>
        <w:rPr>
          <w:rFonts w:hint="eastAsia" w:ascii="楷体_GB2312" w:hAnsi="楷体_GB2312" w:eastAsia="楷体_GB2312" w:cs="楷体_GB2312"/>
          <w:b w:val="0"/>
          <w:bCs w:val="0"/>
          <w:sz w:val="32"/>
          <w:szCs w:val="32"/>
          <w:highlight w:val="none"/>
        </w:rPr>
        <w:t>第一节  扎实推进依法行政</w:t>
      </w:r>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p>
    <w:p w14:paraId="4E4E164F">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深化行政执法体制改革。持续推进跨领域、跨部门综合行政执法改革，健全信息共享、协同监管和联合执法机制，全面落实行政执法公示、执法全过程记录和重大执法决定法制审核制度，统一行政处罚裁量基准，防止选择性执法和随意执法。</w:t>
      </w:r>
    </w:p>
    <w:p w14:paraId="3D7E57E6">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创新行政监管方式。大力推行“综合查一次”“企业安静期”等监管模式，减少多头执法、重复检查，提升执法效能和监管透明度，以规范、高效、包容的执法方式持续优化营商环境。</w:t>
      </w:r>
    </w:p>
    <w:p w14:paraId="275B73A0">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多元矛盾纠纷化解机制。坚持和发展新时代“枫桥经验”，健全区、乡镇（街道）、村（社区）三级综治中心和“一站式”矛盾纠纷调解平台，统筹推进人民调解、行政调解、司法调解和行业性专业性调解，加强重点领域矛盾纠纷源头预防和依法化解，提升基层依法治理水平。</w:t>
      </w:r>
    </w:p>
    <w:p w14:paraId="0C342688">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315" w:name="_Toc23151"/>
      <w:bookmarkStart w:id="5316" w:name="_Toc31305"/>
      <w:bookmarkStart w:id="5317" w:name="_Toc27353"/>
      <w:bookmarkStart w:id="5318" w:name="_Toc6922"/>
      <w:bookmarkStart w:id="5319" w:name="_Toc2063"/>
      <w:bookmarkStart w:id="5320" w:name="_Toc5976"/>
      <w:bookmarkStart w:id="5321" w:name="_Toc27923"/>
      <w:bookmarkStart w:id="5322" w:name="_Toc4854"/>
      <w:bookmarkStart w:id="5323" w:name="_Toc14985"/>
      <w:bookmarkStart w:id="5324" w:name="_Toc25091"/>
      <w:bookmarkStart w:id="5325" w:name="_Toc231562192"/>
      <w:bookmarkStart w:id="5326" w:name="_Toc23816"/>
      <w:bookmarkStart w:id="5327" w:name="_Toc15382"/>
      <w:bookmarkStart w:id="5328" w:name="_Toc31890"/>
      <w:bookmarkStart w:id="5329" w:name="_Toc18716"/>
      <w:bookmarkStart w:id="5330" w:name="_Toc8763"/>
      <w:bookmarkStart w:id="5331" w:name="_Toc22003"/>
      <w:bookmarkStart w:id="5332" w:name="_Toc4374"/>
      <w:r>
        <w:rPr>
          <w:rFonts w:hint="eastAsia" w:ascii="楷体_GB2312" w:hAnsi="楷体_GB2312" w:eastAsia="楷体_GB2312" w:cs="楷体_GB2312"/>
          <w:b w:val="0"/>
          <w:bCs w:val="0"/>
          <w:sz w:val="32"/>
          <w:szCs w:val="32"/>
          <w:highlight w:val="none"/>
        </w:rPr>
        <w:t>第二节  促进严格公正司法</w:t>
      </w:r>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p>
    <w:p w14:paraId="1609F55B">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深化司法体制综合配套改革。全面落实司法责任制，健全审判权、检察权运行和监督制约机制，保障法院、检察院依法独立公正行使职权。深化以审判为中心的刑事诉讼制度改革，严格执行证据裁判规则，强化执行联动机制，持续巩固解决执行难成果，坚决防范冤假错案发生。</w:t>
      </w:r>
    </w:p>
    <w:p w14:paraId="31E6542D">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加强司法监督和规范运行。健全对司法活动的监督机制，促进司法权规范、透明运行，不断提升司法公正性和司法公信力，切实维护社会公平正义。</w:t>
      </w:r>
    </w:p>
    <w:p w14:paraId="3B08D96D">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优化司法服务供给。探索推进陶瓷知识产权、旅游纠纷等专业化审判机制建设，加快智慧法院、智慧检务建设，加强基层法庭和司法所标准化建设，推动司法资源向基层和矛盾多发领域倾斜，提升司法服务的便捷性和可及性。</w:t>
      </w:r>
    </w:p>
    <w:p w14:paraId="24CEBE02">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333" w:name="_Toc29274"/>
      <w:bookmarkStart w:id="5334" w:name="_Toc19683"/>
      <w:bookmarkStart w:id="5335" w:name="_Toc25602"/>
      <w:bookmarkStart w:id="5336" w:name="_Toc28268"/>
      <w:bookmarkStart w:id="5337" w:name="_Toc4400"/>
      <w:bookmarkStart w:id="5338" w:name="_Toc231562193"/>
      <w:bookmarkStart w:id="5339" w:name="_Toc9959"/>
      <w:bookmarkStart w:id="5340" w:name="_Toc29887"/>
      <w:bookmarkStart w:id="5341" w:name="_Toc25048"/>
      <w:bookmarkStart w:id="5342" w:name="_Toc8036"/>
      <w:bookmarkStart w:id="5343" w:name="_Toc1271"/>
      <w:bookmarkStart w:id="5344" w:name="_Toc23326"/>
      <w:bookmarkStart w:id="5345" w:name="_Toc13639"/>
      <w:bookmarkStart w:id="5346" w:name="_Toc6642"/>
      <w:bookmarkStart w:id="5347" w:name="_Toc14247"/>
      <w:bookmarkStart w:id="5348" w:name="_Toc7711"/>
      <w:bookmarkStart w:id="5349" w:name="_Toc6872"/>
      <w:bookmarkStart w:id="5350" w:name="_Toc14754"/>
      <w:r>
        <w:rPr>
          <w:rFonts w:hint="eastAsia" w:ascii="楷体_GB2312" w:hAnsi="楷体_GB2312" w:eastAsia="楷体_GB2312" w:cs="楷体_GB2312"/>
          <w:b w:val="0"/>
          <w:bCs w:val="0"/>
          <w:sz w:val="32"/>
          <w:szCs w:val="32"/>
          <w:highlight w:val="none"/>
        </w:rPr>
        <w:t>第三节  全面建设法治社会</w:t>
      </w:r>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p>
    <w:p w14:paraId="401D9BEE">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提升全民法治素养。深入实施“九五”普法规划，严格落实“谁执法谁普法”责任制，推动法治宣传教育更加精准有效，加强对青少年、国家工作人员和企业经营管理人员的法治教育，不断增强全社会法治意识。</w:t>
      </w:r>
    </w:p>
    <w:p w14:paraId="13941E9E">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创新法治宣传方式。探索“普法+陶瓷文化”“普法+文旅”“普法+融媒体”等形式，增强法治宣传的吸引力和传播力，讲好昌江法治故事，营造尊法学法守法用法的良好社会氛围。</w:t>
      </w:r>
    </w:p>
    <w:p w14:paraId="1FDF684F">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公共法律服务体系。健全覆盖城乡、普惠均等的公共法律服务体系，整合律师、公证、司法鉴定、仲裁和法律援助等资源，优化公共法律服务热线和服务平台，推动法律服务向基层延伸、向重点群体倾斜，切实增强人民群众的法治获得感。</w:t>
      </w:r>
    </w:p>
    <w:bookmarkEnd w:id="4969"/>
    <w:bookmarkEnd w:id="4970"/>
    <w:tbl>
      <w:tblPr>
        <w:tblStyle w:val="42"/>
        <w:tblpPr w:leftFromText="180" w:rightFromText="180" w:vertAnchor="text" w:horzAnchor="page" w:tblpX="1747" w:tblpY="167"/>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89C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61CCA16D">
            <w:pPr>
              <w:pageBreakBefore w:val="0"/>
              <w:tabs>
                <w:tab w:val="left" w:pos="6725"/>
              </w:tabs>
              <w:kinsoku/>
              <w:wordWrap/>
              <w:overflowPunct/>
              <w:topLinePunct w:val="0"/>
              <w:autoSpaceDE/>
              <w:autoSpaceDN/>
              <w:bidi w:val="0"/>
              <w:spacing w:after="0" w:afterLines="0" w:line="240" w:lineRule="auto"/>
              <w:jc w:val="center"/>
              <w:rPr>
                <w:rFonts w:hint="eastAsia" w:ascii="仿宋_GB2312" w:hAnsi="仿宋_GB2312" w:eastAsia="仿宋_GB2312" w:cs="仿宋_GB2312"/>
                <w:b w:val="0"/>
                <w:bCs w:val="0"/>
                <w:sz w:val="32"/>
                <w:szCs w:val="32"/>
                <w:highlight w:val="none"/>
              </w:rPr>
            </w:pPr>
            <w:bookmarkStart w:id="5351" w:name="_Toc20543"/>
            <w:bookmarkStart w:id="5352" w:name="_Toc16986"/>
            <w:bookmarkStart w:id="5353" w:name="_Toc214611371"/>
            <w:bookmarkStart w:id="5354" w:name="_Toc215695366"/>
            <w:bookmarkStart w:id="5355" w:name="_Toc207791564"/>
            <w:bookmarkStart w:id="5356" w:name="_Toc26366"/>
            <w:bookmarkStart w:id="5357" w:name="_Toc10599"/>
            <w:bookmarkStart w:id="5358" w:name="_Toc13083"/>
            <w:bookmarkStart w:id="5359" w:name="_Toc214611377"/>
            <w:bookmarkStart w:id="5360" w:name="_Toc1060"/>
            <w:bookmarkStart w:id="5361" w:name="_Toc10409"/>
            <w:bookmarkStart w:id="5362" w:name="_Toc239"/>
            <w:bookmarkStart w:id="5363" w:name="_Toc12677"/>
            <w:bookmarkStart w:id="5364" w:name="_Toc4612"/>
            <w:bookmarkStart w:id="5365" w:name="_Toc28432"/>
            <w:bookmarkStart w:id="5366" w:name="_Toc23207"/>
            <w:bookmarkStart w:id="5367" w:name="_Toc215695372"/>
            <w:bookmarkStart w:id="5368" w:name="_Toc26"/>
            <w:r>
              <w:rPr>
                <w:rFonts w:hint="eastAsia" w:ascii="黑体" w:hAnsi="黑体" w:eastAsia="黑体" w:cs="黑体"/>
                <w:b w:val="0"/>
                <w:bCs w:val="0"/>
                <w:sz w:val="24"/>
                <w:highlight w:val="none"/>
                <w:lang w:bidi="ar"/>
              </w:rPr>
              <w:t>专栏13  智慧韧性平安昌江建设工程</w:t>
            </w:r>
          </w:p>
        </w:tc>
      </w:tr>
      <w:tr w14:paraId="3D7D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2B122AC1">
            <w:pPr>
              <w:keepNext w:val="0"/>
              <w:keepLines w:val="0"/>
              <w:pageBreakBefore w:val="0"/>
              <w:widowControl/>
              <w:kinsoku/>
              <w:wordWrap/>
              <w:overflowPunct/>
              <w:topLinePunct w:val="0"/>
              <w:autoSpaceDE/>
              <w:autoSpaceDN/>
              <w:bidi w:val="0"/>
              <w:adjustRightInd w:val="0"/>
              <w:snapToGrid w:val="0"/>
              <w:spacing w:after="0" w:afterLines="0" w:line="400" w:lineRule="exact"/>
              <w:ind w:firstLine="48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24"/>
                <w:highlight w:val="none"/>
              </w:rPr>
              <w:t>推进昌江区地质灾害整治工程、昌江区应急能力保障综合提升工程、昌江区安全文化主题科技馆项目、昌江区应急救援指挥中心建设项目等重点项目，提升安全应急能力，加强监测预警与安全教育警示。</w:t>
            </w:r>
          </w:p>
        </w:tc>
      </w:tr>
      <w:bookmarkEnd w:id="5351"/>
      <w:bookmarkEnd w:id="5352"/>
      <w:bookmarkEnd w:id="5353"/>
      <w:bookmarkEnd w:id="5354"/>
    </w:tbl>
    <w:p w14:paraId="57AE1CC3">
      <w:pPr>
        <w:pageBreakBefore w:val="0"/>
        <w:kinsoku/>
        <w:wordWrap/>
        <w:overflowPunct/>
        <w:topLinePunct w:val="0"/>
        <w:autoSpaceDE/>
        <w:autoSpaceDN/>
        <w:bidi w:val="0"/>
        <w:spacing w:after="0" w:afterLines="0" w:line="560" w:lineRule="exact"/>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br w:type="page"/>
      </w:r>
    </w:p>
    <w:p w14:paraId="7B8A9A90">
      <w:pPr>
        <w:keepNext w:val="0"/>
        <w:keepLines w:val="0"/>
        <w:pageBreakBefore w:val="0"/>
        <w:widowControl w:val="0"/>
        <w:kinsoku/>
        <w:wordWrap/>
        <w:overflowPunct/>
        <w:topLinePunct w:val="0"/>
        <w:autoSpaceDE/>
        <w:autoSpaceDN/>
        <w:bidi w:val="0"/>
        <w:adjustRightInd w:val="0"/>
        <w:snapToGrid w:val="0"/>
        <w:spacing w:after="0" w:afterLines="0" w:line="560" w:lineRule="exact"/>
        <w:jc w:val="center"/>
        <w:textAlignment w:val="auto"/>
        <w:outlineLvl w:val="0"/>
        <w:rPr>
          <w:rFonts w:hint="eastAsia" w:ascii="方正小标宋简体" w:eastAsia="方正小标宋简体"/>
          <w:b w:val="0"/>
          <w:bCs w:val="0"/>
          <w:sz w:val="36"/>
          <w:szCs w:val="36"/>
          <w:highlight w:val="none"/>
        </w:rPr>
      </w:pPr>
      <w:bookmarkStart w:id="5369" w:name="_Toc15616"/>
      <w:bookmarkStart w:id="5370" w:name="_Toc15591"/>
      <w:bookmarkStart w:id="5371" w:name="_Toc24997"/>
      <w:bookmarkStart w:id="5372" w:name="_Toc9542"/>
      <w:bookmarkStart w:id="5373" w:name="_Toc3189"/>
      <w:bookmarkStart w:id="5374" w:name="_Toc27120"/>
      <w:bookmarkStart w:id="5375" w:name="_Toc3845"/>
      <w:bookmarkStart w:id="5376" w:name="_Toc29714"/>
      <w:bookmarkStart w:id="5377" w:name="_Toc7795"/>
      <w:bookmarkStart w:id="5378" w:name="_Toc3560"/>
      <w:bookmarkStart w:id="5379" w:name="_Toc6658"/>
      <w:bookmarkStart w:id="5380" w:name="_Toc26403"/>
      <w:bookmarkStart w:id="5381" w:name="_Toc30584"/>
      <w:bookmarkStart w:id="5382" w:name="_Toc1536"/>
      <w:bookmarkStart w:id="5383" w:name="_Toc4389"/>
      <w:bookmarkStart w:id="5384" w:name="_Toc21726"/>
      <w:bookmarkStart w:id="5385" w:name="_Toc231562194"/>
      <w:bookmarkStart w:id="5386" w:name="_Toc29912"/>
      <w:bookmarkStart w:id="5387" w:name="_Toc810"/>
      <w:bookmarkStart w:id="5388" w:name="_Toc11305"/>
      <w:bookmarkStart w:id="5389" w:name="_Toc25981"/>
      <w:r>
        <w:rPr>
          <w:rFonts w:hint="eastAsia" w:ascii="方正小标宋简体" w:eastAsia="方正小标宋简体"/>
          <w:b w:val="0"/>
          <w:bCs w:val="0"/>
          <w:sz w:val="36"/>
          <w:szCs w:val="36"/>
          <w:highlight w:val="none"/>
        </w:rPr>
        <w:t xml:space="preserve">第十四篇  </w:t>
      </w:r>
      <w:bookmarkEnd w:id="5355"/>
      <w:bookmarkEnd w:id="5356"/>
      <w:r>
        <w:rPr>
          <w:rFonts w:hint="eastAsia" w:ascii="方正小标宋简体" w:eastAsia="方正小标宋简体"/>
          <w:b w:val="0"/>
          <w:bCs w:val="0"/>
          <w:sz w:val="36"/>
          <w:szCs w:val="36"/>
          <w:highlight w:val="none"/>
        </w:rPr>
        <w:t>坚持党的领导，全面加强组织协调</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p>
    <w:p w14:paraId="1BA5AF1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22DB4A1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坚持党的全面领导，强化政治引领和从严治党。健全动态监测、督查评估和闭环管理体系，强化人大监督、政协民主监督及社会公众参与，提升规划实施的科学性和透明度。通过统筹组织协调、政策支撑与全社会协同，形成政府引领、市场主体活跃、社会力量广泛参与的良性互动格局，激发全区创新活力和发展潜能。</w:t>
      </w:r>
    </w:p>
    <w:p w14:paraId="51B61338">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5390" w:name="_Toc7264"/>
      <w:bookmarkStart w:id="5391" w:name="_Toc31955"/>
      <w:bookmarkStart w:id="5392" w:name="_Toc3528"/>
      <w:bookmarkStart w:id="5393" w:name="_Toc20363"/>
      <w:bookmarkStart w:id="5394" w:name="_Toc6319"/>
      <w:bookmarkStart w:id="5395" w:name="_Toc8385"/>
      <w:bookmarkStart w:id="5396" w:name="_Toc31773"/>
      <w:bookmarkStart w:id="5397" w:name="_Toc6650"/>
      <w:bookmarkStart w:id="5398" w:name="_Toc4053"/>
      <w:bookmarkStart w:id="5399" w:name="_Toc13402"/>
      <w:bookmarkStart w:id="5400" w:name="_Toc7265"/>
      <w:bookmarkStart w:id="5401" w:name="_Toc214611378"/>
      <w:bookmarkStart w:id="5402" w:name="_Toc21849"/>
      <w:bookmarkStart w:id="5403" w:name="_Toc13135"/>
      <w:bookmarkStart w:id="5404" w:name="_Toc13040"/>
      <w:bookmarkStart w:id="5405" w:name="_Toc231562195"/>
      <w:bookmarkStart w:id="5406" w:name="_Toc22404"/>
      <w:bookmarkStart w:id="5407" w:name="_Toc7580"/>
      <w:bookmarkStart w:id="5408" w:name="_Toc6255"/>
      <w:bookmarkStart w:id="5409" w:name="_Toc13049"/>
      <w:bookmarkStart w:id="5410" w:name="_Toc9768"/>
      <w:bookmarkStart w:id="5411" w:name="_Toc1802"/>
      <w:bookmarkStart w:id="5412" w:name="_Toc29475"/>
      <w:bookmarkStart w:id="5413" w:name="_Toc215695373"/>
      <w:bookmarkStart w:id="5414" w:name="_Toc12882"/>
      <w:bookmarkStart w:id="5415" w:name="_Toc10731"/>
      <w:bookmarkStart w:id="5416" w:name="_Toc25728"/>
      <w:bookmarkStart w:id="5417" w:name="_Toc22530"/>
      <w:bookmarkStart w:id="5418" w:name="_Toc4162"/>
      <w:bookmarkStart w:id="5419" w:name="_Toc4319"/>
      <w:bookmarkStart w:id="5420" w:name="_Toc5724"/>
      <w:bookmarkStart w:id="5421" w:name="_Toc6457"/>
      <w:bookmarkStart w:id="5422" w:name="_Toc2376"/>
      <w:r>
        <w:rPr>
          <w:rFonts w:hint="eastAsia" w:ascii="黑体" w:hAnsi="黑体" w:eastAsia="黑体"/>
          <w:b w:val="0"/>
          <w:bCs w:val="0"/>
          <w:sz w:val="32"/>
          <w:szCs w:val="32"/>
          <w:highlight w:val="none"/>
        </w:rPr>
        <w:t>第一章  坚持党的全面领导</w:t>
      </w:r>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p>
    <w:p w14:paraId="6FFD4E9B">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423" w:name="_Toc18705"/>
      <w:bookmarkStart w:id="5424" w:name="_Toc19071"/>
      <w:bookmarkStart w:id="5425" w:name="_Toc24694"/>
      <w:bookmarkStart w:id="5426" w:name="_Toc2794"/>
      <w:bookmarkStart w:id="5427" w:name="_Toc16399"/>
      <w:bookmarkStart w:id="5428" w:name="_Toc215695374"/>
      <w:bookmarkStart w:id="5429" w:name="_Toc9828"/>
      <w:bookmarkStart w:id="5430" w:name="_Toc4792"/>
      <w:bookmarkStart w:id="5431" w:name="_Toc9417"/>
      <w:bookmarkStart w:id="5432" w:name="_Toc16587"/>
      <w:bookmarkStart w:id="5433" w:name="_Toc3415"/>
      <w:bookmarkStart w:id="5434" w:name="_Toc13185"/>
      <w:bookmarkStart w:id="5435" w:name="_Toc7039"/>
      <w:bookmarkStart w:id="5436" w:name="_Toc28683"/>
      <w:bookmarkStart w:id="5437" w:name="_Toc32558"/>
      <w:bookmarkStart w:id="5438" w:name="_Toc5324"/>
      <w:bookmarkStart w:id="5439" w:name="_Toc32446"/>
      <w:bookmarkStart w:id="5440" w:name="_Toc26027"/>
      <w:bookmarkStart w:id="5441" w:name="_Toc12416"/>
      <w:bookmarkStart w:id="5442" w:name="_Toc8927"/>
      <w:bookmarkStart w:id="5443" w:name="_Toc231562196"/>
      <w:bookmarkStart w:id="5444" w:name="_Toc18090"/>
      <w:bookmarkStart w:id="5445" w:name="_Toc21199"/>
      <w:bookmarkStart w:id="5446" w:name="_Toc28287"/>
      <w:bookmarkStart w:id="5447" w:name="_Toc21103"/>
      <w:bookmarkStart w:id="5448" w:name="_Toc16675"/>
      <w:bookmarkStart w:id="5449" w:name="_Toc13836"/>
      <w:bookmarkStart w:id="5450" w:name="_Toc23974"/>
      <w:bookmarkStart w:id="5451" w:name="_Toc23319"/>
      <w:bookmarkStart w:id="5452" w:name="_Toc8569"/>
      <w:bookmarkStart w:id="5453" w:name="_Toc17082"/>
      <w:bookmarkStart w:id="5454" w:name="_Toc23350"/>
      <w:r>
        <w:rPr>
          <w:rFonts w:hint="eastAsia" w:ascii="楷体_GB2312" w:hAnsi="楷体_GB2312" w:eastAsia="楷体_GB2312" w:cs="楷体_GB2312"/>
          <w:b w:val="0"/>
          <w:bCs w:val="0"/>
          <w:sz w:val="32"/>
          <w:szCs w:val="32"/>
          <w:highlight w:val="none"/>
        </w:rPr>
        <w:t>第一节  强化政治引领与全面从严治党</w:t>
      </w:r>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p>
    <w:p w14:paraId="3944570A">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加强党的政治引领。贯彻党中央把方向、谋大局、定政策、促改革的要求，全面贯彻习近平新时代中国特色社会主义思想，增强“四个意识”、坚定“四个自信”、做到“两个维护”，不断提升政治判断力、政治领悟力、政治执行力，确保党的领导贯穿规划实施全过程。</w:t>
      </w:r>
    </w:p>
    <w:p w14:paraId="22C392E7">
      <w:pPr>
        <w:pStyle w:val="7"/>
        <w:pageBreakBefore w:val="0"/>
        <w:kinsoku/>
        <w:wordWrap/>
        <w:overflowPunct/>
        <w:topLinePunct w:val="0"/>
        <w:autoSpaceDE/>
        <w:autoSpaceDN/>
        <w:bidi w:val="0"/>
        <w:spacing w:after="0" w:afterLines="0" w:line="560" w:lineRule="exact"/>
        <w:ind w:firstLine="640" w:firstLineChars="200"/>
        <w:rPr>
          <w:rFonts w:ascii="仿宋_GB2312" w:hAnsi="Calibri" w:eastAsia="仿宋_GB2312" w:cs="Times New Roman"/>
          <w:b w:val="0"/>
          <w:bCs w:val="0"/>
          <w:sz w:val="32"/>
          <w:szCs w:val="32"/>
          <w:highlight w:val="none"/>
        </w:rPr>
      </w:pPr>
      <w:r>
        <w:rPr>
          <w:rFonts w:hint="eastAsia" w:ascii="仿宋_GB2312" w:hAnsi="仿宋_GB2312" w:eastAsia="仿宋_GB2312" w:cs="仿宋_GB2312"/>
          <w:b w:val="0"/>
          <w:bCs w:val="0"/>
          <w:sz w:val="32"/>
          <w:szCs w:val="32"/>
          <w:highlight w:val="none"/>
        </w:rPr>
        <w:t>全面从严治党与廉洁建设。充分发挥全面从严治党引领保障作用，全面贯彻新时代党的建设总要求和新时代党的组织路线，一体推进不敢腐、不能腐、不想腐，持续推进我区全面从严治党取得新的更大成效。深化权力集中领域腐败治理及群众身边不正之风整治，大力推进新时代廉洁文化建设，巩固风清气正的政治生态。</w:t>
      </w:r>
      <w:bookmarkStart w:id="5455" w:name="_Toc32407"/>
      <w:bookmarkStart w:id="5456" w:name="_Toc24822"/>
      <w:bookmarkStart w:id="5457" w:name="_Toc20118"/>
      <w:bookmarkStart w:id="5458" w:name="_Toc30042"/>
      <w:bookmarkStart w:id="5459" w:name="_Toc12602"/>
      <w:bookmarkStart w:id="5460" w:name="_Toc8616"/>
      <w:bookmarkStart w:id="5461" w:name="_Toc8581"/>
      <w:bookmarkStart w:id="5462" w:name="_Toc215695375"/>
      <w:bookmarkStart w:id="5463" w:name="_Toc26625"/>
      <w:bookmarkStart w:id="5464" w:name="_Toc145"/>
      <w:bookmarkStart w:id="5465" w:name="_Toc1150"/>
      <w:bookmarkStart w:id="5466" w:name="_Toc5462"/>
      <w:bookmarkStart w:id="5467" w:name="_Toc453"/>
      <w:bookmarkStart w:id="5468" w:name="_Toc31881"/>
      <w:bookmarkStart w:id="5469" w:name="_Toc18456"/>
      <w:bookmarkStart w:id="5470" w:name="_Toc8294"/>
      <w:bookmarkStart w:id="5471" w:name="_Toc24784"/>
      <w:bookmarkStart w:id="5472" w:name="_Toc24838"/>
      <w:bookmarkStart w:id="5473" w:name="_Toc24460"/>
      <w:bookmarkStart w:id="5474" w:name="_Toc7829"/>
      <w:bookmarkStart w:id="5475" w:name="_Toc3052"/>
      <w:bookmarkStart w:id="5476" w:name="_Toc5523"/>
      <w:bookmarkStart w:id="5477" w:name="_Toc14652"/>
      <w:bookmarkStart w:id="5478" w:name="_Toc16714"/>
      <w:bookmarkStart w:id="5479" w:name="_Toc20918"/>
      <w:bookmarkStart w:id="5480" w:name="_Toc25828"/>
      <w:bookmarkStart w:id="5481" w:name="_Toc14070"/>
    </w:p>
    <w:p w14:paraId="34EE7A30">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482" w:name="_Toc24595"/>
      <w:bookmarkStart w:id="5483" w:name="_Toc231562197"/>
      <w:bookmarkStart w:id="5484" w:name="_Toc24532"/>
      <w:bookmarkStart w:id="5485" w:name="_Toc26780"/>
      <w:bookmarkStart w:id="5486" w:name="_Toc2259"/>
      <w:r>
        <w:rPr>
          <w:rFonts w:hint="eastAsia" w:ascii="楷体_GB2312" w:hAnsi="楷体_GB2312" w:eastAsia="楷体_GB2312" w:cs="楷体_GB2312"/>
          <w:b w:val="0"/>
          <w:bCs w:val="0"/>
          <w:sz w:val="32"/>
          <w:szCs w:val="32"/>
          <w:highlight w:val="none"/>
        </w:rPr>
        <w:t>第二节  强化干部队伍建设与社会参与动能</w:t>
      </w:r>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p>
    <w:p w14:paraId="4EF266B6">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激发全社会参与积极性。充分发挥工会、共青团、妇联、各民主党派、工商联和无党派人士作用，凝聚推动发展的广泛共识和强大合力。通过制度化引导和协同机制建设，增强社会力量在公共事务、社区治理、产业发展等方面的参与度和影响力，形成政府引领、社会协同、公众参与的良性互动格局。</w:t>
      </w:r>
    </w:p>
    <w:p w14:paraId="601FEB7E">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干部队伍建设与能力提升。完善干部激励机制，坚持正确用人导向，健全选拔任用、担当作为激励和保护机制，精准落实“三个区分开来”，推进干部能上能下常态化。着眼新质生产力培育，提升领导干部决策科学化和专业化水平，巩固拓展主题教育成果，</w:t>
      </w:r>
      <w:r>
        <w:rPr>
          <w:rFonts w:ascii="仿宋_GB2312" w:hAnsi="仿宋_GB2312" w:eastAsia="仿宋_GB2312" w:cs="仿宋_GB2312"/>
          <w:b w:val="0"/>
          <w:bCs w:val="0"/>
          <w:sz w:val="32"/>
          <w:szCs w:val="32"/>
          <w:highlight w:val="none"/>
        </w:rPr>
        <w:t>推进党纪学习教育常态化长效化</w:t>
      </w:r>
      <w:r>
        <w:rPr>
          <w:rFonts w:hint="eastAsia" w:ascii="仿宋_GB2312" w:hAnsi="仿宋_GB2312" w:eastAsia="仿宋_GB2312" w:cs="仿宋_GB2312"/>
          <w:b w:val="0"/>
          <w:bCs w:val="0"/>
          <w:sz w:val="32"/>
          <w:szCs w:val="32"/>
          <w:highlight w:val="none"/>
        </w:rPr>
        <w:t>。实施领导干部能力提升计划，通过挂职锻炼、行动学习和专业培训等方式强化人才引进与培养。</w:t>
      </w:r>
    </w:p>
    <w:p w14:paraId="32EDC229">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5487" w:name="_Toc30267"/>
      <w:bookmarkStart w:id="5488" w:name="_Toc22799"/>
      <w:bookmarkStart w:id="5489" w:name="_Toc11524"/>
      <w:bookmarkStart w:id="5490" w:name="_Toc5811"/>
      <w:bookmarkStart w:id="5491" w:name="_Toc215695376"/>
      <w:bookmarkStart w:id="5492" w:name="_Toc22581"/>
      <w:bookmarkStart w:id="5493" w:name="_Toc23382"/>
      <w:bookmarkStart w:id="5494" w:name="_Toc28513"/>
      <w:bookmarkStart w:id="5495" w:name="_Toc14353"/>
      <w:bookmarkStart w:id="5496" w:name="_Toc10246"/>
      <w:bookmarkStart w:id="5497" w:name="_Toc18592"/>
      <w:bookmarkStart w:id="5498" w:name="_Toc14136"/>
      <w:bookmarkStart w:id="5499" w:name="_Toc22197"/>
      <w:bookmarkStart w:id="5500" w:name="_Toc21891"/>
      <w:bookmarkStart w:id="5501" w:name="_Toc7254"/>
      <w:bookmarkStart w:id="5502" w:name="_Toc7716"/>
      <w:bookmarkStart w:id="5503" w:name="_Toc18522"/>
      <w:bookmarkStart w:id="5504" w:name="_Toc9227"/>
      <w:bookmarkStart w:id="5505" w:name="_Toc25963"/>
      <w:bookmarkStart w:id="5506" w:name="_Toc22362"/>
      <w:bookmarkStart w:id="5507" w:name="_Toc3690"/>
      <w:bookmarkStart w:id="5508" w:name="_Toc20869"/>
      <w:bookmarkStart w:id="5509" w:name="_Toc3149"/>
      <w:bookmarkStart w:id="5510" w:name="_Toc26306"/>
      <w:bookmarkStart w:id="5511" w:name="_Toc24102"/>
      <w:bookmarkStart w:id="5512" w:name="_Toc3647"/>
      <w:bookmarkStart w:id="5513" w:name="_Toc30637"/>
      <w:bookmarkStart w:id="5514" w:name="_Toc1780"/>
      <w:bookmarkStart w:id="5515" w:name="_Toc31129"/>
      <w:bookmarkStart w:id="5516" w:name="_Toc231562198"/>
      <w:bookmarkStart w:id="5517" w:name="_Toc22154"/>
      <w:bookmarkStart w:id="5518" w:name="_Toc23513"/>
      <w:bookmarkStart w:id="5519" w:name="_Toc214611379"/>
      <w:r>
        <w:rPr>
          <w:rFonts w:hint="eastAsia" w:ascii="黑体" w:hAnsi="黑体" w:eastAsia="黑体"/>
          <w:b w:val="0"/>
          <w:bCs w:val="0"/>
          <w:sz w:val="32"/>
          <w:szCs w:val="32"/>
          <w:highlight w:val="none"/>
        </w:rPr>
        <w:t xml:space="preserve">第二章  </w:t>
      </w:r>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r>
        <w:rPr>
          <w:rFonts w:hint="eastAsia" w:ascii="黑体" w:hAnsi="黑体" w:eastAsia="黑体"/>
          <w:b w:val="0"/>
          <w:bCs w:val="0"/>
          <w:sz w:val="32"/>
          <w:szCs w:val="32"/>
          <w:highlight w:val="none"/>
        </w:rPr>
        <w:t>加强规划体系衔接</w:t>
      </w:r>
      <w:bookmarkEnd w:id="5514"/>
      <w:bookmarkEnd w:id="5515"/>
      <w:bookmarkEnd w:id="5516"/>
      <w:bookmarkEnd w:id="5517"/>
      <w:bookmarkEnd w:id="5518"/>
    </w:p>
    <w:p w14:paraId="0401291D">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lang w:val="en-US" w:eastAsia="zh-CN"/>
        </w:rPr>
      </w:pPr>
      <w:bookmarkStart w:id="5520" w:name="_Toc23843"/>
      <w:bookmarkStart w:id="5521" w:name="_Toc12299"/>
      <w:bookmarkStart w:id="5522" w:name="_Toc18582"/>
      <w:bookmarkStart w:id="5523" w:name="_Toc3594"/>
      <w:bookmarkStart w:id="5524" w:name="_Toc215695377"/>
      <w:bookmarkStart w:id="5525" w:name="_Toc231562199"/>
      <w:bookmarkStart w:id="5526" w:name="_Toc4096"/>
      <w:bookmarkStart w:id="5527" w:name="_Toc19053"/>
      <w:bookmarkStart w:id="5528" w:name="_Toc30044"/>
      <w:bookmarkStart w:id="5529" w:name="_Toc13781"/>
      <w:bookmarkStart w:id="5530" w:name="_Toc15985"/>
      <w:bookmarkStart w:id="5531" w:name="_Toc3411"/>
      <w:bookmarkStart w:id="5532" w:name="_Toc130"/>
      <w:bookmarkStart w:id="5533" w:name="_Toc1157"/>
      <w:bookmarkStart w:id="5534" w:name="_Toc24464"/>
      <w:bookmarkStart w:id="5535" w:name="_Toc6235"/>
      <w:bookmarkStart w:id="5536" w:name="_Toc23439"/>
      <w:bookmarkStart w:id="5537" w:name="_Toc31381"/>
      <w:bookmarkStart w:id="5538" w:name="_Toc9734"/>
      <w:bookmarkStart w:id="5539" w:name="_Toc25276"/>
      <w:bookmarkStart w:id="5540" w:name="_Toc1721"/>
      <w:bookmarkStart w:id="5541" w:name="_Toc5018"/>
      <w:bookmarkStart w:id="5542" w:name="_Toc5461"/>
      <w:bookmarkStart w:id="5543" w:name="_Toc4975"/>
      <w:bookmarkStart w:id="5544" w:name="_Toc26520"/>
      <w:bookmarkStart w:id="5545" w:name="_Toc23458"/>
      <w:bookmarkStart w:id="5546" w:name="_Toc9945"/>
      <w:bookmarkStart w:id="5547" w:name="_Toc1546"/>
      <w:bookmarkStart w:id="5548" w:name="_Toc3310"/>
      <w:bookmarkStart w:id="5549" w:name="_Toc19908"/>
      <w:bookmarkStart w:id="5550" w:name="_Toc32238"/>
      <w:bookmarkStart w:id="5551" w:name="_Toc15797"/>
      <w:r>
        <w:rPr>
          <w:rFonts w:hint="eastAsia" w:ascii="楷体_GB2312" w:hAnsi="楷体_GB2312" w:eastAsia="楷体_GB2312" w:cs="楷体_GB2312"/>
          <w:b w:val="0"/>
          <w:bCs w:val="0"/>
          <w:sz w:val="32"/>
          <w:szCs w:val="32"/>
          <w:highlight w:val="none"/>
        </w:rPr>
        <w:t xml:space="preserve">第一节  </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r>
        <w:rPr>
          <w:rFonts w:hint="eastAsia" w:ascii="楷体_GB2312" w:hAnsi="楷体_GB2312" w:eastAsia="楷体_GB2312" w:cs="楷体_GB2312"/>
          <w:b w:val="0"/>
          <w:bCs w:val="0"/>
          <w:sz w:val="32"/>
          <w:szCs w:val="32"/>
          <w:highlight w:val="none"/>
        </w:rPr>
        <w:t>积极衔接上位规划</w:t>
      </w:r>
      <w:bookmarkEnd w:id="5548"/>
      <w:bookmarkEnd w:id="5549"/>
      <w:bookmarkEnd w:id="5550"/>
      <w:bookmarkEnd w:id="5551"/>
    </w:p>
    <w:p w14:paraId="36F4CCBF">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坚持下位规划服从上位规划、下级规划服务上级规划，精准承接国家、省、市有关上位规划部署要求，强化规划战略导向，科学谋划全区发展。衔接落实好全市国土空间规划有关要求，增强前瞻性、战略性引领，统筹好重大项目布局、生态保护红线和资源要素配置。</w:t>
      </w:r>
    </w:p>
    <w:p w14:paraId="236B3993">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552" w:name="_Toc231562200"/>
      <w:bookmarkStart w:id="5553" w:name="_Toc23323"/>
      <w:bookmarkStart w:id="5554" w:name="_Toc14730"/>
      <w:bookmarkStart w:id="5555" w:name="_Toc30239"/>
      <w:bookmarkStart w:id="5556" w:name="_Toc12812"/>
      <w:r>
        <w:rPr>
          <w:rFonts w:hint="eastAsia" w:ascii="楷体_GB2312" w:hAnsi="楷体_GB2312" w:eastAsia="楷体_GB2312" w:cs="楷体_GB2312"/>
          <w:b w:val="0"/>
          <w:bCs w:val="0"/>
          <w:sz w:val="32"/>
          <w:szCs w:val="32"/>
          <w:highlight w:val="none"/>
        </w:rPr>
        <w:t xml:space="preserve">第二节  </w:t>
      </w:r>
      <w:bookmarkEnd w:id="5552"/>
      <w:r>
        <w:rPr>
          <w:rFonts w:hint="eastAsia" w:ascii="楷体_GB2312" w:hAnsi="楷体_GB2312" w:eastAsia="楷体_GB2312" w:cs="楷体_GB2312"/>
          <w:b w:val="0"/>
          <w:bCs w:val="0"/>
          <w:sz w:val="32"/>
          <w:szCs w:val="32"/>
          <w:highlight w:val="none"/>
        </w:rPr>
        <w:t>统筹重点领域规划</w:t>
      </w:r>
      <w:bookmarkEnd w:id="5553"/>
      <w:bookmarkEnd w:id="5554"/>
      <w:bookmarkEnd w:id="5555"/>
      <w:bookmarkEnd w:id="5556"/>
    </w:p>
    <w:p w14:paraId="0E6D3B3A">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立足我区实际统筹重点领域规划编制，“十五五”期间如有专项规划、园区规划等编制需要，应和本规划纲要做好衔接，保证全区其它各级各类规划与在本规划纲要发展方向、发展目标、重点工程、政策措施安排等方面协调一致，并为规划纲要顺利实施提供有力支撑。</w:t>
      </w:r>
    </w:p>
    <w:p w14:paraId="0691BAA3">
      <w:pPr>
        <w:rPr>
          <w:rFonts w:hint="eastAsia" w:ascii="黑体" w:hAnsi="黑体" w:eastAsia="黑体"/>
          <w:b w:val="0"/>
          <w:bCs w:val="0"/>
          <w:sz w:val="32"/>
          <w:szCs w:val="32"/>
          <w:highlight w:val="none"/>
        </w:rPr>
      </w:pPr>
      <w:bookmarkStart w:id="5557" w:name="_Toc231562201"/>
      <w:bookmarkStart w:id="5558" w:name="_Toc15225"/>
      <w:bookmarkStart w:id="5559" w:name="_Toc4767"/>
      <w:bookmarkStart w:id="5560" w:name="_Toc26768"/>
      <w:bookmarkStart w:id="5561" w:name="_Toc25957"/>
      <w:bookmarkStart w:id="5562" w:name="_Toc14473"/>
      <w:bookmarkStart w:id="5563" w:name="_Toc20269"/>
      <w:bookmarkStart w:id="5564" w:name="_Toc25743"/>
      <w:bookmarkStart w:id="5565" w:name="_Toc27062"/>
      <w:bookmarkStart w:id="5566" w:name="_Toc215695379"/>
      <w:bookmarkStart w:id="5567" w:name="_Toc4701"/>
      <w:bookmarkStart w:id="5568" w:name="_Toc2469"/>
      <w:bookmarkStart w:id="5569" w:name="_Toc131"/>
      <w:bookmarkStart w:id="5570" w:name="_Toc20829"/>
      <w:bookmarkStart w:id="5571" w:name="_Toc3211"/>
      <w:bookmarkStart w:id="5572" w:name="_Toc28249"/>
      <w:bookmarkStart w:id="5573" w:name="_Toc12710"/>
      <w:bookmarkStart w:id="5574" w:name="_Toc4285"/>
      <w:bookmarkStart w:id="5575" w:name="_Toc25932"/>
      <w:bookmarkStart w:id="5576" w:name="_Toc27403"/>
      <w:bookmarkStart w:id="5577" w:name="_Toc1208"/>
      <w:bookmarkStart w:id="5578" w:name="_Toc10411"/>
      <w:bookmarkStart w:id="5579" w:name="_Toc29328"/>
      <w:bookmarkStart w:id="5580" w:name="_Toc13298"/>
      <w:bookmarkStart w:id="5581" w:name="_Toc20030"/>
      <w:bookmarkStart w:id="5582" w:name="_Toc20396"/>
      <w:bookmarkStart w:id="5583" w:name="_Toc27315"/>
      <w:bookmarkStart w:id="5584" w:name="_Toc2652"/>
      <w:r>
        <w:rPr>
          <w:rFonts w:hint="eastAsia" w:ascii="黑体" w:hAnsi="黑体" w:eastAsia="黑体"/>
          <w:b w:val="0"/>
          <w:bCs w:val="0"/>
          <w:sz w:val="32"/>
          <w:szCs w:val="32"/>
          <w:highlight w:val="none"/>
        </w:rPr>
        <w:br w:type="page"/>
      </w:r>
    </w:p>
    <w:p w14:paraId="3CA06FCA">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5585" w:name="_Toc16459"/>
      <w:bookmarkStart w:id="5586" w:name="_Toc16803"/>
      <w:bookmarkStart w:id="5587" w:name="_Toc11892"/>
      <w:bookmarkStart w:id="5588" w:name="_Toc11672"/>
      <w:r>
        <w:rPr>
          <w:rFonts w:hint="eastAsia" w:ascii="黑体" w:hAnsi="黑体" w:eastAsia="黑体"/>
          <w:b w:val="0"/>
          <w:bCs w:val="0"/>
          <w:sz w:val="32"/>
          <w:szCs w:val="32"/>
          <w:highlight w:val="none"/>
        </w:rPr>
        <w:t>第三章  完善规划实施机制</w:t>
      </w:r>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p>
    <w:p w14:paraId="1947DFF4">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589" w:name="_Toc3251"/>
      <w:bookmarkStart w:id="5590" w:name="_Toc19171"/>
      <w:bookmarkStart w:id="5591" w:name="_Toc3648"/>
      <w:bookmarkStart w:id="5592" w:name="_Toc21349"/>
      <w:bookmarkStart w:id="5593" w:name="_Toc19617"/>
      <w:bookmarkStart w:id="5594" w:name="_Toc9034"/>
      <w:bookmarkStart w:id="5595" w:name="_Toc6751"/>
      <w:bookmarkStart w:id="5596" w:name="_Toc6190"/>
      <w:bookmarkStart w:id="5597" w:name="_Toc766"/>
      <w:bookmarkStart w:id="5598" w:name="_Toc15626"/>
      <w:bookmarkStart w:id="5599" w:name="_Toc215695380"/>
      <w:bookmarkStart w:id="5600" w:name="_Toc16688"/>
      <w:bookmarkStart w:id="5601" w:name="_Toc12576"/>
      <w:bookmarkStart w:id="5602" w:name="_Toc24355"/>
      <w:bookmarkStart w:id="5603" w:name="_Toc231562202"/>
      <w:bookmarkStart w:id="5604" w:name="_Toc32648"/>
      <w:bookmarkStart w:id="5605" w:name="_Toc23590"/>
      <w:bookmarkStart w:id="5606" w:name="_Toc10864"/>
      <w:bookmarkStart w:id="5607" w:name="_Toc26810"/>
      <w:bookmarkStart w:id="5608" w:name="_Toc15558"/>
      <w:bookmarkStart w:id="5609" w:name="_Toc24995"/>
      <w:bookmarkStart w:id="5610" w:name="_Toc8248"/>
      <w:bookmarkStart w:id="5611" w:name="_Toc15561"/>
      <w:bookmarkStart w:id="5612" w:name="_Toc1342"/>
      <w:bookmarkStart w:id="5613" w:name="_Toc3395"/>
      <w:bookmarkStart w:id="5614" w:name="_Toc23839"/>
      <w:bookmarkStart w:id="5615" w:name="_Toc18890"/>
      <w:bookmarkStart w:id="5616" w:name="_Toc16419"/>
      <w:bookmarkStart w:id="5617" w:name="_Toc2573"/>
      <w:bookmarkStart w:id="5618" w:name="_Toc27448"/>
      <w:bookmarkStart w:id="5619" w:name="_Toc2926"/>
      <w:bookmarkStart w:id="5620" w:name="_Toc18309"/>
      <w:r>
        <w:rPr>
          <w:rFonts w:hint="eastAsia" w:ascii="楷体_GB2312" w:hAnsi="楷体_GB2312" w:eastAsia="楷体_GB2312" w:cs="楷体_GB2312"/>
          <w:b w:val="0"/>
          <w:bCs w:val="0"/>
          <w:sz w:val="32"/>
          <w:szCs w:val="32"/>
          <w:highlight w:val="none"/>
        </w:rPr>
        <w:t>第一节  落实规划实施责任</w:t>
      </w:r>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p>
    <w:p w14:paraId="7CA40973">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明确责任与规划实施。各部门制定实施方案，明确约束性指标、重大工程、公共服务、生态环保和安全保障任务的责任主体与进度要求，合理配置资源，确保任务完成。预期性指标和产业发展任务主要依靠市场实现，政府提供政策、体制和法治环境支持。年度计划贯彻规划目标，将指标分解纳入体系，设置年度目标并平衡，确保规划与年度实施紧密衔接。</w:t>
      </w:r>
    </w:p>
    <w:p w14:paraId="5B03DB6A">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项目实施与要素保障。坚持规划定项目、项目落实规划，严格项目准入，完善滚动调整机制，确保重大项目质量优、示范性强。加强用能、用地和环境容量等要素保障，建立跨部门联席机制落实要素保障，预留弹性指标并提前介入选址。积极争取上级资金，强化政金企对接，保障融资需求，提升预算绩效管理水平。</w:t>
      </w:r>
    </w:p>
    <w:p w14:paraId="16E95285">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621" w:name="_Toc19679"/>
      <w:bookmarkStart w:id="5622" w:name="_Toc19740"/>
      <w:bookmarkStart w:id="5623" w:name="_Toc31286"/>
      <w:bookmarkStart w:id="5624" w:name="_Toc31055"/>
      <w:bookmarkStart w:id="5625" w:name="_Toc21928"/>
      <w:bookmarkStart w:id="5626" w:name="_Toc215695381"/>
      <w:bookmarkStart w:id="5627" w:name="_Toc24268"/>
      <w:bookmarkStart w:id="5628" w:name="_Toc10390"/>
      <w:bookmarkStart w:id="5629" w:name="_Toc16087"/>
      <w:bookmarkStart w:id="5630" w:name="_Toc17090"/>
      <w:bookmarkStart w:id="5631" w:name="_Toc13698"/>
      <w:bookmarkStart w:id="5632" w:name="_Toc5844"/>
      <w:bookmarkStart w:id="5633" w:name="_Toc14042"/>
      <w:bookmarkStart w:id="5634" w:name="_Toc26708"/>
      <w:bookmarkStart w:id="5635" w:name="_Toc4611"/>
      <w:bookmarkStart w:id="5636" w:name="_Toc16765"/>
      <w:bookmarkStart w:id="5637" w:name="_Toc13991"/>
      <w:bookmarkStart w:id="5638" w:name="_Toc12693"/>
      <w:bookmarkStart w:id="5639" w:name="_Toc2228"/>
      <w:bookmarkStart w:id="5640" w:name="_Toc21662"/>
      <w:bookmarkStart w:id="5641" w:name="_Toc231562203"/>
      <w:bookmarkStart w:id="5642" w:name="_Toc3024"/>
      <w:bookmarkStart w:id="5643" w:name="_Toc5051"/>
      <w:bookmarkStart w:id="5644" w:name="_Toc16943"/>
      <w:bookmarkStart w:id="5645" w:name="_Toc3197"/>
      <w:bookmarkStart w:id="5646" w:name="_Toc21926"/>
      <w:bookmarkStart w:id="5647" w:name="_Toc17165"/>
      <w:bookmarkStart w:id="5648" w:name="_Toc7131"/>
      <w:bookmarkStart w:id="5649" w:name="_Toc403"/>
      <w:bookmarkStart w:id="5650" w:name="_Toc1163"/>
      <w:bookmarkStart w:id="5651" w:name="_Toc1776"/>
      <w:bookmarkStart w:id="5652" w:name="_Toc13278"/>
      <w:r>
        <w:rPr>
          <w:rFonts w:hint="eastAsia" w:ascii="楷体_GB2312" w:hAnsi="楷体_GB2312" w:eastAsia="楷体_GB2312" w:cs="楷体_GB2312"/>
          <w:b w:val="0"/>
          <w:bCs w:val="0"/>
          <w:sz w:val="32"/>
          <w:szCs w:val="32"/>
          <w:highlight w:val="none"/>
        </w:rPr>
        <w:t>第二节  加强规划实施监测评估</w:t>
      </w:r>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p>
    <w:p w14:paraId="553980AD">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动态监测与评估。开展规划实施的动态监测、中期评估和总结评估，按程序提请党委审议并向人大常委会报告，自觉接受政协民主监督和社会舆论监督。充分发挥督查和审计作用，将实施情况纳入领导班子和干部评价体系，为改进决策提供依据。</w:t>
      </w:r>
    </w:p>
    <w:p w14:paraId="7ACDFAC8">
      <w:pPr>
        <w:pStyle w:val="7"/>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督查预警与调整。强化督查预警机制，跟踪分析规划执行情况，及时督办提出的改进建议。做好年度跟踪，根据评估结果调整实施方案，并将调整情况纳入综合评价考核，确保重点任务和重大工程落实到位。</w:t>
      </w:r>
    </w:p>
    <w:p w14:paraId="14F7F635">
      <w:pPr>
        <w:rPr>
          <w:rFonts w:hint="eastAsia" w:ascii="楷体_GB2312" w:hAnsi="楷体_GB2312" w:eastAsia="楷体_GB2312" w:cs="楷体_GB2312"/>
          <w:b w:val="0"/>
          <w:bCs w:val="0"/>
          <w:sz w:val="32"/>
          <w:szCs w:val="32"/>
          <w:highlight w:val="none"/>
        </w:rPr>
      </w:pPr>
      <w:bookmarkStart w:id="5653" w:name="_Toc3854"/>
      <w:bookmarkStart w:id="5654" w:name="_Toc15961"/>
      <w:bookmarkStart w:id="5655" w:name="_Toc16368"/>
      <w:bookmarkStart w:id="5656" w:name="_Toc17776"/>
      <w:bookmarkStart w:id="5657" w:name="_Toc15918"/>
      <w:bookmarkStart w:id="5658" w:name="_Toc14335"/>
      <w:bookmarkStart w:id="5659" w:name="_Toc307"/>
      <w:bookmarkStart w:id="5660" w:name="_Toc26209"/>
      <w:bookmarkStart w:id="5661" w:name="_Toc30612"/>
      <w:bookmarkStart w:id="5662" w:name="_Toc32600"/>
      <w:bookmarkStart w:id="5663" w:name="_Toc26735"/>
      <w:bookmarkStart w:id="5664" w:name="_Toc18222"/>
      <w:bookmarkStart w:id="5665" w:name="_Toc23043"/>
      <w:bookmarkStart w:id="5666" w:name="_Toc231562204"/>
      <w:bookmarkStart w:id="5667" w:name="_Toc27507"/>
      <w:bookmarkStart w:id="5668" w:name="_Toc21200"/>
      <w:bookmarkStart w:id="5669" w:name="_Toc31670"/>
      <w:bookmarkStart w:id="5670" w:name="_Toc6189"/>
      <w:bookmarkStart w:id="5671" w:name="_Toc11815"/>
      <w:bookmarkStart w:id="5672" w:name="_Toc20589"/>
      <w:bookmarkStart w:id="5673" w:name="_Toc7994"/>
      <w:bookmarkStart w:id="5674" w:name="_Toc4163"/>
      <w:bookmarkStart w:id="5675" w:name="_Toc713"/>
      <w:bookmarkStart w:id="5676" w:name="_Toc215695382"/>
      <w:bookmarkStart w:id="5677" w:name="_Toc19899"/>
      <w:bookmarkStart w:id="5678" w:name="_Toc31369"/>
      <w:bookmarkStart w:id="5679" w:name="_Toc31395"/>
      <w:bookmarkStart w:id="5680" w:name="_Toc29676"/>
      <w:r>
        <w:rPr>
          <w:rFonts w:hint="eastAsia" w:ascii="楷体_GB2312" w:hAnsi="楷体_GB2312" w:eastAsia="楷体_GB2312" w:cs="楷体_GB2312"/>
          <w:b w:val="0"/>
          <w:bCs w:val="0"/>
          <w:sz w:val="32"/>
          <w:szCs w:val="32"/>
          <w:highlight w:val="none"/>
        </w:rPr>
        <w:br w:type="page"/>
      </w:r>
    </w:p>
    <w:p w14:paraId="3D58FD61">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681" w:name="_Toc22762"/>
      <w:bookmarkStart w:id="5682" w:name="_Toc25977"/>
      <w:bookmarkStart w:id="5683" w:name="_Toc5451"/>
      <w:bookmarkStart w:id="5684" w:name="_Toc1649"/>
      <w:r>
        <w:rPr>
          <w:rFonts w:hint="eastAsia" w:ascii="楷体_GB2312" w:hAnsi="楷体_GB2312" w:eastAsia="楷体_GB2312" w:cs="楷体_GB2312"/>
          <w:b w:val="0"/>
          <w:bCs w:val="0"/>
          <w:sz w:val="32"/>
          <w:szCs w:val="32"/>
          <w:highlight w:val="none"/>
        </w:rPr>
        <w:t>第三节  强化政策协同保障</w:t>
      </w:r>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p>
    <w:p w14:paraId="4A5A20E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政策方向与财政保障。精准对接上级政策取向，增强财力保障，加强年度预算及政府投资的衔接，确保政府资金优先投向重大任务和重点工程。</w:t>
      </w:r>
    </w:p>
    <w:p w14:paraId="5C30603B">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项目统筹与资源保障。坚持项目跟着规划走、资金要素跟着项目走，制定重大项目清单，简化审批流程，优先保障选址、用地及资金资源，形成政策协同、资金支撑与工程推进相互促进的机制。</w:t>
      </w:r>
      <w:bookmarkEnd w:id="5519"/>
    </w:p>
    <w:p w14:paraId="0323F111">
      <w:pPr>
        <w:pageBreakBefore w:val="0"/>
        <w:kinsoku/>
        <w:wordWrap/>
        <w:overflowPunct/>
        <w:topLinePunct w:val="0"/>
        <w:autoSpaceDE/>
        <w:autoSpaceDN/>
        <w:bidi w:val="0"/>
        <w:spacing w:after="0" w:afterLines="0" w:line="560" w:lineRule="exact"/>
        <w:jc w:val="center"/>
        <w:outlineLvl w:val="1"/>
        <w:rPr>
          <w:rFonts w:hint="eastAsia" w:ascii="黑体" w:hAnsi="黑体" w:eastAsia="黑体"/>
          <w:b w:val="0"/>
          <w:bCs w:val="0"/>
          <w:sz w:val="32"/>
          <w:szCs w:val="32"/>
          <w:highlight w:val="none"/>
        </w:rPr>
      </w:pPr>
      <w:bookmarkStart w:id="5685" w:name="_Toc22606"/>
      <w:bookmarkStart w:id="5686" w:name="_Toc5720"/>
      <w:bookmarkStart w:id="5687" w:name="_Toc23813"/>
      <w:bookmarkStart w:id="5688" w:name="_Toc5622"/>
      <w:bookmarkStart w:id="5689" w:name="_Toc14704"/>
      <w:bookmarkStart w:id="5690" w:name="_Toc6038"/>
      <w:bookmarkStart w:id="5691" w:name="_Toc11471"/>
      <w:bookmarkStart w:id="5692" w:name="_Toc29133"/>
      <w:bookmarkStart w:id="5693" w:name="_Toc11940"/>
      <w:bookmarkStart w:id="5694" w:name="_Toc13812"/>
      <w:bookmarkStart w:id="5695" w:name="_Toc3478"/>
      <w:bookmarkStart w:id="5696" w:name="_Toc25318"/>
      <w:bookmarkStart w:id="5697" w:name="_Toc9819"/>
      <w:bookmarkStart w:id="5698" w:name="_Toc19572"/>
      <w:bookmarkStart w:id="5699" w:name="_Toc17692"/>
      <w:bookmarkStart w:id="5700" w:name="_Toc21498"/>
      <w:bookmarkStart w:id="5701" w:name="_Toc26837"/>
      <w:bookmarkStart w:id="5702" w:name="_Toc28734"/>
      <w:bookmarkStart w:id="5703" w:name="_Toc4758"/>
      <w:bookmarkStart w:id="5704" w:name="_Toc13629"/>
      <w:bookmarkStart w:id="5705" w:name="_Toc9771"/>
      <w:bookmarkStart w:id="5706" w:name="_Toc25404"/>
      <w:bookmarkStart w:id="5707" w:name="_Toc231562205"/>
      <w:bookmarkStart w:id="5708" w:name="_Toc8017"/>
      <w:bookmarkStart w:id="5709" w:name="_Toc30131"/>
      <w:bookmarkStart w:id="5710" w:name="_Toc29845"/>
      <w:bookmarkStart w:id="5711" w:name="_Toc24867"/>
      <w:bookmarkStart w:id="5712" w:name="_Toc17879"/>
      <w:bookmarkStart w:id="5713" w:name="_Toc4443"/>
      <w:bookmarkStart w:id="5714" w:name="_Toc419"/>
      <w:bookmarkStart w:id="5715" w:name="_Toc19305"/>
      <w:r>
        <w:rPr>
          <w:rFonts w:hint="eastAsia" w:ascii="黑体" w:hAnsi="黑体" w:eastAsia="黑体"/>
          <w:b w:val="0"/>
          <w:bCs w:val="0"/>
          <w:sz w:val="32"/>
          <w:szCs w:val="32"/>
          <w:highlight w:val="none"/>
        </w:rPr>
        <w:t>第四章  加强规划组织实施</w:t>
      </w:r>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p>
    <w:p w14:paraId="589D9711">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716" w:name="_Toc7195"/>
      <w:bookmarkStart w:id="5717" w:name="_Toc18485"/>
      <w:bookmarkStart w:id="5718" w:name="_Toc28650"/>
      <w:bookmarkStart w:id="5719" w:name="_Toc19291"/>
      <w:bookmarkStart w:id="5720" w:name="_Toc17323"/>
      <w:bookmarkStart w:id="5721" w:name="_Toc5641"/>
      <w:bookmarkStart w:id="5722" w:name="_Toc7973"/>
      <w:bookmarkStart w:id="5723" w:name="_Toc17560"/>
      <w:bookmarkStart w:id="5724" w:name="_Toc22202"/>
      <w:bookmarkStart w:id="5725" w:name="_Toc29321"/>
      <w:bookmarkStart w:id="5726" w:name="_Toc5270"/>
      <w:bookmarkStart w:id="5727" w:name="_Toc3884"/>
      <w:bookmarkStart w:id="5728" w:name="_Toc30243"/>
      <w:bookmarkStart w:id="5729" w:name="_Toc13141"/>
      <w:bookmarkStart w:id="5730" w:name="_Toc26204"/>
      <w:bookmarkStart w:id="5731" w:name="_Toc23182"/>
      <w:bookmarkStart w:id="5732" w:name="_Toc22394"/>
      <w:bookmarkStart w:id="5733" w:name="_Toc17815"/>
      <w:bookmarkStart w:id="5734" w:name="_Toc1952"/>
      <w:bookmarkStart w:id="5735" w:name="_Toc5807"/>
      <w:bookmarkStart w:id="5736" w:name="_Toc231562206"/>
      <w:bookmarkStart w:id="5737" w:name="_Toc10743"/>
      <w:bookmarkStart w:id="5738" w:name="_Toc8103"/>
      <w:bookmarkStart w:id="5739" w:name="_Toc23734"/>
      <w:bookmarkStart w:id="5740" w:name="_Toc25302"/>
      <w:bookmarkStart w:id="5741" w:name="_Toc648"/>
      <w:bookmarkStart w:id="5742" w:name="_Toc3701"/>
      <w:bookmarkStart w:id="5743" w:name="_Toc23426"/>
      <w:bookmarkStart w:id="5744" w:name="_Toc27627"/>
      <w:r>
        <w:rPr>
          <w:rFonts w:hint="eastAsia" w:ascii="楷体_GB2312" w:hAnsi="楷体_GB2312" w:eastAsia="楷体_GB2312" w:cs="楷体_GB2312"/>
          <w:b w:val="0"/>
          <w:bCs w:val="0"/>
          <w:sz w:val="32"/>
          <w:szCs w:val="32"/>
          <w:highlight w:val="none"/>
        </w:rPr>
        <w:t>第一节  健全分解落实机制</w:t>
      </w:r>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p>
    <w:p w14:paraId="2C449A8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明确责任分工与指标传导。建立健全“横向到边、纵向到底”的规划实施责任体系。各牵头部门、责任单位及各乡镇（街道）需在本规划发布后，结合自身职能，制定具体实施方案和年度工作计划，将规划纲要转化为可操作、可量化的“施工图”。对于约束性指标，要明确责任主体、进度要求和配套政策，确保作为政府履职的硬任务不折不扣完成。对于预期性指标，要清晰界定政府与市场的边界，充分激发市场主体的活力和创造力来共同实现。</w:t>
      </w:r>
    </w:p>
    <w:p w14:paraId="0374063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强化年度计划衔接与资源统筹。将本规划确定的主要目标和重点任务与国民经济和社会发展年度计划紧密衔接，确保五年规划的战略导向在年度工作中得到贯彻。科学设定年度目标，并做好与中期、长期目标的平衡协调，实现平稳衔接、压茬推进。区级财政预算和资源配置要优先服务于年度计划，确保资金、土地、人才等关键要素向规划确定的重点任务、重大项目和重要领域倾斜，形成规划引领、财力保重点的良性互动格局。</w:t>
      </w:r>
    </w:p>
    <w:p w14:paraId="65C9D40B">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745" w:name="_Toc3974"/>
      <w:bookmarkStart w:id="5746" w:name="_Toc20349"/>
      <w:bookmarkStart w:id="5747" w:name="_Toc29745"/>
      <w:bookmarkStart w:id="5748" w:name="_Toc20484"/>
      <w:bookmarkStart w:id="5749" w:name="_Toc15733"/>
      <w:bookmarkStart w:id="5750" w:name="_Toc8868"/>
      <w:bookmarkStart w:id="5751" w:name="_Toc12797"/>
      <w:bookmarkStart w:id="5752" w:name="_Toc29223"/>
      <w:bookmarkStart w:id="5753" w:name="_Toc31498"/>
      <w:bookmarkStart w:id="5754" w:name="_Toc2753"/>
      <w:bookmarkStart w:id="5755" w:name="_Toc29778"/>
      <w:bookmarkStart w:id="5756" w:name="_Toc14286"/>
      <w:bookmarkStart w:id="5757" w:name="_Toc24891"/>
      <w:bookmarkStart w:id="5758" w:name="_Toc17337"/>
      <w:bookmarkStart w:id="5759" w:name="_Toc21507"/>
      <w:bookmarkStart w:id="5760" w:name="_Toc7937"/>
      <w:bookmarkStart w:id="5761" w:name="_Toc23669"/>
      <w:bookmarkStart w:id="5762" w:name="_Toc231562207"/>
      <w:bookmarkStart w:id="5763" w:name="_Toc5044"/>
      <w:bookmarkStart w:id="5764" w:name="_Toc14059"/>
      <w:bookmarkStart w:id="5765" w:name="_Toc9815"/>
      <w:bookmarkStart w:id="5766" w:name="_Toc15527"/>
      <w:bookmarkStart w:id="5767" w:name="_Toc2430"/>
      <w:bookmarkStart w:id="5768" w:name="_Toc31508"/>
      <w:bookmarkStart w:id="5769" w:name="_Toc21440"/>
      <w:bookmarkStart w:id="5770" w:name="_Toc11684"/>
      <w:bookmarkStart w:id="5771" w:name="_Toc7534"/>
      <w:bookmarkStart w:id="5772" w:name="_Toc11225"/>
      <w:bookmarkStart w:id="5773" w:name="_Toc14999"/>
      <w:r>
        <w:rPr>
          <w:rFonts w:hint="eastAsia" w:ascii="楷体_GB2312" w:hAnsi="楷体_GB2312" w:eastAsia="楷体_GB2312" w:cs="楷体_GB2312"/>
          <w:b w:val="0"/>
          <w:bCs w:val="0"/>
          <w:sz w:val="32"/>
          <w:szCs w:val="32"/>
          <w:highlight w:val="none"/>
        </w:rPr>
        <w:t>第二节  强化重大项目支撑</w:t>
      </w:r>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p>
    <w:p w14:paraId="19648E19">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完善项目谋划与滚动实施。坚持“规划引领项目、项目落实规划”的原则，围绕本规划明确的产业升级、科技创新、基础设施、生态环保、民生改善等重点领域，高标准构建“十五五”时期重大项目库。建立“谋划一批、储备一批、建设一批、投产一批”的动态管理和滚动调整机制，严格项目准入标准，确保入库项目符合高质量发展要求，具有较强的牵引带动作用。对纳入项目库的重大工程，要明确推进时间表和责任单位，确保项目建设有力有序。</w:t>
      </w:r>
    </w:p>
    <w:p w14:paraId="1D128770">
      <w:pPr>
        <w:pageBreakBefore w:val="0"/>
        <w:kinsoku/>
        <w:wordWrap/>
        <w:overflowPunct/>
        <w:topLinePunct w:val="0"/>
        <w:autoSpaceDE/>
        <w:autoSpaceDN/>
        <w:bidi w:val="0"/>
        <w:spacing w:after="0" w:afterLines="0" w:line="560" w:lineRule="exact"/>
        <w:ind w:firstLine="640" w:firstLineChars="200"/>
        <w:rPr>
          <w:rFonts w:hint="eastAsia" w:ascii="仿宋_GB2312" w:hAnsi="Calibri" w:eastAsia="仿宋_GB2312" w:cs="Times New Roman"/>
          <w:b w:val="0"/>
          <w:bCs w:val="0"/>
          <w:sz w:val="32"/>
          <w:szCs w:val="32"/>
          <w:highlight w:val="none"/>
        </w:rPr>
      </w:pPr>
      <w:r>
        <w:rPr>
          <w:rFonts w:hint="eastAsia" w:ascii="仿宋_GB2312" w:hAnsi="仿宋_GB2312" w:eastAsia="仿宋_GB2312" w:cs="仿宋_GB2312"/>
          <w:b w:val="0"/>
          <w:bCs w:val="0"/>
          <w:sz w:val="32"/>
          <w:szCs w:val="32"/>
          <w:highlight w:val="none"/>
        </w:rPr>
        <w:t>加强要素保障与全周期服务。建立健全重大项目要素保障协调机制，强化土地、资金、能耗、环境容量等关键要素的统筹配置。对重大项目用地需求，由自然资源部门提前介入、前置服务，优先予以保障。在融资方面，积极争取上级专项资金支持，深化“政金企”对接合作，鼓励金融机构创新投融资产品，引导社会资本参与项目建设。</w:t>
      </w:r>
      <w:r>
        <w:rPr>
          <w:rFonts w:ascii="仿宋_GB2312" w:hAnsi="仿宋_GB2312" w:eastAsia="仿宋_GB2312" w:cs="仿宋_GB2312"/>
          <w:b w:val="0"/>
          <w:bCs w:val="0"/>
          <w:sz w:val="32"/>
          <w:szCs w:val="32"/>
          <w:highlight w:val="none"/>
        </w:rPr>
        <w:t>优化项目审批流程，依法依规落实减环节、并联审批、告知承诺等制度，</w:t>
      </w:r>
      <w:r>
        <w:rPr>
          <w:rFonts w:hint="eastAsia" w:ascii="仿宋_GB2312" w:hAnsi="仿宋_GB2312" w:eastAsia="仿宋_GB2312" w:cs="仿宋_GB2312"/>
          <w:b w:val="0"/>
          <w:bCs w:val="0"/>
          <w:sz w:val="32"/>
          <w:szCs w:val="32"/>
          <w:highlight w:val="none"/>
        </w:rPr>
        <w:t>为重大项目建设提供从立项到竣工投产的全生命周期“保姆式”服务，确保项目快速落地、高效推进。</w:t>
      </w:r>
      <w:bookmarkStart w:id="5774" w:name="_Toc7083"/>
      <w:bookmarkStart w:id="5775" w:name="_Toc11550"/>
      <w:bookmarkStart w:id="5776" w:name="_Toc4100"/>
      <w:bookmarkStart w:id="5777" w:name="_Toc13439"/>
      <w:bookmarkStart w:id="5778" w:name="_Toc4000"/>
      <w:bookmarkStart w:id="5779" w:name="_Toc14020"/>
      <w:bookmarkStart w:id="5780" w:name="_Toc20161"/>
      <w:bookmarkStart w:id="5781" w:name="_Toc26093"/>
      <w:bookmarkStart w:id="5782" w:name="_Toc1910"/>
      <w:bookmarkStart w:id="5783" w:name="_Toc26284"/>
      <w:bookmarkStart w:id="5784" w:name="_Toc15043"/>
      <w:bookmarkStart w:id="5785" w:name="_Toc2526"/>
      <w:bookmarkStart w:id="5786" w:name="_Toc27051"/>
      <w:bookmarkStart w:id="5787" w:name="_Toc11501"/>
      <w:bookmarkStart w:id="5788" w:name="_Toc21471"/>
      <w:bookmarkStart w:id="5789" w:name="_Toc231562208"/>
      <w:bookmarkStart w:id="5790" w:name="_Toc29255"/>
      <w:bookmarkStart w:id="5791" w:name="_Toc29973"/>
      <w:bookmarkStart w:id="5792" w:name="_Toc28778"/>
      <w:bookmarkStart w:id="5793" w:name="_Toc22063"/>
      <w:bookmarkStart w:id="5794" w:name="_Toc30651"/>
      <w:bookmarkStart w:id="5795" w:name="_Toc21279"/>
      <w:bookmarkStart w:id="5796" w:name="_Toc20938"/>
      <w:bookmarkStart w:id="5797" w:name="_Toc5861"/>
      <w:bookmarkStart w:id="5798" w:name="_Toc1202"/>
    </w:p>
    <w:p w14:paraId="5C8FBAF9">
      <w:pPr>
        <w:pageBreakBefore w:val="0"/>
        <w:kinsoku/>
        <w:wordWrap/>
        <w:overflowPunct/>
        <w:topLinePunct w:val="0"/>
        <w:autoSpaceDE/>
        <w:autoSpaceDN/>
        <w:bidi w:val="0"/>
        <w:spacing w:after="0" w:afterLines="0" w:line="560" w:lineRule="exact"/>
        <w:jc w:val="center"/>
        <w:outlineLvl w:val="2"/>
        <w:rPr>
          <w:rFonts w:hint="eastAsia" w:ascii="楷体_GB2312" w:hAnsi="楷体_GB2312" w:eastAsia="楷体_GB2312" w:cs="楷体_GB2312"/>
          <w:b w:val="0"/>
          <w:bCs w:val="0"/>
          <w:sz w:val="32"/>
          <w:szCs w:val="32"/>
          <w:highlight w:val="none"/>
        </w:rPr>
      </w:pPr>
      <w:bookmarkStart w:id="5799" w:name="_Toc16175"/>
      <w:bookmarkStart w:id="5800" w:name="_Toc11746"/>
      <w:bookmarkStart w:id="5801" w:name="_Toc5151"/>
      <w:bookmarkStart w:id="5802" w:name="_Toc20784"/>
      <w:r>
        <w:rPr>
          <w:rFonts w:hint="eastAsia" w:ascii="楷体_GB2312" w:hAnsi="楷体_GB2312" w:eastAsia="楷体_GB2312" w:cs="楷体_GB2312"/>
          <w:b w:val="0"/>
          <w:bCs w:val="0"/>
          <w:sz w:val="32"/>
          <w:szCs w:val="32"/>
          <w:highlight w:val="none"/>
        </w:rPr>
        <w:t>第三节  严格实施监督评估</w:t>
      </w:r>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p>
    <w:p w14:paraId="26A2701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构建动态监测与闭环管理体系。</w:t>
      </w:r>
      <w:r>
        <w:rPr>
          <w:rFonts w:ascii="仿宋_GB2312" w:hAnsi="仿宋_GB2312" w:eastAsia="仿宋_GB2312" w:cs="仿宋_GB2312"/>
          <w:b w:val="0"/>
          <w:bCs w:val="0"/>
          <w:sz w:val="32"/>
          <w:szCs w:val="32"/>
          <w:highlight w:val="none"/>
        </w:rPr>
        <w:t>依托现有数字政府平台与统计网络，</w:t>
      </w:r>
      <w:r>
        <w:rPr>
          <w:rFonts w:hint="eastAsia" w:ascii="仿宋_GB2312" w:hAnsi="仿宋_GB2312" w:eastAsia="仿宋_GB2312" w:cs="仿宋_GB2312"/>
          <w:b w:val="0"/>
          <w:bCs w:val="0"/>
          <w:sz w:val="32"/>
          <w:szCs w:val="32"/>
          <w:highlight w:val="none"/>
        </w:rPr>
        <w:t>对主要指标、重点任务、重大项目的进展情况进行实时跟踪和动态分析，定期形成监测报告。将规划实施情况全面纳入各部门、各乡镇（街道）的年度绩效考核和领导班子综合评价体系，强化考核结果运用，形成“年初有分解、年中有监督、年末有考核”的闭环管理。</w:t>
      </w:r>
    </w:p>
    <w:p w14:paraId="7FF96FA9">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健全多元监督与依法调整机制。依法将规划实施情况向区人民代表大会常务委员会报告，自觉接受人大监督。充分发挥区政协的民主监督作用，并主动接受社会监督和舆论监督，提高规划实施的透明度和公众参与度。</w:t>
      </w:r>
      <w:r>
        <w:rPr>
          <w:rFonts w:ascii="仿宋_GB2312" w:hAnsi="仿宋_GB2312" w:eastAsia="仿宋_GB2312" w:cs="仿宋_GB2312"/>
          <w:b w:val="0"/>
          <w:bCs w:val="0"/>
          <w:sz w:val="32"/>
          <w:szCs w:val="32"/>
          <w:highlight w:val="none"/>
        </w:rPr>
        <w:t>聚焦重点领域引入第三方评估</w:t>
      </w:r>
      <w:r>
        <w:rPr>
          <w:rFonts w:hint="eastAsia" w:ascii="仿宋_GB2312" w:hAnsi="仿宋_GB2312" w:eastAsia="仿宋_GB2312" w:cs="仿宋_GB2312"/>
          <w:b w:val="0"/>
          <w:bCs w:val="0"/>
          <w:sz w:val="32"/>
          <w:szCs w:val="32"/>
          <w:highlight w:val="none"/>
        </w:rPr>
        <w:t>，在规划实施中期和末期，对实施情况、政策效果及目标完成度进行独立、客观、科学的评估。根据监测与评估结果，确需对规划进行调整时，须由区政府提出，经区人大常委会审议批准，确保规划调整的科学性、规范性和严肃性。</w:t>
      </w:r>
    </w:p>
    <w:p w14:paraId="145CA7B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17DBC91D">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46C03F5D">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496FF8B7">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0FD8DA48">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74882261">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5AE8C810">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44F4DD53">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2E32256D">
      <w:pPr>
        <w:keepNext w:val="0"/>
        <w:keepLines w:val="0"/>
        <w:pageBreakBefore w:val="0"/>
        <w:widowControl w:val="0"/>
        <w:kinsoku/>
        <w:wordWrap/>
        <w:overflowPunct/>
        <w:topLinePunct w:val="0"/>
        <w:autoSpaceDE/>
        <w:autoSpaceDN/>
        <w:bidi w:val="0"/>
        <w:adjustRightInd w:val="0"/>
        <w:snapToGrid w:val="0"/>
        <w:spacing w:after="157" w:afterLines="50" w:line="660" w:lineRule="exact"/>
        <w:ind w:firstLine="640" w:firstLineChars="200"/>
        <w:textAlignment w:val="auto"/>
        <w:rPr>
          <w:rFonts w:hint="eastAsia" w:ascii="仿宋_GB2312" w:hAnsi="仿宋_GB2312" w:eastAsia="仿宋_GB2312" w:cs="仿宋_GB2312"/>
          <w:b w:val="0"/>
          <w:bCs w:val="0"/>
          <w:sz w:val="32"/>
          <w:szCs w:val="32"/>
          <w:highlight w:val="none"/>
        </w:rPr>
      </w:pPr>
    </w:p>
    <w:p w14:paraId="18425886">
      <w:pPr>
        <w:pageBreakBefore w:val="0"/>
        <w:kinsoku/>
        <w:wordWrap/>
        <w:overflowPunct/>
        <w:topLinePunct w:val="0"/>
        <w:autoSpaceDE/>
        <w:autoSpaceDN/>
        <w:bidi w:val="0"/>
        <w:spacing w:after="0" w:afterLines="0" w:line="560" w:lineRule="exact"/>
        <w:ind w:firstLine="640" w:firstLineChars="200"/>
        <w:rPr>
          <w:rFonts w:hint="eastAsia" w:ascii="仿宋_GB2312" w:hAnsi="仿宋_GB2312" w:eastAsia="仿宋_GB2312" w:cs="仿宋_GB2312"/>
          <w:b w:val="0"/>
          <w:bCs w:val="0"/>
          <w:sz w:val="32"/>
          <w:szCs w:val="32"/>
          <w:highlight w:val="none"/>
        </w:rPr>
      </w:pPr>
    </w:p>
    <w:p w14:paraId="6C1CDEA6">
      <w:pPr>
        <w:pageBreakBefore w:val="0"/>
        <w:kinsoku/>
        <w:wordWrap/>
        <w:overflowPunct/>
        <w:topLinePunct w:val="0"/>
        <w:autoSpaceDE/>
        <w:autoSpaceDN/>
        <w:bidi w:val="0"/>
        <w:spacing w:after="0" w:afterLines="0" w:line="560" w:lineRule="exact"/>
        <w:rPr>
          <w:rFonts w:hint="default" w:ascii="仿宋_GB2312" w:hAnsi="仿宋_GB2312" w:eastAsia="仿宋_GB2312" w:cs="仿宋_GB2312"/>
          <w:b w:val="0"/>
          <w:bCs w:val="0"/>
          <w:sz w:val="32"/>
          <w:szCs w:val="32"/>
          <w:highlight w:val="none"/>
          <w:lang w:val="en-US" w:eastAsia="zh-CN"/>
        </w:rPr>
      </w:pPr>
      <w:r>
        <w:rPr>
          <w:sz w:val="32"/>
        </w:rPr>
        <mc:AlternateContent>
          <mc:Choice Requires="wps">
            <w:drawing>
              <wp:anchor distT="0" distB="0" distL="114300" distR="114300" simplePos="0" relativeHeight="251662336" behindDoc="0" locked="0" layoutInCell="1" allowOverlap="1">
                <wp:simplePos x="0" y="0"/>
                <wp:positionH relativeFrom="column">
                  <wp:posOffset>-40640</wp:posOffset>
                </wp:positionH>
                <wp:positionV relativeFrom="paragraph">
                  <wp:posOffset>41910</wp:posOffset>
                </wp:positionV>
                <wp:extent cx="5715000" cy="0"/>
                <wp:effectExtent l="0" t="5080" r="0" b="4445"/>
                <wp:wrapNone/>
                <wp:docPr id="5" name="直接连接符 5"/>
                <wp:cNvGraphicFramePr/>
                <a:graphic xmlns:a="http://schemas.openxmlformats.org/drawingml/2006/main">
                  <a:graphicData uri="http://schemas.microsoft.com/office/word/2010/wordprocessingShape">
                    <wps:wsp>
                      <wps:cNvCnPr/>
                      <wps:spPr>
                        <a:xfrm>
                          <a:off x="889000" y="8924290"/>
                          <a:ext cx="5715000" cy="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2pt;margin-top:3.3pt;height:0pt;width:450pt;z-index:251662336;mso-width-relative:page;mso-height-relative:page;" filled="f" stroked="t" coordsize="21600,21600" o:gfxdata="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uwKPa0wAAAAYBAAAPAAAA&#10;AAAAAAEAIAAAACIAAABkcnMvZG93bnJldi54bWxQSwECFAAUAAAACACHTuJAsjewe+EBAAClAwAA&#10;DgAAAAAAAAABACAAAAAiAQAAZHJzL2Uyb0RvYy54bWxQSwUGAAAAAAYABgBZAQAAdQUAAAAA&#10;">
                <v:fill on="f" focussize="0,0"/>
                <v:stroke color="#000000 [3213]" joinstyle="round"/>
                <v:imagedata o:title=""/>
                <o:lock v:ext="edit" aspectratio="f"/>
              </v:lin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-46990</wp:posOffset>
                </wp:positionH>
                <wp:positionV relativeFrom="paragraph">
                  <wp:posOffset>374650</wp:posOffset>
                </wp:positionV>
                <wp:extent cx="5715000" cy="0"/>
                <wp:effectExtent l="0" t="5080" r="0" b="4445"/>
                <wp:wrapNone/>
                <wp:docPr id="6" name="直接连接符 6"/>
                <wp:cNvGraphicFramePr/>
                <a:graphic xmlns:a="http://schemas.openxmlformats.org/drawingml/2006/main">
                  <a:graphicData uri="http://schemas.microsoft.com/office/word/2010/wordprocessingShape">
                    <wps:wsp>
                      <wps:cNvCnPr/>
                      <wps:spPr>
                        <a:xfrm>
                          <a:off x="0" y="0"/>
                          <a:ext cx="5715000" cy="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7pt;margin-top:29.5pt;height:0pt;width:450pt;z-index:251663360;mso-width-relative:page;mso-height-relative:page;" filled="f" stroked="t" coordsize="21600,21600" o:gfxdata="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4QPZD9cAAAAIAQAADwAAAAAAAAAB&#10;ACAAAAAiAAAAZHJzL2Rvd25yZXYueG1sUEsBAhQAFAAAAAgAh07iQB2V6oDYAQAAmgMAAA4AAAAA&#10;AAAAAQAgAAAAJgEAAGRycy9lMm9Eb2MueG1sUEsFBgAAAAAGAAYAWQEAAHAFAAAAAA==&#10;">
                <v:fill on="f" focussize="0,0"/>
                <v:stroke color="#000000 [3213]" joinstyle="round"/>
                <v:imagedata o:title=""/>
                <o:lock v:ext="edit" aspectratio="f"/>
              </v:line>
            </w:pict>
          </mc:Fallback>
        </mc:AlternateContent>
      </w:r>
      <w:r>
        <w:rPr>
          <w:rFonts w:hint="eastAsia" w:ascii="仿宋_GB2312" w:hAnsi="仿宋_GB2312" w:eastAsia="仿宋_GB2312" w:cs="仿宋_GB2312"/>
          <w:b w:val="0"/>
          <w:bCs w:val="0"/>
          <w:sz w:val="32"/>
          <w:szCs w:val="32"/>
          <w:highlight w:val="none"/>
          <w:lang w:val="en-US" w:eastAsia="zh-CN"/>
        </w:rPr>
        <w:t>昌江区人民政府办公室                2026年6月16日印发</w:t>
      </w:r>
    </w:p>
    <w:sectPr>
      <w:footerReference r:id="rId6" w:type="default"/>
      <w:footerReference r:id="rId7" w:type="even"/>
      <w:pgSz w:w="11906" w:h="16838"/>
      <w:pgMar w:top="1701" w:right="1531" w:bottom="1701" w:left="1531" w:header="851" w:footer="992" w:gutter="0"/>
      <w:pgNumType w:fmt="decimal"/>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BFC9E6F-7515-470E-9C32-992D2695CA5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56911C5-20FA-4801-BC49-7AB3F0F2AB31}"/>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Helvetica LT Pro">
    <w:altName w:val="Yu Gothic UI"/>
    <w:panose1 w:val="020B0504020202020204"/>
    <w:charset w:val="00"/>
    <w:family w:val="auto"/>
    <w:pitch w:val="default"/>
    <w:sig w:usb0="00000000" w:usb1="00000000" w:usb2="00000000" w:usb3="00000000" w:csb0="20000097" w:csb1="00000000"/>
  </w:font>
  <w:font w:name="Yu Gothic UI">
    <w:panose1 w:val="020B0500000000000000"/>
    <w:charset w:val="80"/>
    <w:family w:val="auto"/>
    <w:pitch w:val="default"/>
    <w:sig w:usb0="E00002FF" w:usb1="2AC7FDFF" w:usb2="00000016" w:usb3="00000000" w:csb0="2002009F" w:csb1="00000000"/>
  </w:font>
  <w:font w:name="仿宋_GB2312">
    <w:panose1 w:val="02010609030101010101"/>
    <w:charset w:val="86"/>
    <w:family w:val="auto"/>
    <w:pitch w:val="default"/>
    <w:sig w:usb0="00000001" w:usb1="080E0000" w:usb2="00000000" w:usb3="00000000" w:csb0="00040000" w:csb1="00000000"/>
    <w:embedRegular r:id="rId3" w:fontKey="{B35D06CB-1B2E-4ED4-A9FA-0F508A28E7E3}"/>
  </w:font>
  <w:font w:name="通知：明天放假">
    <w:altName w:val="宋体"/>
    <w:panose1 w:val="00000000000000000000"/>
    <w:charset w:val="86"/>
    <w:family w:val="auto"/>
    <w:pitch w:val="default"/>
    <w:sig w:usb0="00000000" w:usb1="00000000" w:usb2="00000012" w:usb3="00000000" w:csb0="00140001" w:csb1="00000000"/>
  </w:font>
  <w:font w:name="方正书宋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4" w:fontKey="{66D7ED2D-0E22-40D0-812A-24EB72C18987}"/>
  </w:font>
  <w:font w:name="仿宋">
    <w:panose1 w:val="02010609060101010101"/>
    <w:charset w:val="86"/>
    <w:family w:val="modern"/>
    <w:pitch w:val="default"/>
    <w:sig w:usb0="800002BF" w:usb1="38CF7CFA" w:usb2="00000016" w:usb3="00000000" w:csb0="00040001" w:csb1="00000000"/>
    <w:embedRegular r:id="rId5" w:fontKey="{42CCAC79-46BB-44A8-B937-F1EE8C12D5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FA81A">
    <w:pPr>
      <w:pStyle w:val="27"/>
      <w:spacing w:after="48"/>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930871">
                          <w:pPr>
                            <w:pStyle w:val="2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E930871">
                    <w:pPr>
                      <w:pStyle w:val="2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44BB6">
    <w:pPr>
      <w:pStyle w:val="27"/>
      <w:spacing w:after="48"/>
      <w:rPr>
        <w:rFonts w:hint="eastAsia"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E07BF8">
                          <w:pPr>
                            <w:pStyle w:val="2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9E07BF8">
                    <w:pPr>
                      <w:pStyle w:val="2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3F66E">
    <w:pPr>
      <w:pStyle w:val="27"/>
      <w:spacing w:after="48"/>
      <w:rPr>
        <w:rFonts w:hint="eastAsia" w:ascii="宋体" w:hAnsi="宋体"/>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270DCF"/>
    <w:multiLevelType w:val="multilevel"/>
    <w:tmpl w:val="3E270DCF"/>
    <w:lvl w:ilvl="0" w:tentative="0">
      <w:start w:val="1"/>
      <w:numFmt w:val="decimal"/>
      <w:pStyle w:val="2"/>
      <w:suff w:val="space"/>
      <w:lvlText w:val="%1."/>
      <w:lvlJc w:val="left"/>
      <w:pPr>
        <w:ind w:left="0" w:firstLine="0"/>
      </w:pPr>
      <w:rPr>
        <w:rFonts w:hint="default" w:ascii="微软雅黑" w:hAnsi="微软雅黑" w:eastAsia="微软雅黑"/>
      </w:rPr>
    </w:lvl>
    <w:lvl w:ilvl="1" w:tentative="0">
      <w:start w:val="1"/>
      <w:numFmt w:val="decimal"/>
      <w:pStyle w:val="3"/>
      <w:suff w:val="space"/>
      <w:lvlText w:val="%1.%2."/>
      <w:lvlJc w:val="left"/>
      <w:pPr>
        <w:ind w:left="0" w:firstLine="0"/>
      </w:pPr>
      <w:rPr>
        <w:rFonts w:hint="default" w:ascii="微软雅黑" w:hAnsi="微软雅黑" w:eastAsia="微软雅黑"/>
      </w:rPr>
    </w:lvl>
    <w:lvl w:ilvl="2" w:tentative="0">
      <w:start w:val="1"/>
      <w:numFmt w:val="decimal"/>
      <w:pStyle w:val="4"/>
      <w:suff w:val="space"/>
      <w:lvlText w:val="%1.%2.%3."/>
      <w:lvlJc w:val="left"/>
      <w:pPr>
        <w:ind w:left="0" w:firstLine="0"/>
      </w:pPr>
      <w:rPr>
        <w:rFonts w:hint="default" w:ascii="微软雅黑" w:hAnsi="微软雅黑" w:eastAsia="微软雅黑"/>
      </w:rPr>
    </w:lvl>
    <w:lvl w:ilvl="3" w:tentative="0">
      <w:start w:val="1"/>
      <w:numFmt w:val="decimal"/>
      <w:pStyle w:val="5"/>
      <w:suff w:val="space"/>
      <w:lvlText w:val="%1.%2.%3.%4."/>
      <w:lvlJc w:val="left"/>
      <w:pPr>
        <w:ind w:left="0" w:firstLine="0"/>
      </w:pPr>
      <w:rPr>
        <w:rFonts w:hint="default" w:ascii="微软雅黑" w:hAnsi="微软雅黑" w:eastAsia="微软雅黑"/>
      </w:rPr>
    </w:lvl>
    <w:lvl w:ilvl="4" w:tentative="0">
      <w:start w:val="1"/>
      <w:numFmt w:val="decimal"/>
      <w:pStyle w:val="6"/>
      <w:lvlText w:val="%1.%2.%3.%4.%5."/>
      <w:lvlJc w:val="left"/>
      <w:pPr>
        <w:tabs>
          <w:tab w:val="left" w:pos="0"/>
        </w:tabs>
        <w:ind w:left="0" w:firstLine="0"/>
      </w:pPr>
      <w:rPr>
        <w:rFonts w:hint="default" w:ascii="微软雅黑" w:hAnsi="微软雅黑" w:eastAsia="微软雅黑"/>
      </w:rPr>
    </w:lvl>
    <w:lvl w:ilvl="5" w:tentative="0">
      <w:start w:val="1"/>
      <w:numFmt w:val="decimal"/>
      <w:pStyle w:val="8"/>
      <w:suff w:val="space"/>
      <w:lvlText w:val="%1.%2.%3.%4.%5.%6."/>
      <w:lvlJc w:val="left"/>
      <w:pPr>
        <w:ind w:left="0" w:firstLine="0"/>
      </w:pPr>
      <w:rPr>
        <w:rFonts w:hint="default"/>
      </w:rPr>
    </w:lvl>
    <w:lvl w:ilvl="6" w:tentative="0">
      <w:start w:val="1"/>
      <w:numFmt w:val="decimal"/>
      <w:pStyle w:val="9"/>
      <w:lvlText w:val="%1.%2.%3.%4.%5.%6.%7."/>
      <w:lvlJc w:val="left"/>
      <w:pPr>
        <w:tabs>
          <w:tab w:val="left" w:pos="0"/>
        </w:tabs>
        <w:ind w:left="0" w:firstLine="0"/>
      </w:pPr>
      <w:rPr>
        <w:rFonts w:hint="default"/>
      </w:rPr>
    </w:lvl>
    <w:lvl w:ilvl="7" w:tentative="0">
      <w:start w:val="1"/>
      <w:numFmt w:val="decimal"/>
      <w:pStyle w:val="10"/>
      <w:suff w:val="space"/>
      <w:lvlText w:val="%1.%2.%3.%4.%5.%6.%7.%8."/>
      <w:lvlJc w:val="left"/>
      <w:pPr>
        <w:ind w:left="0" w:firstLine="0"/>
      </w:pPr>
      <w:rPr>
        <w:rFonts w:hint="default"/>
      </w:rPr>
    </w:lvl>
    <w:lvl w:ilvl="8" w:tentative="0">
      <w:start w:val="1"/>
      <w:numFmt w:val="decimal"/>
      <w:pStyle w:val="11"/>
      <w:lvlText w:val="%1.%2.%3.%4.%5.%6.%7.%8.%9."/>
      <w:lvlJc w:val="left"/>
      <w:pPr>
        <w:tabs>
          <w:tab w:val="left" w:pos="0"/>
        </w:tabs>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594"/>
    <w:rsid w:val="00004781"/>
    <w:rsid w:val="000051DD"/>
    <w:rsid w:val="000118DA"/>
    <w:rsid w:val="00011C5B"/>
    <w:rsid w:val="00012631"/>
    <w:rsid w:val="000127CC"/>
    <w:rsid w:val="0001286F"/>
    <w:rsid w:val="0002172D"/>
    <w:rsid w:val="00022B46"/>
    <w:rsid w:val="00025F40"/>
    <w:rsid w:val="0002675C"/>
    <w:rsid w:val="000274FD"/>
    <w:rsid w:val="0003135B"/>
    <w:rsid w:val="000326AF"/>
    <w:rsid w:val="00032AAC"/>
    <w:rsid w:val="00040AC4"/>
    <w:rsid w:val="000573F0"/>
    <w:rsid w:val="0006066D"/>
    <w:rsid w:val="00060864"/>
    <w:rsid w:val="00061925"/>
    <w:rsid w:val="00061EC0"/>
    <w:rsid w:val="0006578B"/>
    <w:rsid w:val="00067FBB"/>
    <w:rsid w:val="00073DAF"/>
    <w:rsid w:val="000812D0"/>
    <w:rsid w:val="00083A84"/>
    <w:rsid w:val="0008484A"/>
    <w:rsid w:val="00084915"/>
    <w:rsid w:val="00084EC4"/>
    <w:rsid w:val="00085384"/>
    <w:rsid w:val="00090814"/>
    <w:rsid w:val="000932C4"/>
    <w:rsid w:val="000A02B3"/>
    <w:rsid w:val="000A3647"/>
    <w:rsid w:val="000A498D"/>
    <w:rsid w:val="000A7178"/>
    <w:rsid w:val="000B0BA7"/>
    <w:rsid w:val="000B527F"/>
    <w:rsid w:val="000B5D92"/>
    <w:rsid w:val="000B78BC"/>
    <w:rsid w:val="000C01A8"/>
    <w:rsid w:val="000C53E9"/>
    <w:rsid w:val="000C5525"/>
    <w:rsid w:val="000C5F8D"/>
    <w:rsid w:val="000D2761"/>
    <w:rsid w:val="000D594F"/>
    <w:rsid w:val="000D78F7"/>
    <w:rsid w:val="000F106B"/>
    <w:rsid w:val="000F2EC7"/>
    <w:rsid w:val="00110CDE"/>
    <w:rsid w:val="00115182"/>
    <w:rsid w:val="00120039"/>
    <w:rsid w:val="00121B55"/>
    <w:rsid w:val="00125D5B"/>
    <w:rsid w:val="00130A2D"/>
    <w:rsid w:val="00130BDC"/>
    <w:rsid w:val="00133570"/>
    <w:rsid w:val="00144D5A"/>
    <w:rsid w:val="0015615A"/>
    <w:rsid w:val="00162918"/>
    <w:rsid w:val="00171BF1"/>
    <w:rsid w:val="00180474"/>
    <w:rsid w:val="0018252B"/>
    <w:rsid w:val="0018503E"/>
    <w:rsid w:val="001A185E"/>
    <w:rsid w:val="001A4F59"/>
    <w:rsid w:val="001A6171"/>
    <w:rsid w:val="001A6C6B"/>
    <w:rsid w:val="001A6CC5"/>
    <w:rsid w:val="001B0994"/>
    <w:rsid w:val="001B1111"/>
    <w:rsid w:val="001B4A2B"/>
    <w:rsid w:val="001B4FE1"/>
    <w:rsid w:val="001B693F"/>
    <w:rsid w:val="001B7C64"/>
    <w:rsid w:val="001B7ECD"/>
    <w:rsid w:val="001D0056"/>
    <w:rsid w:val="001D394F"/>
    <w:rsid w:val="001D7191"/>
    <w:rsid w:val="001E10DA"/>
    <w:rsid w:val="001E6EA5"/>
    <w:rsid w:val="001E7EC3"/>
    <w:rsid w:val="001F1552"/>
    <w:rsid w:val="001F327B"/>
    <w:rsid w:val="001F706F"/>
    <w:rsid w:val="002027A8"/>
    <w:rsid w:val="00202EBA"/>
    <w:rsid w:val="002052B3"/>
    <w:rsid w:val="00207C67"/>
    <w:rsid w:val="00211FF3"/>
    <w:rsid w:val="0021438E"/>
    <w:rsid w:val="00216594"/>
    <w:rsid w:val="00216C10"/>
    <w:rsid w:val="00217503"/>
    <w:rsid w:val="00220AF0"/>
    <w:rsid w:val="00221565"/>
    <w:rsid w:val="0023197B"/>
    <w:rsid w:val="00232E73"/>
    <w:rsid w:val="00233168"/>
    <w:rsid w:val="00234066"/>
    <w:rsid w:val="00242CAB"/>
    <w:rsid w:val="00244AB5"/>
    <w:rsid w:val="00244B00"/>
    <w:rsid w:val="00246F44"/>
    <w:rsid w:val="0024726D"/>
    <w:rsid w:val="002474CF"/>
    <w:rsid w:val="00250BDD"/>
    <w:rsid w:val="00256544"/>
    <w:rsid w:val="00265DB5"/>
    <w:rsid w:val="00266498"/>
    <w:rsid w:val="00267244"/>
    <w:rsid w:val="00270E29"/>
    <w:rsid w:val="002723A4"/>
    <w:rsid w:val="00276646"/>
    <w:rsid w:val="002769FD"/>
    <w:rsid w:val="0028182C"/>
    <w:rsid w:val="00284198"/>
    <w:rsid w:val="00293B09"/>
    <w:rsid w:val="00293D97"/>
    <w:rsid w:val="002A0CE2"/>
    <w:rsid w:val="002A268B"/>
    <w:rsid w:val="002A2757"/>
    <w:rsid w:val="002A2FD4"/>
    <w:rsid w:val="002A6550"/>
    <w:rsid w:val="002B1D34"/>
    <w:rsid w:val="002B4E9C"/>
    <w:rsid w:val="002B6DE7"/>
    <w:rsid w:val="002C0053"/>
    <w:rsid w:val="002C046A"/>
    <w:rsid w:val="002C3E6B"/>
    <w:rsid w:val="002D1233"/>
    <w:rsid w:val="002D1474"/>
    <w:rsid w:val="002D26D4"/>
    <w:rsid w:val="002D27CF"/>
    <w:rsid w:val="002D4697"/>
    <w:rsid w:val="002E1682"/>
    <w:rsid w:val="002E1B89"/>
    <w:rsid w:val="002E5AB3"/>
    <w:rsid w:val="002E6244"/>
    <w:rsid w:val="002F1E8F"/>
    <w:rsid w:val="002F204F"/>
    <w:rsid w:val="002F44E8"/>
    <w:rsid w:val="00306D75"/>
    <w:rsid w:val="003126D1"/>
    <w:rsid w:val="0031337E"/>
    <w:rsid w:val="00313D2C"/>
    <w:rsid w:val="00316B08"/>
    <w:rsid w:val="003207CA"/>
    <w:rsid w:val="003210E4"/>
    <w:rsid w:val="0032374F"/>
    <w:rsid w:val="0032460D"/>
    <w:rsid w:val="00330DF2"/>
    <w:rsid w:val="003329AC"/>
    <w:rsid w:val="003353C7"/>
    <w:rsid w:val="00335676"/>
    <w:rsid w:val="00354267"/>
    <w:rsid w:val="0036363B"/>
    <w:rsid w:val="00373DAE"/>
    <w:rsid w:val="00376735"/>
    <w:rsid w:val="003769CC"/>
    <w:rsid w:val="0038014B"/>
    <w:rsid w:val="00380766"/>
    <w:rsid w:val="00380F10"/>
    <w:rsid w:val="003824D3"/>
    <w:rsid w:val="003825C7"/>
    <w:rsid w:val="00384EF7"/>
    <w:rsid w:val="003876B4"/>
    <w:rsid w:val="00391F89"/>
    <w:rsid w:val="00392675"/>
    <w:rsid w:val="00397843"/>
    <w:rsid w:val="003A18FC"/>
    <w:rsid w:val="003A1F7D"/>
    <w:rsid w:val="003A2899"/>
    <w:rsid w:val="003A2ACB"/>
    <w:rsid w:val="003A507D"/>
    <w:rsid w:val="003A6120"/>
    <w:rsid w:val="003B1063"/>
    <w:rsid w:val="003B1F27"/>
    <w:rsid w:val="003B4467"/>
    <w:rsid w:val="003B6156"/>
    <w:rsid w:val="003B7130"/>
    <w:rsid w:val="003C29AB"/>
    <w:rsid w:val="003C3537"/>
    <w:rsid w:val="003D0B40"/>
    <w:rsid w:val="003D1F07"/>
    <w:rsid w:val="003D7069"/>
    <w:rsid w:val="003D76AF"/>
    <w:rsid w:val="003E2C1D"/>
    <w:rsid w:val="003E3586"/>
    <w:rsid w:val="003E45D4"/>
    <w:rsid w:val="003E56A0"/>
    <w:rsid w:val="003E7297"/>
    <w:rsid w:val="003F08FA"/>
    <w:rsid w:val="00401221"/>
    <w:rsid w:val="004053D6"/>
    <w:rsid w:val="004107E2"/>
    <w:rsid w:val="00412C24"/>
    <w:rsid w:val="00413970"/>
    <w:rsid w:val="004160A1"/>
    <w:rsid w:val="00416302"/>
    <w:rsid w:val="004164C5"/>
    <w:rsid w:val="004172BE"/>
    <w:rsid w:val="00420F09"/>
    <w:rsid w:val="00421A0C"/>
    <w:rsid w:val="00427386"/>
    <w:rsid w:val="004338D6"/>
    <w:rsid w:val="0043585B"/>
    <w:rsid w:val="00446762"/>
    <w:rsid w:val="00455333"/>
    <w:rsid w:val="00456850"/>
    <w:rsid w:val="00456BB8"/>
    <w:rsid w:val="0046227B"/>
    <w:rsid w:val="00462AAA"/>
    <w:rsid w:val="00466333"/>
    <w:rsid w:val="004673FE"/>
    <w:rsid w:val="0046772A"/>
    <w:rsid w:val="00472434"/>
    <w:rsid w:val="00472AE6"/>
    <w:rsid w:val="00477224"/>
    <w:rsid w:val="004802F5"/>
    <w:rsid w:val="00484BCC"/>
    <w:rsid w:val="004852B8"/>
    <w:rsid w:val="0048623D"/>
    <w:rsid w:val="00486C56"/>
    <w:rsid w:val="004932A8"/>
    <w:rsid w:val="0049378F"/>
    <w:rsid w:val="00493D12"/>
    <w:rsid w:val="00494EFF"/>
    <w:rsid w:val="00497063"/>
    <w:rsid w:val="004A3D8E"/>
    <w:rsid w:val="004A6D2D"/>
    <w:rsid w:val="004B2C9D"/>
    <w:rsid w:val="004B3092"/>
    <w:rsid w:val="004B436E"/>
    <w:rsid w:val="004B545A"/>
    <w:rsid w:val="004B7AE7"/>
    <w:rsid w:val="004C12D3"/>
    <w:rsid w:val="004C443A"/>
    <w:rsid w:val="004C4C9C"/>
    <w:rsid w:val="004C7948"/>
    <w:rsid w:val="004C7E9C"/>
    <w:rsid w:val="004D142F"/>
    <w:rsid w:val="004D1AE9"/>
    <w:rsid w:val="004D1C56"/>
    <w:rsid w:val="004D519C"/>
    <w:rsid w:val="004E1738"/>
    <w:rsid w:val="004E4433"/>
    <w:rsid w:val="004F663A"/>
    <w:rsid w:val="004F68EF"/>
    <w:rsid w:val="004F7D67"/>
    <w:rsid w:val="00501DDF"/>
    <w:rsid w:val="00502F10"/>
    <w:rsid w:val="005042E2"/>
    <w:rsid w:val="00513ADC"/>
    <w:rsid w:val="00515247"/>
    <w:rsid w:val="005153ED"/>
    <w:rsid w:val="00515D8B"/>
    <w:rsid w:val="00517B96"/>
    <w:rsid w:val="00521C12"/>
    <w:rsid w:val="005262CF"/>
    <w:rsid w:val="00527B99"/>
    <w:rsid w:val="00530E06"/>
    <w:rsid w:val="005369F2"/>
    <w:rsid w:val="005400EE"/>
    <w:rsid w:val="00541232"/>
    <w:rsid w:val="005421EA"/>
    <w:rsid w:val="005446F8"/>
    <w:rsid w:val="00551978"/>
    <w:rsid w:val="0055220A"/>
    <w:rsid w:val="00553D50"/>
    <w:rsid w:val="00554F2E"/>
    <w:rsid w:val="005571E4"/>
    <w:rsid w:val="00557F03"/>
    <w:rsid w:val="00562102"/>
    <w:rsid w:val="00563D29"/>
    <w:rsid w:val="0057149D"/>
    <w:rsid w:val="005756DD"/>
    <w:rsid w:val="0058102F"/>
    <w:rsid w:val="00581DE9"/>
    <w:rsid w:val="00587E33"/>
    <w:rsid w:val="00592838"/>
    <w:rsid w:val="005944CC"/>
    <w:rsid w:val="005951E7"/>
    <w:rsid w:val="005A6B4C"/>
    <w:rsid w:val="005A706D"/>
    <w:rsid w:val="005A7640"/>
    <w:rsid w:val="005B3A73"/>
    <w:rsid w:val="005B6893"/>
    <w:rsid w:val="005C2F96"/>
    <w:rsid w:val="005C4DDA"/>
    <w:rsid w:val="005D018D"/>
    <w:rsid w:val="005D0387"/>
    <w:rsid w:val="005D0A9B"/>
    <w:rsid w:val="005D6B5E"/>
    <w:rsid w:val="005D79ED"/>
    <w:rsid w:val="005E17CF"/>
    <w:rsid w:val="005E1D2C"/>
    <w:rsid w:val="005E4F65"/>
    <w:rsid w:val="005E634B"/>
    <w:rsid w:val="005F093B"/>
    <w:rsid w:val="005F259F"/>
    <w:rsid w:val="005F4F5E"/>
    <w:rsid w:val="005F5C95"/>
    <w:rsid w:val="005F7EFF"/>
    <w:rsid w:val="00606463"/>
    <w:rsid w:val="00611B45"/>
    <w:rsid w:val="0061745D"/>
    <w:rsid w:val="00623E57"/>
    <w:rsid w:val="006313AD"/>
    <w:rsid w:val="00632CCE"/>
    <w:rsid w:val="006340BD"/>
    <w:rsid w:val="006360BD"/>
    <w:rsid w:val="00637138"/>
    <w:rsid w:val="006454CF"/>
    <w:rsid w:val="006462C9"/>
    <w:rsid w:val="00647525"/>
    <w:rsid w:val="00654067"/>
    <w:rsid w:val="0065550A"/>
    <w:rsid w:val="00660FEC"/>
    <w:rsid w:val="00662440"/>
    <w:rsid w:val="00663DA6"/>
    <w:rsid w:val="00665806"/>
    <w:rsid w:val="006665B0"/>
    <w:rsid w:val="0067045B"/>
    <w:rsid w:val="00672672"/>
    <w:rsid w:val="0067465E"/>
    <w:rsid w:val="0067499A"/>
    <w:rsid w:val="00680FD6"/>
    <w:rsid w:val="0068127C"/>
    <w:rsid w:val="00682021"/>
    <w:rsid w:val="00683DAD"/>
    <w:rsid w:val="006908AD"/>
    <w:rsid w:val="00693100"/>
    <w:rsid w:val="006936B8"/>
    <w:rsid w:val="006A03C2"/>
    <w:rsid w:val="006A17F0"/>
    <w:rsid w:val="006A769E"/>
    <w:rsid w:val="006B0683"/>
    <w:rsid w:val="006B282F"/>
    <w:rsid w:val="006B5C8D"/>
    <w:rsid w:val="006C01B5"/>
    <w:rsid w:val="006C2C0B"/>
    <w:rsid w:val="006C3FEB"/>
    <w:rsid w:val="006C4886"/>
    <w:rsid w:val="006D24C9"/>
    <w:rsid w:val="006D4363"/>
    <w:rsid w:val="006D4549"/>
    <w:rsid w:val="006E19CD"/>
    <w:rsid w:val="006E418B"/>
    <w:rsid w:val="006F208D"/>
    <w:rsid w:val="006F28B6"/>
    <w:rsid w:val="006F2C59"/>
    <w:rsid w:val="006F326D"/>
    <w:rsid w:val="00701182"/>
    <w:rsid w:val="00701219"/>
    <w:rsid w:val="00703919"/>
    <w:rsid w:val="00706323"/>
    <w:rsid w:val="00707909"/>
    <w:rsid w:val="00712AF6"/>
    <w:rsid w:val="00717770"/>
    <w:rsid w:val="00720049"/>
    <w:rsid w:val="0072170A"/>
    <w:rsid w:val="0072171A"/>
    <w:rsid w:val="00721A47"/>
    <w:rsid w:val="00721ED3"/>
    <w:rsid w:val="007243E6"/>
    <w:rsid w:val="007245F2"/>
    <w:rsid w:val="007313BC"/>
    <w:rsid w:val="0073284B"/>
    <w:rsid w:val="0073392F"/>
    <w:rsid w:val="0073542B"/>
    <w:rsid w:val="0074310D"/>
    <w:rsid w:val="007440EF"/>
    <w:rsid w:val="007446A8"/>
    <w:rsid w:val="0074473A"/>
    <w:rsid w:val="00745A13"/>
    <w:rsid w:val="007503C7"/>
    <w:rsid w:val="007546FA"/>
    <w:rsid w:val="00754A18"/>
    <w:rsid w:val="00754C89"/>
    <w:rsid w:val="00763343"/>
    <w:rsid w:val="007647D7"/>
    <w:rsid w:val="00764DEC"/>
    <w:rsid w:val="00764F32"/>
    <w:rsid w:val="00770A73"/>
    <w:rsid w:val="00774FB0"/>
    <w:rsid w:val="00775B79"/>
    <w:rsid w:val="00782121"/>
    <w:rsid w:val="007854BF"/>
    <w:rsid w:val="007911A9"/>
    <w:rsid w:val="00795CB1"/>
    <w:rsid w:val="00796527"/>
    <w:rsid w:val="00797B3C"/>
    <w:rsid w:val="007A06FE"/>
    <w:rsid w:val="007A1196"/>
    <w:rsid w:val="007A42B2"/>
    <w:rsid w:val="007A442E"/>
    <w:rsid w:val="007A683F"/>
    <w:rsid w:val="007A7F52"/>
    <w:rsid w:val="007B2D36"/>
    <w:rsid w:val="007B3D4F"/>
    <w:rsid w:val="007B5741"/>
    <w:rsid w:val="007C03C9"/>
    <w:rsid w:val="007C12DF"/>
    <w:rsid w:val="007C20E3"/>
    <w:rsid w:val="007C771C"/>
    <w:rsid w:val="007D4B63"/>
    <w:rsid w:val="007D5E07"/>
    <w:rsid w:val="007E3028"/>
    <w:rsid w:val="007E55A6"/>
    <w:rsid w:val="007E6B6B"/>
    <w:rsid w:val="007F72B6"/>
    <w:rsid w:val="007F7680"/>
    <w:rsid w:val="008056B8"/>
    <w:rsid w:val="008076A7"/>
    <w:rsid w:val="008101C9"/>
    <w:rsid w:val="008138C5"/>
    <w:rsid w:val="00816B5B"/>
    <w:rsid w:val="00821669"/>
    <w:rsid w:val="00821FA1"/>
    <w:rsid w:val="008230EF"/>
    <w:rsid w:val="00826CCD"/>
    <w:rsid w:val="00827238"/>
    <w:rsid w:val="00827CFF"/>
    <w:rsid w:val="008348FB"/>
    <w:rsid w:val="00836063"/>
    <w:rsid w:val="008361EB"/>
    <w:rsid w:val="008361F9"/>
    <w:rsid w:val="008426CA"/>
    <w:rsid w:val="00845791"/>
    <w:rsid w:val="0085080A"/>
    <w:rsid w:val="00851643"/>
    <w:rsid w:val="008553F6"/>
    <w:rsid w:val="00855FA2"/>
    <w:rsid w:val="00862056"/>
    <w:rsid w:val="00862971"/>
    <w:rsid w:val="00863C90"/>
    <w:rsid w:val="0086406E"/>
    <w:rsid w:val="00880DBE"/>
    <w:rsid w:val="00880F02"/>
    <w:rsid w:val="00881A6F"/>
    <w:rsid w:val="00881F3F"/>
    <w:rsid w:val="008860DE"/>
    <w:rsid w:val="008928D4"/>
    <w:rsid w:val="008955F8"/>
    <w:rsid w:val="00896C3C"/>
    <w:rsid w:val="008974B1"/>
    <w:rsid w:val="008A7481"/>
    <w:rsid w:val="008B5D4A"/>
    <w:rsid w:val="008B5F4D"/>
    <w:rsid w:val="008B7E0A"/>
    <w:rsid w:val="008C0249"/>
    <w:rsid w:val="008C255E"/>
    <w:rsid w:val="008C54F1"/>
    <w:rsid w:val="009014A5"/>
    <w:rsid w:val="009030E9"/>
    <w:rsid w:val="00906A32"/>
    <w:rsid w:val="009101FA"/>
    <w:rsid w:val="00911D4D"/>
    <w:rsid w:val="00912A85"/>
    <w:rsid w:val="0091330B"/>
    <w:rsid w:val="0091371D"/>
    <w:rsid w:val="0092760E"/>
    <w:rsid w:val="00927A93"/>
    <w:rsid w:val="00931AE6"/>
    <w:rsid w:val="009338E2"/>
    <w:rsid w:val="009366B3"/>
    <w:rsid w:val="00940466"/>
    <w:rsid w:val="0094146A"/>
    <w:rsid w:val="00942B50"/>
    <w:rsid w:val="00946E49"/>
    <w:rsid w:val="00952F80"/>
    <w:rsid w:val="0095452F"/>
    <w:rsid w:val="00955AF4"/>
    <w:rsid w:val="00963758"/>
    <w:rsid w:val="0097008E"/>
    <w:rsid w:val="00986DC8"/>
    <w:rsid w:val="009900CB"/>
    <w:rsid w:val="00993B56"/>
    <w:rsid w:val="00995CAF"/>
    <w:rsid w:val="00995E27"/>
    <w:rsid w:val="00996866"/>
    <w:rsid w:val="009A1B1A"/>
    <w:rsid w:val="009A1CF3"/>
    <w:rsid w:val="009A32D8"/>
    <w:rsid w:val="009A33A8"/>
    <w:rsid w:val="009A479A"/>
    <w:rsid w:val="009A4A4A"/>
    <w:rsid w:val="009B1B5F"/>
    <w:rsid w:val="009B597E"/>
    <w:rsid w:val="009B6D09"/>
    <w:rsid w:val="009C62A3"/>
    <w:rsid w:val="009C64FF"/>
    <w:rsid w:val="009C6C33"/>
    <w:rsid w:val="009C76DC"/>
    <w:rsid w:val="009D10FF"/>
    <w:rsid w:val="009D1EE3"/>
    <w:rsid w:val="009D3848"/>
    <w:rsid w:val="009D49AF"/>
    <w:rsid w:val="009D4BF9"/>
    <w:rsid w:val="009D5339"/>
    <w:rsid w:val="009E6322"/>
    <w:rsid w:val="009E795A"/>
    <w:rsid w:val="009F10AE"/>
    <w:rsid w:val="009F26F6"/>
    <w:rsid w:val="009F6279"/>
    <w:rsid w:val="009F6A48"/>
    <w:rsid w:val="00A0347C"/>
    <w:rsid w:val="00A10F19"/>
    <w:rsid w:val="00A12277"/>
    <w:rsid w:val="00A134E8"/>
    <w:rsid w:val="00A13959"/>
    <w:rsid w:val="00A13B23"/>
    <w:rsid w:val="00A14CD9"/>
    <w:rsid w:val="00A203B5"/>
    <w:rsid w:val="00A24685"/>
    <w:rsid w:val="00A26FB9"/>
    <w:rsid w:val="00A27F42"/>
    <w:rsid w:val="00A3129D"/>
    <w:rsid w:val="00A35FB3"/>
    <w:rsid w:val="00A362C3"/>
    <w:rsid w:val="00A4386A"/>
    <w:rsid w:val="00A43DFA"/>
    <w:rsid w:val="00A44649"/>
    <w:rsid w:val="00A46969"/>
    <w:rsid w:val="00A55E46"/>
    <w:rsid w:val="00A60942"/>
    <w:rsid w:val="00A60A73"/>
    <w:rsid w:val="00A63981"/>
    <w:rsid w:val="00A63A65"/>
    <w:rsid w:val="00A67B82"/>
    <w:rsid w:val="00A70F67"/>
    <w:rsid w:val="00A74BE6"/>
    <w:rsid w:val="00A76BF9"/>
    <w:rsid w:val="00A847B9"/>
    <w:rsid w:val="00A862A8"/>
    <w:rsid w:val="00A8647D"/>
    <w:rsid w:val="00A86926"/>
    <w:rsid w:val="00A91AAA"/>
    <w:rsid w:val="00A92465"/>
    <w:rsid w:val="00A9566D"/>
    <w:rsid w:val="00A96668"/>
    <w:rsid w:val="00AA5BA9"/>
    <w:rsid w:val="00AB2729"/>
    <w:rsid w:val="00AB2986"/>
    <w:rsid w:val="00AB4814"/>
    <w:rsid w:val="00AB68B8"/>
    <w:rsid w:val="00AC55F0"/>
    <w:rsid w:val="00AC6F09"/>
    <w:rsid w:val="00AD40C0"/>
    <w:rsid w:val="00AD642B"/>
    <w:rsid w:val="00AD74E0"/>
    <w:rsid w:val="00AF099B"/>
    <w:rsid w:val="00AF29D4"/>
    <w:rsid w:val="00AF61EE"/>
    <w:rsid w:val="00AF73B5"/>
    <w:rsid w:val="00B01297"/>
    <w:rsid w:val="00B012BA"/>
    <w:rsid w:val="00B03BF5"/>
    <w:rsid w:val="00B03FD4"/>
    <w:rsid w:val="00B06E82"/>
    <w:rsid w:val="00B13D4C"/>
    <w:rsid w:val="00B14BAA"/>
    <w:rsid w:val="00B2245B"/>
    <w:rsid w:val="00B23541"/>
    <w:rsid w:val="00B2390A"/>
    <w:rsid w:val="00B241AA"/>
    <w:rsid w:val="00B314F3"/>
    <w:rsid w:val="00B35609"/>
    <w:rsid w:val="00B36DD1"/>
    <w:rsid w:val="00B36DDE"/>
    <w:rsid w:val="00B37AA2"/>
    <w:rsid w:val="00B40479"/>
    <w:rsid w:val="00B435F7"/>
    <w:rsid w:val="00B4471E"/>
    <w:rsid w:val="00B467EC"/>
    <w:rsid w:val="00B5381D"/>
    <w:rsid w:val="00B552F2"/>
    <w:rsid w:val="00B61D25"/>
    <w:rsid w:val="00B63D8D"/>
    <w:rsid w:val="00B6613B"/>
    <w:rsid w:val="00B7079C"/>
    <w:rsid w:val="00B71680"/>
    <w:rsid w:val="00B73A21"/>
    <w:rsid w:val="00B86E28"/>
    <w:rsid w:val="00B96704"/>
    <w:rsid w:val="00B96C19"/>
    <w:rsid w:val="00BB1787"/>
    <w:rsid w:val="00BB20EB"/>
    <w:rsid w:val="00BB57FA"/>
    <w:rsid w:val="00BB5B15"/>
    <w:rsid w:val="00BC1946"/>
    <w:rsid w:val="00BC1DA5"/>
    <w:rsid w:val="00BD6C66"/>
    <w:rsid w:val="00BE5226"/>
    <w:rsid w:val="00BF17D6"/>
    <w:rsid w:val="00C00892"/>
    <w:rsid w:val="00C04024"/>
    <w:rsid w:val="00C06BF1"/>
    <w:rsid w:val="00C14575"/>
    <w:rsid w:val="00C163EB"/>
    <w:rsid w:val="00C16B19"/>
    <w:rsid w:val="00C2183C"/>
    <w:rsid w:val="00C22F62"/>
    <w:rsid w:val="00C245FB"/>
    <w:rsid w:val="00C331D4"/>
    <w:rsid w:val="00C343FF"/>
    <w:rsid w:val="00C357A6"/>
    <w:rsid w:val="00C3614A"/>
    <w:rsid w:val="00C36932"/>
    <w:rsid w:val="00C44A21"/>
    <w:rsid w:val="00C50752"/>
    <w:rsid w:val="00C508BC"/>
    <w:rsid w:val="00C51D4E"/>
    <w:rsid w:val="00C56958"/>
    <w:rsid w:val="00C62F00"/>
    <w:rsid w:val="00C635E2"/>
    <w:rsid w:val="00C64140"/>
    <w:rsid w:val="00C74B69"/>
    <w:rsid w:val="00C760AA"/>
    <w:rsid w:val="00C764AA"/>
    <w:rsid w:val="00C766FC"/>
    <w:rsid w:val="00C8612F"/>
    <w:rsid w:val="00C86E60"/>
    <w:rsid w:val="00C953B8"/>
    <w:rsid w:val="00CA26FA"/>
    <w:rsid w:val="00CA41ED"/>
    <w:rsid w:val="00CA49D8"/>
    <w:rsid w:val="00CB1261"/>
    <w:rsid w:val="00CB3BD8"/>
    <w:rsid w:val="00CB6D6B"/>
    <w:rsid w:val="00CB7802"/>
    <w:rsid w:val="00CB7E56"/>
    <w:rsid w:val="00CC747B"/>
    <w:rsid w:val="00CD01CF"/>
    <w:rsid w:val="00CD1B3D"/>
    <w:rsid w:val="00CE0FB0"/>
    <w:rsid w:val="00CE678E"/>
    <w:rsid w:val="00CE7C92"/>
    <w:rsid w:val="00CF1785"/>
    <w:rsid w:val="00CF5A5C"/>
    <w:rsid w:val="00D01B31"/>
    <w:rsid w:val="00D0374E"/>
    <w:rsid w:val="00D0701F"/>
    <w:rsid w:val="00D075D1"/>
    <w:rsid w:val="00D17E42"/>
    <w:rsid w:val="00D20D04"/>
    <w:rsid w:val="00D23E2D"/>
    <w:rsid w:val="00D2795B"/>
    <w:rsid w:val="00D27C79"/>
    <w:rsid w:val="00D35131"/>
    <w:rsid w:val="00D36DA7"/>
    <w:rsid w:val="00D40B35"/>
    <w:rsid w:val="00D4109D"/>
    <w:rsid w:val="00D42C73"/>
    <w:rsid w:val="00D60D0D"/>
    <w:rsid w:val="00D615A8"/>
    <w:rsid w:val="00D62022"/>
    <w:rsid w:val="00D63663"/>
    <w:rsid w:val="00D65FD2"/>
    <w:rsid w:val="00D66398"/>
    <w:rsid w:val="00D672A6"/>
    <w:rsid w:val="00D67C6F"/>
    <w:rsid w:val="00D728C5"/>
    <w:rsid w:val="00D803D9"/>
    <w:rsid w:val="00D80DD3"/>
    <w:rsid w:val="00D849FE"/>
    <w:rsid w:val="00D94C5D"/>
    <w:rsid w:val="00DA5ED1"/>
    <w:rsid w:val="00DB4A7B"/>
    <w:rsid w:val="00DB59D6"/>
    <w:rsid w:val="00DC3B91"/>
    <w:rsid w:val="00DC3E8B"/>
    <w:rsid w:val="00DC4178"/>
    <w:rsid w:val="00DC6265"/>
    <w:rsid w:val="00DD09E9"/>
    <w:rsid w:val="00DD227C"/>
    <w:rsid w:val="00DD52DA"/>
    <w:rsid w:val="00DD6E55"/>
    <w:rsid w:val="00DE0C54"/>
    <w:rsid w:val="00DE25F3"/>
    <w:rsid w:val="00DE5792"/>
    <w:rsid w:val="00DE74FA"/>
    <w:rsid w:val="00DE758F"/>
    <w:rsid w:val="00DF7A02"/>
    <w:rsid w:val="00E029F1"/>
    <w:rsid w:val="00E0495F"/>
    <w:rsid w:val="00E10952"/>
    <w:rsid w:val="00E10EDD"/>
    <w:rsid w:val="00E118A7"/>
    <w:rsid w:val="00E11991"/>
    <w:rsid w:val="00E20E29"/>
    <w:rsid w:val="00E21DB5"/>
    <w:rsid w:val="00E21F8D"/>
    <w:rsid w:val="00E24FD1"/>
    <w:rsid w:val="00E25697"/>
    <w:rsid w:val="00E3323D"/>
    <w:rsid w:val="00E358AC"/>
    <w:rsid w:val="00E4445C"/>
    <w:rsid w:val="00E44B37"/>
    <w:rsid w:val="00E45671"/>
    <w:rsid w:val="00E523AC"/>
    <w:rsid w:val="00E62EC3"/>
    <w:rsid w:val="00E64B3F"/>
    <w:rsid w:val="00E67DD1"/>
    <w:rsid w:val="00E71C03"/>
    <w:rsid w:val="00E73B8D"/>
    <w:rsid w:val="00E7406A"/>
    <w:rsid w:val="00E74AA7"/>
    <w:rsid w:val="00E75065"/>
    <w:rsid w:val="00E77C9D"/>
    <w:rsid w:val="00E80BF7"/>
    <w:rsid w:val="00E80EBC"/>
    <w:rsid w:val="00E81D58"/>
    <w:rsid w:val="00E86C24"/>
    <w:rsid w:val="00E9446B"/>
    <w:rsid w:val="00EA20B8"/>
    <w:rsid w:val="00EA30D6"/>
    <w:rsid w:val="00EA335F"/>
    <w:rsid w:val="00EA74EB"/>
    <w:rsid w:val="00EB0BC2"/>
    <w:rsid w:val="00EB5E27"/>
    <w:rsid w:val="00EB67F0"/>
    <w:rsid w:val="00EB7E18"/>
    <w:rsid w:val="00ED37D7"/>
    <w:rsid w:val="00ED460D"/>
    <w:rsid w:val="00ED5124"/>
    <w:rsid w:val="00EE0A58"/>
    <w:rsid w:val="00EE7514"/>
    <w:rsid w:val="00EE7FAF"/>
    <w:rsid w:val="00EF0BAD"/>
    <w:rsid w:val="00EF5ED6"/>
    <w:rsid w:val="00F037A9"/>
    <w:rsid w:val="00F06307"/>
    <w:rsid w:val="00F14B53"/>
    <w:rsid w:val="00F16338"/>
    <w:rsid w:val="00F178AF"/>
    <w:rsid w:val="00F17DB2"/>
    <w:rsid w:val="00F17F07"/>
    <w:rsid w:val="00F2346E"/>
    <w:rsid w:val="00F26AB1"/>
    <w:rsid w:val="00F27AFA"/>
    <w:rsid w:val="00F33D89"/>
    <w:rsid w:val="00F343B5"/>
    <w:rsid w:val="00F3667E"/>
    <w:rsid w:val="00F40876"/>
    <w:rsid w:val="00F4134D"/>
    <w:rsid w:val="00F41B7B"/>
    <w:rsid w:val="00F50DC6"/>
    <w:rsid w:val="00F552B0"/>
    <w:rsid w:val="00F56FD8"/>
    <w:rsid w:val="00F60767"/>
    <w:rsid w:val="00F62811"/>
    <w:rsid w:val="00F64C9D"/>
    <w:rsid w:val="00F6637A"/>
    <w:rsid w:val="00F66EFD"/>
    <w:rsid w:val="00F71A4A"/>
    <w:rsid w:val="00F7230D"/>
    <w:rsid w:val="00F862C8"/>
    <w:rsid w:val="00F86924"/>
    <w:rsid w:val="00F870F3"/>
    <w:rsid w:val="00F8738E"/>
    <w:rsid w:val="00F93395"/>
    <w:rsid w:val="00F9399C"/>
    <w:rsid w:val="00F95AE1"/>
    <w:rsid w:val="00FA2BA5"/>
    <w:rsid w:val="00FA582F"/>
    <w:rsid w:val="00FA6B21"/>
    <w:rsid w:val="00FA6EF5"/>
    <w:rsid w:val="00FB1BCA"/>
    <w:rsid w:val="00FB534F"/>
    <w:rsid w:val="00FB7601"/>
    <w:rsid w:val="00FB7FE3"/>
    <w:rsid w:val="00FC33D3"/>
    <w:rsid w:val="00FC68CC"/>
    <w:rsid w:val="00FD3C96"/>
    <w:rsid w:val="00FD5B23"/>
    <w:rsid w:val="00FD7C1A"/>
    <w:rsid w:val="00FE410A"/>
    <w:rsid w:val="00FE47F0"/>
    <w:rsid w:val="00FF20EA"/>
    <w:rsid w:val="00FF3500"/>
    <w:rsid w:val="010D18B1"/>
    <w:rsid w:val="01E305A8"/>
    <w:rsid w:val="023B2DB7"/>
    <w:rsid w:val="025B75DD"/>
    <w:rsid w:val="03772BBD"/>
    <w:rsid w:val="0672524D"/>
    <w:rsid w:val="068E1F6F"/>
    <w:rsid w:val="06F07F7E"/>
    <w:rsid w:val="07460553"/>
    <w:rsid w:val="08405B27"/>
    <w:rsid w:val="08493EAD"/>
    <w:rsid w:val="0908715B"/>
    <w:rsid w:val="097364C9"/>
    <w:rsid w:val="09957F1F"/>
    <w:rsid w:val="09D07B74"/>
    <w:rsid w:val="0AF810A0"/>
    <w:rsid w:val="0B5365DF"/>
    <w:rsid w:val="0D8A79C9"/>
    <w:rsid w:val="0E987400"/>
    <w:rsid w:val="0F925D62"/>
    <w:rsid w:val="1022000B"/>
    <w:rsid w:val="106C0FB0"/>
    <w:rsid w:val="10C34301"/>
    <w:rsid w:val="11295E5A"/>
    <w:rsid w:val="11BC77C4"/>
    <w:rsid w:val="12205FC9"/>
    <w:rsid w:val="12D16D4A"/>
    <w:rsid w:val="12EC18CD"/>
    <w:rsid w:val="13F747FE"/>
    <w:rsid w:val="14400A50"/>
    <w:rsid w:val="1496377C"/>
    <w:rsid w:val="16746164"/>
    <w:rsid w:val="17D37441"/>
    <w:rsid w:val="18506846"/>
    <w:rsid w:val="19C86A3F"/>
    <w:rsid w:val="1A9F46A2"/>
    <w:rsid w:val="1B726283"/>
    <w:rsid w:val="1C4B7222"/>
    <w:rsid w:val="1CE22F75"/>
    <w:rsid w:val="1D965C01"/>
    <w:rsid w:val="1DD53770"/>
    <w:rsid w:val="1E0A6825"/>
    <w:rsid w:val="1F135208"/>
    <w:rsid w:val="1FD707C9"/>
    <w:rsid w:val="1FE76865"/>
    <w:rsid w:val="1FF70178"/>
    <w:rsid w:val="208A18F1"/>
    <w:rsid w:val="20902556"/>
    <w:rsid w:val="221548E5"/>
    <w:rsid w:val="22245E0F"/>
    <w:rsid w:val="22594C75"/>
    <w:rsid w:val="22AC1A49"/>
    <w:rsid w:val="23456D99"/>
    <w:rsid w:val="240927AD"/>
    <w:rsid w:val="24213D92"/>
    <w:rsid w:val="24393EB8"/>
    <w:rsid w:val="24607463"/>
    <w:rsid w:val="24904B9A"/>
    <w:rsid w:val="249D521F"/>
    <w:rsid w:val="251E1D03"/>
    <w:rsid w:val="26D403B5"/>
    <w:rsid w:val="27054239"/>
    <w:rsid w:val="28C130D1"/>
    <w:rsid w:val="29353155"/>
    <w:rsid w:val="2A020141"/>
    <w:rsid w:val="2A6A184A"/>
    <w:rsid w:val="2B840829"/>
    <w:rsid w:val="2C047544"/>
    <w:rsid w:val="2C2C11A9"/>
    <w:rsid w:val="2C4A58D0"/>
    <w:rsid w:val="2C6E1358"/>
    <w:rsid w:val="2E0506B0"/>
    <w:rsid w:val="30B8257C"/>
    <w:rsid w:val="30D2231F"/>
    <w:rsid w:val="30D77A37"/>
    <w:rsid w:val="311E3B49"/>
    <w:rsid w:val="319E71A4"/>
    <w:rsid w:val="3294703E"/>
    <w:rsid w:val="32B61AF1"/>
    <w:rsid w:val="32E44A74"/>
    <w:rsid w:val="334141A4"/>
    <w:rsid w:val="34756B1F"/>
    <w:rsid w:val="34AC6B58"/>
    <w:rsid w:val="35A241CB"/>
    <w:rsid w:val="35B6712B"/>
    <w:rsid w:val="35BF1FB9"/>
    <w:rsid w:val="36062541"/>
    <w:rsid w:val="37364124"/>
    <w:rsid w:val="37766C21"/>
    <w:rsid w:val="38075759"/>
    <w:rsid w:val="39174696"/>
    <w:rsid w:val="39334F71"/>
    <w:rsid w:val="39982776"/>
    <w:rsid w:val="39F0651B"/>
    <w:rsid w:val="3A0218AD"/>
    <w:rsid w:val="3A184CE7"/>
    <w:rsid w:val="3C5F759A"/>
    <w:rsid w:val="3C880E5D"/>
    <w:rsid w:val="3C952D18"/>
    <w:rsid w:val="3CDB59CB"/>
    <w:rsid w:val="3D3C2B5C"/>
    <w:rsid w:val="3D3E2B9F"/>
    <w:rsid w:val="3E0E69B8"/>
    <w:rsid w:val="3E4D4E6E"/>
    <w:rsid w:val="3F0E2F9F"/>
    <w:rsid w:val="407D7070"/>
    <w:rsid w:val="414065B7"/>
    <w:rsid w:val="430147FA"/>
    <w:rsid w:val="43E967E1"/>
    <w:rsid w:val="44F404AD"/>
    <w:rsid w:val="450C48E5"/>
    <w:rsid w:val="45563CC5"/>
    <w:rsid w:val="461F0DE0"/>
    <w:rsid w:val="465E5670"/>
    <w:rsid w:val="46B8408A"/>
    <w:rsid w:val="47235CC4"/>
    <w:rsid w:val="47684A58"/>
    <w:rsid w:val="47E16E2E"/>
    <w:rsid w:val="48205C0E"/>
    <w:rsid w:val="484320B7"/>
    <w:rsid w:val="48C05462"/>
    <w:rsid w:val="4AC36D90"/>
    <w:rsid w:val="4B474F87"/>
    <w:rsid w:val="4B614574"/>
    <w:rsid w:val="4BF803AF"/>
    <w:rsid w:val="4C7400EB"/>
    <w:rsid w:val="4D911547"/>
    <w:rsid w:val="4EC223FC"/>
    <w:rsid w:val="4F7F3882"/>
    <w:rsid w:val="4FB652B0"/>
    <w:rsid w:val="50182112"/>
    <w:rsid w:val="5043475B"/>
    <w:rsid w:val="5061150F"/>
    <w:rsid w:val="51F11505"/>
    <w:rsid w:val="52797B3D"/>
    <w:rsid w:val="53706630"/>
    <w:rsid w:val="5460519E"/>
    <w:rsid w:val="558B6968"/>
    <w:rsid w:val="559D7C97"/>
    <w:rsid w:val="565336B5"/>
    <w:rsid w:val="56E91092"/>
    <w:rsid w:val="57522A51"/>
    <w:rsid w:val="589B3CED"/>
    <w:rsid w:val="59677EF4"/>
    <w:rsid w:val="5B6E03A1"/>
    <w:rsid w:val="5BD407FD"/>
    <w:rsid w:val="5C36605B"/>
    <w:rsid w:val="5CC840AD"/>
    <w:rsid w:val="5CD859FC"/>
    <w:rsid w:val="5D2472CC"/>
    <w:rsid w:val="5E6048A5"/>
    <w:rsid w:val="5F0D770F"/>
    <w:rsid w:val="60673F83"/>
    <w:rsid w:val="609219B2"/>
    <w:rsid w:val="61343606"/>
    <w:rsid w:val="613D1B88"/>
    <w:rsid w:val="6262205F"/>
    <w:rsid w:val="637656BD"/>
    <w:rsid w:val="667C64F8"/>
    <w:rsid w:val="668A1D7F"/>
    <w:rsid w:val="694E264C"/>
    <w:rsid w:val="6A2B2D90"/>
    <w:rsid w:val="6A9D076F"/>
    <w:rsid w:val="6BA8152C"/>
    <w:rsid w:val="6C4C2847"/>
    <w:rsid w:val="6C9A45EA"/>
    <w:rsid w:val="6D7B72BF"/>
    <w:rsid w:val="6E634846"/>
    <w:rsid w:val="6E6E0BD2"/>
    <w:rsid w:val="6E935777"/>
    <w:rsid w:val="6EB27DC6"/>
    <w:rsid w:val="6FE5623B"/>
    <w:rsid w:val="706E0500"/>
    <w:rsid w:val="70C00D78"/>
    <w:rsid w:val="70E56EC1"/>
    <w:rsid w:val="714E1195"/>
    <w:rsid w:val="735A2E6B"/>
    <w:rsid w:val="73D70FC8"/>
    <w:rsid w:val="74206177"/>
    <w:rsid w:val="79AD213D"/>
    <w:rsid w:val="7ADD65E0"/>
    <w:rsid w:val="7BDF4E75"/>
    <w:rsid w:val="7C4942AB"/>
    <w:rsid w:val="7CE83FD0"/>
    <w:rsid w:val="7DF8354F"/>
    <w:rsid w:val="7EA43034"/>
    <w:rsid w:val="7F8D6857"/>
    <w:rsid w:val="7FB41E63"/>
    <w:rsid w:val="ADFB1431"/>
    <w:rsid w:val="F5F90D76"/>
    <w:rsid w:val="FF65B3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after="20" w:afterLines="20" w:line="288" w:lineRule="auto"/>
      <w:jc w:val="both"/>
    </w:pPr>
    <w:rPr>
      <w:rFonts w:eastAsia="微软雅黑" w:asciiTheme="minorHAnsi" w:hAnsiTheme="minorHAnsi" w:cstheme="minorBidi"/>
      <w:kern w:val="2"/>
      <w:sz w:val="21"/>
      <w:szCs w:val="24"/>
      <w:lang w:val="en-US" w:eastAsia="zh-CN" w:bidi="ar-SA"/>
    </w:rPr>
  </w:style>
  <w:style w:type="paragraph" w:styleId="2">
    <w:name w:val="heading 1"/>
    <w:next w:val="1"/>
    <w:link w:val="55"/>
    <w:qFormat/>
    <w:uiPriority w:val="9"/>
    <w:pPr>
      <w:keepNext/>
      <w:keepLines/>
      <w:numPr>
        <w:ilvl w:val="0"/>
        <w:numId w:val="1"/>
      </w:numPr>
      <w:tabs>
        <w:tab w:val="left" w:pos="0"/>
      </w:tabs>
      <w:adjustRightInd w:val="0"/>
      <w:snapToGrid w:val="0"/>
      <w:spacing w:before="50" w:beforeLines="50" w:after="20" w:afterLines="20" w:line="288" w:lineRule="auto"/>
      <w:outlineLvl w:val="0"/>
    </w:pPr>
    <w:rPr>
      <w:rFonts w:ascii="微软雅黑" w:hAnsi="微软雅黑" w:eastAsia="微软雅黑" w:cstheme="minorBidi"/>
      <w:b/>
      <w:bCs/>
      <w:kern w:val="44"/>
      <w:sz w:val="36"/>
      <w:szCs w:val="36"/>
      <w:lang w:val="en-US" w:eastAsia="zh-CN" w:bidi="ar-SA"/>
    </w:rPr>
  </w:style>
  <w:style w:type="paragraph" w:styleId="3">
    <w:name w:val="heading 2"/>
    <w:next w:val="1"/>
    <w:link w:val="56"/>
    <w:unhideWhenUsed/>
    <w:qFormat/>
    <w:uiPriority w:val="9"/>
    <w:pPr>
      <w:numPr>
        <w:ilvl w:val="1"/>
        <w:numId w:val="1"/>
      </w:numPr>
      <w:tabs>
        <w:tab w:val="left" w:pos="0"/>
      </w:tabs>
      <w:adjustRightInd w:val="0"/>
      <w:snapToGrid w:val="0"/>
      <w:spacing w:before="50" w:beforeLines="50" w:after="20" w:afterLines="20" w:line="288" w:lineRule="auto"/>
      <w:outlineLvl w:val="1"/>
    </w:pPr>
    <w:rPr>
      <w:rFonts w:ascii="微软雅黑" w:hAnsi="微软雅黑" w:eastAsia="微软雅黑" w:cstheme="minorBidi"/>
      <w:b/>
      <w:bCs/>
      <w:kern w:val="2"/>
      <w:sz w:val="32"/>
      <w:szCs w:val="32"/>
      <w:lang w:val="en-US" w:eastAsia="zh-CN" w:bidi="ar-SA"/>
    </w:rPr>
  </w:style>
  <w:style w:type="paragraph" w:styleId="4">
    <w:name w:val="heading 3"/>
    <w:next w:val="1"/>
    <w:link w:val="57"/>
    <w:unhideWhenUsed/>
    <w:qFormat/>
    <w:uiPriority w:val="9"/>
    <w:pPr>
      <w:numPr>
        <w:ilvl w:val="2"/>
        <w:numId w:val="1"/>
      </w:numPr>
      <w:tabs>
        <w:tab w:val="left" w:pos="0"/>
        <w:tab w:val="left" w:pos="312"/>
      </w:tabs>
      <w:adjustRightInd w:val="0"/>
      <w:snapToGrid w:val="0"/>
      <w:spacing w:before="50" w:beforeLines="50" w:after="20" w:afterLines="20" w:line="288" w:lineRule="auto"/>
      <w:outlineLvl w:val="2"/>
    </w:pPr>
    <w:rPr>
      <w:rFonts w:ascii="微软雅黑" w:hAnsi="微软雅黑" w:eastAsia="微软雅黑" w:cstheme="minorBidi"/>
      <w:b/>
      <w:kern w:val="2"/>
      <w:sz w:val="30"/>
      <w:szCs w:val="30"/>
      <w:lang w:val="en-US" w:eastAsia="zh-CN" w:bidi="ar-SA"/>
    </w:rPr>
  </w:style>
  <w:style w:type="paragraph" w:styleId="5">
    <w:name w:val="heading 4"/>
    <w:next w:val="1"/>
    <w:link w:val="58"/>
    <w:unhideWhenUsed/>
    <w:qFormat/>
    <w:uiPriority w:val="9"/>
    <w:pPr>
      <w:numPr>
        <w:ilvl w:val="3"/>
        <w:numId w:val="1"/>
      </w:numPr>
      <w:tabs>
        <w:tab w:val="left" w:pos="0"/>
      </w:tabs>
      <w:adjustRightInd w:val="0"/>
      <w:snapToGrid w:val="0"/>
      <w:spacing w:before="50" w:beforeLines="50" w:after="20" w:afterLines="20" w:line="288" w:lineRule="auto"/>
      <w:outlineLvl w:val="3"/>
    </w:pPr>
    <w:rPr>
      <w:rFonts w:ascii="微软雅黑" w:hAnsi="微软雅黑" w:eastAsia="微软雅黑" w:cstheme="minorBidi"/>
      <w:b/>
      <w:bCs/>
      <w:sz w:val="28"/>
      <w:szCs w:val="28"/>
      <w:lang w:val="en-US" w:eastAsia="zh-CN" w:bidi="ar-SA"/>
    </w:rPr>
  </w:style>
  <w:style w:type="paragraph" w:styleId="6">
    <w:name w:val="heading 5"/>
    <w:basedOn w:val="1"/>
    <w:next w:val="7"/>
    <w:unhideWhenUsed/>
    <w:qFormat/>
    <w:uiPriority w:val="9"/>
    <w:pPr>
      <w:numPr>
        <w:ilvl w:val="4"/>
        <w:numId w:val="1"/>
      </w:numPr>
      <w:tabs>
        <w:tab w:val="left" w:pos="312"/>
      </w:tabs>
      <w:spacing w:before="50" w:beforeLines="50"/>
      <w:jc w:val="left"/>
      <w:outlineLvl w:val="4"/>
    </w:pPr>
    <w:rPr>
      <w:rFonts w:ascii="Arial" w:hAnsi="Arial"/>
      <w:b/>
      <w:sz w:val="24"/>
      <w:szCs w:val="22"/>
    </w:rPr>
  </w:style>
  <w:style w:type="paragraph" w:styleId="8">
    <w:name w:val="heading 6"/>
    <w:basedOn w:val="1"/>
    <w:next w:val="7"/>
    <w:unhideWhenUsed/>
    <w:qFormat/>
    <w:uiPriority w:val="0"/>
    <w:pPr>
      <w:numPr>
        <w:ilvl w:val="5"/>
        <w:numId w:val="1"/>
      </w:numPr>
      <w:tabs>
        <w:tab w:val="left" w:pos="0"/>
      </w:tabs>
      <w:spacing w:before="50" w:beforeLines="50"/>
      <w:outlineLvl w:val="5"/>
    </w:pPr>
    <w:rPr>
      <w:rFonts w:ascii="微软雅黑" w:hAnsi="微软雅黑"/>
      <w:b/>
      <w:bCs/>
      <w:sz w:val="24"/>
    </w:rPr>
  </w:style>
  <w:style w:type="paragraph" w:styleId="9">
    <w:name w:val="heading 7"/>
    <w:basedOn w:val="1"/>
    <w:next w:val="7"/>
    <w:unhideWhenUsed/>
    <w:qFormat/>
    <w:uiPriority w:val="0"/>
    <w:pPr>
      <w:numPr>
        <w:ilvl w:val="6"/>
        <w:numId w:val="1"/>
      </w:numPr>
      <w:spacing w:before="50" w:beforeLines="50"/>
      <w:jc w:val="left"/>
      <w:outlineLvl w:val="6"/>
    </w:pPr>
    <w:rPr>
      <w:rFonts w:ascii="微软雅黑" w:hAnsi="微软雅黑"/>
      <w:b/>
      <w:bCs/>
      <w:sz w:val="24"/>
    </w:rPr>
  </w:style>
  <w:style w:type="paragraph" w:styleId="10">
    <w:name w:val="heading 8"/>
    <w:basedOn w:val="1"/>
    <w:next w:val="7"/>
    <w:unhideWhenUsed/>
    <w:qFormat/>
    <w:uiPriority w:val="0"/>
    <w:pPr>
      <w:numPr>
        <w:ilvl w:val="7"/>
        <w:numId w:val="1"/>
      </w:numPr>
      <w:tabs>
        <w:tab w:val="left" w:pos="0"/>
      </w:tabs>
      <w:spacing w:before="50" w:beforeLines="50"/>
      <w:outlineLvl w:val="7"/>
    </w:pPr>
    <w:rPr>
      <w:rFonts w:ascii="微软雅黑" w:hAnsi="微软雅黑" w:cstheme="majorBidi"/>
      <w:b/>
      <w:bCs/>
      <w:sz w:val="24"/>
    </w:rPr>
  </w:style>
  <w:style w:type="paragraph" w:styleId="11">
    <w:name w:val="heading 9"/>
    <w:basedOn w:val="1"/>
    <w:next w:val="7"/>
    <w:unhideWhenUsed/>
    <w:qFormat/>
    <w:uiPriority w:val="0"/>
    <w:pPr>
      <w:numPr>
        <w:ilvl w:val="8"/>
        <w:numId w:val="1"/>
      </w:numPr>
      <w:spacing w:before="50" w:beforeLines="50"/>
      <w:outlineLvl w:val="8"/>
    </w:pPr>
    <w:rPr>
      <w:rFonts w:ascii="微软雅黑" w:hAnsi="微软雅黑" w:cstheme="majorBidi"/>
      <w:b/>
      <w:bCs/>
      <w:sz w:val="24"/>
    </w:rPr>
  </w:style>
  <w:style w:type="character" w:default="1" w:styleId="45">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7">
    <w:name w:val="Body Text"/>
    <w:basedOn w:val="1"/>
    <w:link w:val="102"/>
    <w:qFormat/>
    <w:uiPriority w:val="0"/>
    <w:rPr>
      <w:rFonts w:ascii="微软雅黑" w:hAnsi="微软雅黑"/>
      <w:szCs w:val="21"/>
    </w:rPr>
  </w:style>
  <w:style w:type="paragraph" w:styleId="12">
    <w:name w:val="toc 7"/>
    <w:basedOn w:val="1"/>
    <w:next w:val="1"/>
    <w:autoRedefine/>
    <w:unhideWhenUsed/>
    <w:qFormat/>
    <w:uiPriority w:val="39"/>
    <w:pPr>
      <w:spacing w:after="160" w:line="278" w:lineRule="auto"/>
      <w:ind w:left="2520" w:leftChars="1200"/>
      <w:jc w:val="left"/>
    </w:pPr>
    <w:rPr>
      <w:rFonts w:eastAsiaTheme="minorEastAsia"/>
      <w:sz w:val="22"/>
      <w14:ligatures w14:val="standardContextual"/>
    </w:rPr>
  </w:style>
  <w:style w:type="paragraph" w:styleId="13">
    <w:name w:val="index 8"/>
    <w:basedOn w:val="1"/>
    <w:next w:val="14"/>
    <w:qFormat/>
    <w:uiPriority w:val="99"/>
    <w:pPr>
      <w:ind w:left="1400" w:leftChars="1400"/>
    </w:pPr>
  </w:style>
  <w:style w:type="paragraph" w:customStyle="1" w:styleId="14">
    <w:name w:val="正文_0_0"/>
    <w:next w:val="15"/>
    <w:qFormat/>
    <w:uiPriority w:val="0"/>
    <w:pPr>
      <w:widowControl w:val="0"/>
      <w:jc w:val="both"/>
    </w:pPr>
    <w:rPr>
      <w:rFonts w:ascii="Calibri" w:hAnsi="Calibri" w:eastAsia="宋体" w:cs="Times New Roman"/>
      <w:kern w:val="2"/>
      <w:sz w:val="21"/>
      <w:szCs w:val="21"/>
      <w:lang w:val="en-US" w:eastAsia="zh-CN" w:bidi="ar-SA"/>
    </w:rPr>
  </w:style>
  <w:style w:type="paragraph" w:styleId="15">
    <w:name w:val="Plain Text"/>
    <w:basedOn w:val="1"/>
    <w:next w:val="13"/>
    <w:link w:val="61"/>
    <w:qFormat/>
    <w:uiPriority w:val="0"/>
    <w:rPr>
      <w:rFonts w:ascii="宋体" w:hAnsi="Courier New" w:cs="Courier New"/>
      <w:szCs w:val="21"/>
    </w:rPr>
  </w:style>
  <w:style w:type="paragraph" w:styleId="16">
    <w:name w:val="caption"/>
    <w:basedOn w:val="1"/>
    <w:next w:val="1"/>
    <w:unhideWhenUsed/>
    <w:qFormat/>
    <w:uiPriority w:val="0"/>
    <w:rPr>
      <w:rFonts w:ascii="微软雅黑" w:hAnsi="微软雅黑" w:cs="Times New Roman"/>
      <w:sz w:val="20"/>
      <w:szCs w:val="20"/>
    </w:rPr>
  </w:style>
  <w:style w:type="paragraph" w:styleId="17">
    <w:name w:val="Document Map"/>
    <w:basedOn w:val="1"/>
    <w:link w:val="59"/>
    <w:qFormat/>
    <w:uiPriority w:val="99"/>
    <w:rPr>
      <w:rFonts w:ascii="宋体"/>
      <w:sz w:val="24"/>
    </w:rPr>
  </w:style>
  <w:style w:type="paragraph" w:styleId="18">
    <w:name w:val="annotation text"/>
    <w:basedOn w:val="1"/>
    <w:link w:val="60"/>
    <w:qFormat/>
    <w:uiPriority w:val="0"/>
    <w:pPr>
      <w:jc w:val="lef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19">
    <w:name w:val="Salutation"/>
    <w:basedOn w:val="1"/>
    <w:next w:val="1"/>
    <w:qFormat/>
    <w:uiPriority w:val="0"/>
    <w:rPr>
      <w:rFonts w:ascii="微软雅黑" w:hAnsi="微软雅黑"/>
      <w:szCs w:val="21"/>
    </w:rPr>
  </w:style>
  <w:style w:type="paragraph" w:styleId="20">
    <w:name w:val="Body Text Indent"/>
    <w:basedOn w:val="1"/>
    <w:semiHidden/>
    <w:unhideWhenUsed/>
    <w:qFormat/>
    <w:uiPriority w:val="99"/>
    <w:pPr>
      <w:spacing w:after="120"/>
      <w:ind w:left="420" w:leftChars="200"/>
    </w:pPr>
  </w:style>
  <w:style w:type="paragraph" w:styleId="21">
    <w:name w:val="toc 5"/>
    <w:basedOn w:val="1"/>
    <w:next w:val="1"/>
    <w:autoRedefine/>
    <w:unhideWhenUsed/>
    <w:qFormat/>
    <w:uiPriority w:val="39"/>
    <w:pPr>
      <w:spacing w:after="160" w:line="278" w:lineRule="auto"/>
      <w:ind w:left="1680" w:leftChars="800"/>
      <w:jc w:val="left"/>
    </w:pPr>
    <w:rPr>
      <w:rFonts w:eastAsiaTheme="minorEastAsia"/>
      <w:sz w:val="22"/>
      <w14:ligatures w14:val="standardContextual"/>
    </w:rPr>
  </w:style>
  <w:style w:type="paragraph" w:styleId="22">
    <w:name w:val="toc 3"/>
    <w:basedOn w:val="1"/>
    <w:next w:val="1"/>
    <w:qFormat/>
    <w:uiPriority w:val="39"/>
    <w:pPr>
      <w:spacing w:line="360" w:lineRule="auto"/>
      <w:ind w:left="400" w:leftChars="400"/>
    </w:pPr>
  </w:style>
  <w:style w:type="paragraph" w:styleId="23">
    <w:name w:val="toc 8"/>
    <w:basedOn w:val="1"/>
    <w:next w:val="1"/>
    <w:autoRedefine/>
    <w:unhideWhenUsed/>
    <w:qFormat/>
    <w:uiPriority w:val="39"/>
    <w:pPr>
      <w:spacing w:after="160" w:line="278" w:lineRule="auto"/>
      <w:ind w:left="2940" w:leftChars="1400"/>
      <w:jc w:val="left"/>
    </w:pPr>
    <w:rPr>
      <w:rFonts w:eastAsiaTheme="minorEastAsia"/>
      <w:sz w:val="22"/>
      <w14:ligatures w14:val="standardContextual"/>
    </w:rPr>
  </w:style>
  <w:style w:type="paragraph" w:styleId="24">
    <w:name w:val="Date"/>
    <w:basedOn w:val="1"/>
    <w:next w:val="1"/>
    <w:link w:val="62"/>
    <w:qFormat/>
    <w:uiPriority w:val="0"/>
    <w:pPr>
      <w:jc w:val="righ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25">
    <w:name w:val="endnote text"/>
    <w:basedOn w:val="1"/>
    <w:qFormat/>
    <w:uiPriority w:val="0"/>
    <w:pPr>
      <w:jc w:val="lef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26">
    <w:name w:val="Balloon Text"/>
    <w:basedOn w:val="1"/>
    <w:link w:val="63"/>
    <w:qFormat/>
    <w:uiPriority w:val="0"/>
    <w:rPr>
      <w:rFonts w:ascii="微软雅黑" w:hAnsi="微软雅黑"/>
      <w:sz w:val="18"/>
      <w:szCs w:val="18"/>
    </w:rPr>
  </w:style>
  <w:style w:type="paragraph" w:styleId="27">
    <w:name w:val="footer"/>
    <w:basedOn w:val="1"/>
    <w:link w:val="64"/>
    <w:qFormat/>
    <w:uiPriority w:val="0"/>
    <w:pPr>
      <w:tabs>
        <w:tab w:val="center" w:pos="4153"/>
        <w:tab w:val="right" w:pos="8306"/>
      </w:tabs>
      <w:jc w:val="left"/>
    </w:pPr>
    <w:rPr>
      <w:rFonts w:ascii="微软雅黑" w:hAnsi="微软雅黑"/>
      <w:sz w:val="18"/>
      <w:szCs w:val="18"/>
    </w:rPr>
  </w:style>
  <w:style w:type="paragraph" w:styleId="28">
    <w:name w:val="header"/>
    <w:basedOn w:val="1"/>
    <w:link w:val="65"/>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rFonts w:ascii="微软雅黑" w:hAnsi="微软雅黑"/>
      <w:sz w:val="18"/>
      <w:szCs w:val="18"/>
    </w:rPr>
  </w:style>
  <w:style w:type="paragraph" w:styleId="29">
    <w:name w:val="Signature"/>
    <w:basedOn w:val="1"/>
    <w:qFormat/>
    <w:uiPriority w:val="0"/>
    <w:pPr>
      <w:jc w:val="righ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30">
    <w:name w:val="toc 1"/>
    <w:basedOn w:val="1"/>
    <w:next w:val="1"/>
    <w:qFormat/>
    <w:uiPriority w:val="39"/>
    <w:pPr>
      <w:tabs>
        <w:tab w:val="center" w:leader="dot" w:pos="8296"/>
      </w:tabs>
      <w:spacing w:line="360" w:lineRule="auto"/>
    </w:pPr>
    <w:rPr>
      <w:rFonts w:ascii="黑体" w:hAnsi="黑体" w:eastAsia="黑体"/>
      <w:b/>
      <w:sz w:val="28"/>
    </w:rPr>
  </w:style>
  <w:style w:type="paragraph" w:styleId="31">
    <w:name w:val="toc 4"/>
    <w:basedOn w:val="1"/>
    <w:next w:val="1"/>
    <w:autoRedefine/>
    <w:unhideWhenUsed/>
    <w:qFormat/>
    <w:uiPriority w:val="39"/>
    <w:pPr>
      <w:spacing w:after="160" w:line="278" w:lineRule="auto"/>
      <w:ind w:left="1260" w:leftChars="600"/>
      <w:jc w:val="left"/>
    </w:pPr>
    <w:rPr>
      <w:rFonts w:eastAsiaTheme="minorEastAsia"/>
      <w:sz w:val="22"/>
      <w14:ligatures w14:val="standardContextual"/>
    </w:rPr>
  </w:style>
  <w:style w:type="paragraph" w:styleId="32">
    <w:name w:val="Subtitle"/>
    <w:basedOn w:val="1"/>
    <w:next w:val="7"/>
    <w:qFormat/>
    <w:uiPriority w:val="0"/>
    <w:pPr>
      <w:spacing w:after="100" w:afterLines="100" w:line="240" w:lineRule="auto"/>
      <w:jc w:val="center"/>
    </w:pPr>
    <w:rPr>
      <w:rFonts w:ascii="微软雅黑" w:hAnsi="微软雅黑"/>
      <w:b/>
      <w:bCs/>
      <w:kern w:val="28"/>
      <w:sz w:val="36"/>
      <w:szCs w:val="36"/>
    </w:rPr>
  </w:style>
  <w:style w:type="paragraph" w:styleId="33">
    <w:name w:val="footnote text"/>
    <w:basedOn w:val="1"/>
    <w:link w:val="66"/>
    <w:qFormat/>
    <w:uiPriority w:val="0"/>
    <w:pPr>
      <w:jc w:val="left"/>
    </w:pPr>
    <w:rPr>
      <w:rFonts w:ascii="微软雅黑" w:hAnsi="微软雅黑"/>
      <w:sz w:val="24"/>
    </w:rPr>
  </w:style>
  <w:style w:type="paragraph" w:styleId="34">
    <w:name w:val="toc 6"/>
    <w:basedOn w:val="1"/>
    <w:next w:val="1"/>
    <w:autoRedefine/>
    <w:unhideWhenUsed/>
    <w:qFormat/>
    <w:uiPriority w:val="39"/>
    <w:pPr>
      <w:spacing w:after="160" w:line="278" w:lineRule="auto"/>
      <w:ind w:left="2100" w:leftChars="1000"/>
      <w:jc w:val="left"/>
    </w:pPr>
    <w:rPr>
      <w:rFonts w:eastAsiaTheme="minorEastAsia"/>
      <w:sz w:val="22"/>
      <w14:ligatures w14:val="standardContextual"/>
    </w:rPr>
  </w:style>
  <w:style w:type="paragraph" w:styleId="35">
    <w:name w:val="toc 2"/>
    <w:basedOn w:val="1"/>
    <w:next w:val="1"/>
    <w:qFormat/>
    <w:uiPriority w:val="39"/>
    <w:pPr>
      <w:tabs>
        <w:tab w:val="right" w:leader="dot" w:pos="8296"/>
      </w:tabs>
      <w:spacing w:line="360" w:lineRule="auto"/>
      <w:ind w:left="200" w:leftChars="200"/>
    </w:pPr>
    <w:rPr>
      <w:rFonts w:ascii="黑体" w:hAnsi="黑体" w:eastAsia="黑体"/>
      <w:sz w:val="24"/>
    </w:rPr>
  </w:style>
  <w:style w:type="paragraph" w:styleId="36">
    <w:name w:val="toc 9"/>
    <w:basedOn w:val="1"/>
    <w:next w:val="1"/>
    <w:autoRedefine/>
    <w:unhideWhenUsed/>
    <w:qFormat/>
    <w:uiPriority w:val="39"/>
    <w:pPr>
      <w:spacing w:after="160" w:line="278" w:lineRule="auto"/>
      <w:ind w:left="3360" w:leftChars="1600"/>
      <w:jc w:val="left"/>
    </w:pPr>
    <w:rPr>
      <w:rFonts w:eastAsiaTheme="minorEastAsia"/>
      <w:sz w:val="22"/>
      <w14:ligatures w14:val="standardContextual"/>
    </w:rPr>
  </w:style>
  <w:style w:type="paragraph" w:styleId="37">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38">
    <w:name w:val="Normal (Web)"/>
    <w:basedOn w:val="1"/>
    <w:qFormat/>
    <w:uiPriority w:val="0"/>
    <w:rPr>
      <w:rFonts w:ascii="微软雅黑" w:hAnsi="微软雅黑"/>
      <w:sz w:val="24"/>
    </w:rPr>
  </w:style>
  <w:style w:type="paragraph" w:styleId="39">
    <w:name w:val="Title"/>
    <w:basedOn w:val="1"/>
    <w:qFormat/>
    <w:uiPriority w:val="10"/>
    <w:pPr>
      <w:spacing w:after="100" w:afterLines="100"/>
      <w:jc w:val="center"/>
    </w:pPr>
    <w:rPr>
      <w:rFonts w:ascii="微软雅黑" w:hAnsi="微软雅黑"/>
      <w:b/>
      <w:bCs/>
      <w:sz w:val="48"/>
      <w:szCs w:val="48"/>
    </w:rPr>
  </w:style>
  <w:style w:type="paragraph" w:styleId="40">
    <w:name w:val="annotation subject"/>
    <w:basedOn w:val="18"/>
    <w:next w:val="18"/>
    <w:link w:val="67"/>
    <w:qFormat/>
    <w:uiPriority w:val="0"/>
    <w:rPr>
      <w:b/>
      <w:bCs/>
    </w:rPr>
  </w:style>
  <w:style w:type="paragraph" w:styleId="41">
    <w:name w:val="Body Text First Indent 2"/>
    <w:basedOn w:val="20"/>
    <w:unhideWhenUsed/>
    <w:qFormat/>
    <w:uiPriority w:val="99"/>
    <w:pPr>
      <w:ind w:firstLine="420" w:firstLineChars="200"/>
    </w:pPr>
  </w:style>
  <w:style w:type="table" w:styleId="43">
    <w:name w:val="Table Grid"/>
    <w:basedOn w:val="4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4">
    <w:name w:val="Table Elegant"/>
    <w:basedOn w:val="4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6">
    <w:name w:val="Strong"/>
    <w:basedOn w:val="45"/>
    <w:qFormat/>
    <w:uiPriority w:val="22"/>
    <w:rPr>
      <w:rFonts w:ascii="微软雅黑" w:hAnsi="微软雅黑" w:eastAsia="微软雅黑"/>
      <w:b/>
      <w:color w:val="auto"/>
      <w:u w:val="single"/>
    </w:rPr>
  </w:style>
  <w:style w:type="character" w:styleId="47">
    <w:name w:val="endnote reference"/>
    <w:basedOn w:val="45"/>
    <w:qFormat/>
    <w:uiPriority w:val="0"/>
    <w:rPr>
      <w:rFonts w:ascii="微软雅黑" w:hAnsi="微软雅黑" w:eastAsia="微软雅黑"/>
      <w:color w:val="262626" w:themeColor="text1" w:themeTint="D9"/>
      <w:vertAlign w:val="superscript"/>
      <w14:textFill>
        <w14:solidFill>
          <w14:schemeClr w14:val="tx1">
            <w14:lumMod w14:val="85000"/>
            <w14:lumOff w14:val="15000"/>
          </w14:schemeClr>
        </w14:solidFill>
      </w14:textFill>
    </w:rPr>
  </w:style>
  <w:style w:type="character" w:styleId="48">
    <w:name w:val="page number"/>
    <w:qFormat/>
    <w:uiPriority w:val="0"/>
    <w:rPr>
      <w:rFonts w:ascii="微软雅黑" w:hAnsi="微软雅黑" w:eastAsia="微软雅黑" w:cs="Times New Roman"/>
      <w:color w:val="262626" w:themeColor="text1" w:themeTint="D9"/>
      <w:spacing w:val="-6"/>
      <w:kern w:val="2"/>
      <w:sz w:val="21"/>
      <w:szCs w:val="21"/>
      <w:lang w:val="en-US" w:eastAsia="zh-CN" w:bidi="ar-SA"/>
      <w14:textFill>
        <w14:solidFill>
          <w14:schemeClr w14:val="tx1">
            <w14:lumMod w14:val="85000"/>
            <w14:lumOff w14:val="15000"/>
          </w14:schemeClr>
        </w14:solidFill>
      </w14:textFill>
    </w:rPr>
  </w:style>
  <w:style w:type="character" w:styleId="49">
    <w:name w:val="FollowedHyperlink"/>
    <w:basedOn w:val="45"/>
    <w:qFormat/>
    <w:uiPriority w:val="0"/>
    <w:rPr>
      <w:rFonts w:ascii="微软雅黑" w:hAnsi="微软雅黑" w:eastAsia="微软雅黑" w:cs="Times New Roman"/>
      <w:color w:val="800080"/>
      <w:spacing w:val="-6"/>
      <w:kern w:val="2"/>
      <w:sz w:val="24"/>
      <w:szCs w:val="24"/>
      <w:u w:val="single"/>
      <w:lang w:val="en-US" w:eastAsia="zh-CN" w:bidi="ar-SA"/>
    </w:rPr>
  </w:style>
  <w:style w:type="character" w:styleId="50">
    <w:name w:val="Emphasis"/>
    <w:basedOn w:val="45"/>
    <w:qFormat/>
    <w:uiPriority w:val="20"/>
    <w:rPr>
      <w:rFonts w:ascii="Arial" w:hAnsi="Arial" w:eastAsia="微软雅黑"/>
      <w:b/>
      <w:bCs/>
      <w:i/>
      <w:color w:val="auto"/>
      <w:sz w:val="24"/>
      <w:szCs w:val="22"/>
    </w:rPr>
  </w:style>
  <w:style w:type="character" w:styleId="51">
    <w:name w:val="Hyperlink"/>
    <w:basedOn w:val="45"/>
    <w:qFormat/>
    <w:uiPriority w:val="99"/>
    <w:rPr>
      <w:rFonts w:ascii="微软雅黑" w:hAnsi="微软雅黑" w:eastAsia="微软雅黑" w:cs="Times New Roman"/>
      <w:caps/>
      <w:color w:val="0000FF"/>
      <w:spacing w:val="-6"/>
      <w:kern w:val="2"/>
      <w:sz w:val="24"/>
      <w:szCs w:val="24"/>
      <w:u w:val="single"/>
      <w:lang w:val="en-US" w:eastAsia="zh-CN" w:bidi="ar-SA"/>
    </w:rPr>
  </w:style>
  <w:style w:type="character" w:styleId="52">
    <w:name w:val="annotation reference"/>
    <w:basedOn w:val="45"/>
    <w:qFormat/>
    <w:uiPriority w:val="0"/>
    <w:rPr>
      <w:rFonts w:ascii="微软雅黑" w:hAnsi="微软雅黑" w:eastAsia="微软雅黑"/>
      <w:color w:val="262626" w:themeColor="text1" w:themeTint="D9"/>
      <w:sz w:val="21"/>
      <w:szCs w:val="21"/>
      <w14:textFill>
        <w14:solidFill>
          <w14:schemeClr w14:val="tx1">
            <w14:lumMod w14:val="85000"/>
            <w14:lumOff w14:val="15000"/>
          </w14:schemeClr>
        </w14:solidFill>
      </w14:textFill>
    </w:rPr>
  </w:style>
  <w:style w:type="character" w:styleId="53">
    <w:name w:val="footnote reference"/>
    <w:basedOn w:val="45"/>
    <w:qFormat/>
    <w:uiPriority w:val="0"/>
    <w:rPr>
      <w:rFonts w:ascii="微软雅黑" w:hAnsi="微软雅黑" w:eastAsia="微软雅黑"/>
      <w:color w:val="262626" w:themeColor="text1" w:themeTint="D9"/>
      <w:vertAlign w:val="superscript"/>
      <w14:textFill>
        <w14:solidFill>
          <w14:schemeClr w14:val="tx1">
            <w14:lumMod w14:val="85000"/>
            <w14:lumOff w14:val="15000"/>
          </w14:schemeClr>
        </w14:solidFill>
      </w14:textFill>
    </w:rPr>
  </w:style>
  <w:style w:type="paragraph" w:customStyle="1" w:styleId="54">
    <w:name w:val="PlainText"/>
    <w:next w:val="1"/>
    <w:qFormat/>
    <w:uiPriority w:val="0"/>
    <w:pPr>
      <w:framePr w:hSpace="180" w:wrap="around" w:vAnchor="margin" w:hAnchor="text" w:yAlign="bottom"/>
      <w:suppressOverlap/>
      <w:widowControl w:val="0"/>
      <w:spacing w:line="400" w:lineRule="exact"/>
      <w:textAlignment w:val="baseline"/>
    </w:pPr>
    <w:rPr>
      <w:rFonts w:hAnsi="微软雅黑" w:cs="微软雅黑" w:asciiTheme="minorHAnsi" w:eastAsiaTheme="minorEastAsia"/>
      <w:kern w:val="2"/>
      <w:sz w:val="24"/>
      <w:szCs w:val="24"/>
      <w:lang w:val="en-US" w:eastAsia="zh-CN" w:bidi="ar-SA"/>
    </w:rPr>
  </w:style>
  <w:style w:type="character" w:customStyle="1" w:styleId="55">
    <w:name w:val="标题 1 字符"/>
    <w:link w:val="2"/>
    <w:qFormat/>
    <w:uiPriority w:val="9"/>
    <w:rPr>
      <w:rFonts w:ascii="微软雅黑" w:hAnsi="微软雅黑" w:eastAsia="微软雅黑" w:cstheme="minorBidi"/>
      <w:b/>
      <w:bCs/>
      <w:kern w:val="44"/>
      <w:sz w:val="36"/>
      <w:szCs w:val="36"/>
    </w:rPr>
  </w:style>
  <w:style w:type="character" w:customStyle="1" w:styleId="56">
    <w:name w:val="标题 2 字符"/>
    <w:link w:val="3"/>
    <w:qFormat/>
    <w:uiPriority w:val="9"/>
    <w:rPr>
      <w:rFonts w:ascii="微软雅黑" w:hAnsi="微软雅黑" w:eastAsia="微软雅黑" w:cstheme="minorBidi"/>
      <w:b/>
      <w:bCs/>
      <w:kern w:val="2"/>
      <w:sz w:val="32"/>
      <w:szCs w:val="32"/>
    </w:rPr>
  </w:style>
  <w:style w:type="character" w:customStyle="1" w:styleId="57">
    <w:name w:val="标题 3 字符"/>
    <w:link w:val="4"/>
    <w:qFormat/>
    <w:uiPriority w:val="9"/>
    <w:rPr>
      <w:rFonts w:ascii="微软雅黑" w:hAnsi="微软雅黑" w:eastAsia="微软雅黑" w:cstheme="minorBidi"/>
      <w:b/>
      <w:kern w:val="2"/>
      <w:sz w:val="30"/>
      <w:szCs w:val="30"/>
    </w:rPr>
  </w:style>
  <w:style w:type="character" w:customStyle="1" w:styleId="58">
    <w:name w:val="标题 4 字符"/>
    <w:link w:val="5"/>
    <w:qFormat/>
    <w:uiPriority w:val="9"/>
    <w:rPr>
      <w:rFonts w:ascii="微软雅黑" w:hAnsi="微软雅黑" w:eastAsia="微软雅黑" w:cstheme="minorBidi"/>
      <w:b/>
      <w:bCs/>
      <w:sz w:val="28"/>
      <w:szCs w:val="28"/>
    </w:rPr>
  </w:style>
  <w:style w:type="character" w:customStyle="1" w:styleId="59">
    <w:name w:val="文档结构图 字符"/>
    <w:link w:val="17"/>
    <w:qFormat/>
    <w:uiPriority w:val="99"/>
    <w:rPr>
      <w:rFonts w:ascii="宋体" w:eastAsia="宋体"/>
      <w:sz w:val="24"/>
      <w:szCs w:val="24"/>
    </w:rPr>
  </w:style>
  <w:style w:type="character" w:customStyle="1" w:styleId="60">
    <w:name w:val="批注文字 字符"/>
    <w:link w:val="18"/>
    <w:qFormat/>
    <w:uiPriority w:val="99"/>
    <w:rPr>
      <w:rFonts w:ascii="微软雅黑" w:hAnsi="微软雅黑"/>
      <w:color w:val="262626" w:themeColor="text1" w:themeTint="D9"/>
      <w:szCs w:val="21"/>
      <w14:textFill>
        <w14:solidFill>
          <w14:schemeClr w14:val="tx1">
            <w14:lumMod w14:val="85000"/>
            <w14:lumOff w14:val="15000"/>
          </w14:schemeClr>
        </w14:solidFill>
      </w14:textFill>
    </w:rPr>
  </w:style>
  <w:style w:type="character" w:customStyle="1" w:styleId="61">
    <w:name w:val="纯文本 字符"/>
    <w:link w:val="15"/>
    <w:qFormat/>
    <w:uiPriority w:val="0"/>
    <w:rPr>
      <w:rFonts w:ascii="宋体" w:hAnsi="Courier New" w:eastAsia="宋体" w:cs="Courier New"/>
      <w:szCs w:val="21"/>
    </w:rPr>
  </w:style>
  <w:style w:type="character" w:customStyle="1" w:styleId="62">
    <w:name w:val="日期 字符"/>
    <w:link w:val="24"/>
    <w:qFormat/>
    <w:uiPriority w:val="99"/>
    <w:rPr>
      <w:rFonts w:ascii="微软雅黑" w:hAnsi="微软雅黑"/>
      <w:color w:val="262626" w:themeColor="text1" w:themeTint="D9"/>
      <w:szCs w:val="21"/>
      <w14:textFill>
        <w14:solidFill>
          <w14:schemeClr w14:val="tx1">
            <w14:lumMod w14:val="85000"/>
            <w14:lumOff w14:val="15000"/>
          </w14:schemeClr>
        </w14:solidFill>
      </w14:textFill>
    </w:rPr>
  </w:style>
  <w:style w:type="character" w:customStyle="1" w:styleId="63">
    <w:name w:val="批注框文本 字符"/>
    <w:link w:val="26"/>
    <w:qFormat/>
    <w:uiPriority w:val="99"/>
    <w:rPr>
      <w:rFonts w:ascii="微软雅黑" w:hAnsi="微软雅黑"/>
      <w:sz w:val="18"/>
      <w:szCs w:val="18"/>
    </w:rPr>
  </w:style>
  <w:style w:type="character" w:customStyle="1" w:styleId="64">
    <w:name w:val="页脚 字符"/>
    <w:link w:val="27"/>
    <w:qFormat/>
    <w:uiPriority w:val="99"/>
    <w:rPr>
      <w:rFonts w:ascii="微软雅黑" w:hAnsi="微软雅黑"/>
      <w:sz w:val="18"/>
      <w:szCs w:val="18"/>
    </w:rPr>
  </w:style>
  <w:style w:type="character" w:customStyle="1" w:styleId="65">
    <w:name w:val="页眉 字符"/>
    <w:link w:val="28"/>
    <w:qFormat/>
    <w:uiPriority w:val="99"/>
    <w:rPr>
      <w:rFonts w:ascii="微软雅黑" w:hAnsi="微软雅黑"/>
      <w:sz w:val="18"/>
      <w:szCs w:val="18"/>
    </w:rPr>
  </w:style>
  <w:style w:type="character" w:customStyle="1" w:styleId="66">
    <w:name w:val="脚注文本 字符"/>
    <w:link w:val="33"/>
    <w:qFormat/>
    <w:uiPriority w:val="99"/>
    <w:rPr>
      <w:rFonts w:ascii="微软雅黑" w:hAnsi="微软雅黑" w:eastAsia="微软雅黑"/>
      <w:sz w:val="24"/>
    </w:rPr>
  </w:style>
  <w:style w:type="character" w:customStyle="1" w:styleId="67">
    <w:name w:val="批注主题 字符"/>
    <w:link w:val="40"/>
    <w:qFormat/>
    <w:uiPriority w:val="99"/>
    <w:rPr>
      <w:b/>
      <w:bCs/>
    </w:rPr>
  </w:style>
  <w:style w:type="paragraph" w:styleId="68">
    <w:name w:val="List Paragraph"/>
    <w:basedOn w:val="1"/>
    <w:qFormat/>
    <w:uiPriority w:val="34"/>
    <w:pPr>
      <w:ind w:firstLine="420" w:firstLineChars="200"/>
    </w:pPr>
  </w:style>
  <w:style w:type="character" w:customStyle="1" w:styleId="69">
    <w:name w:val="纯文本 字符1"/>
    <w:qFormat/>
    <w:uiPriority w:val="99"/>
    <w:rPr>
      <w:rFonts w:ascii="宋体" w:hAnsi="Courier New" w:cs="Courier New"/>
    </w:rPr>
  </w:style>
  <w:style w:type="paragraph" w:customStyle="1" w:styleId="70">
    <w:name w:val="TOC 标题1"/>
    <w:basedOn w:val="2"/>
    <w:next w:val="1"/>
    <w:qFormat/>
    <w:uiPriority w:val="39"/>
    <w:pPr>
      <w:spacing w:before="240" w:line="259" w:lineRule="auto"/>
      <w:outlineLvl w:val="9"/>
    </w:pPr>
    <w:rPr>
      <w:rFonts w:ascii="Calibri Light" w:hAnsi="Calibri Light" w:eastAsia="宋体"/>
      <w:color w:val="2E75B5"/>
      <w:kern w:val="0"/>
      <w:szCs w:val="32"/>
    </w:rPr>
  </w:style>
  <w:style w:type="paragraph" w:customStyle="1" w:styleId="71">
    <w:name w:val="列出段落1"/>
    <w:basedOn w:val="1"/>
    <w:qFormat/>
    <w:uiPriority w:val="34"/>
    <w:pPr>
      <w:ind w:firstLine="420" w:firstLineChars="200"/>
    </w:pPr>
  </w:style>
  <w:style w:type="table" w:customStyle="1" w:styleId="72">
    <w:name w:val="网格型3"/>
    <w:basedOn w:val="4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3">
    <w:name w:val="bjh-p"/>
    <w:qFormat/>
    <w:uiPriority w:val="0"/>
  </w:style>
  <w:style w:type="character" w:customStyle="1" w:styleId="74">
    <w:name w:val="bjh-strong"/>
    <w:qFormat/>
    <w:uiPriority w:val="0"/>
  </w:style>
  <w:style w:type="paragraph" w:customStyle="1" w:styleId="75">
    <w:name w:val="p3"/>
    <w:basedOn w:val="1"/>
    <w:qFormat/>
    <w:uiPriority w:val="0"/>
    <w:pPr>
      <w:jc w:val="left"/>
    </w:pPr>
    <w:rPr>
      <w:rFonts w:ascii="微软雅黑" w:hAnsi="微软雅黑"/>
      <w:kern w:val="0"/>
      <w:sz w:val="24"/>
    </w:rPr>
  </w:style>
  <w:style w:type="paragraph" w:customStyle="1" w:styleId="76">
    <w:name w:val="p2"/>
    <w:basedOn w:val="1"/>
    <w:qFormat/>
    <w:uiPriority w:val="0"/>
    <w:pPr>
      <w:jc w:val="left"/>
    </w:pPr>
    <w:rPr>
      <w:rFonts w:ascii="Helvetica LT Pro" w:hAnsi="Helvetica LT Pro" w:eastAsia="Helvetica LT Pro"/>
      <w:kern w:val="0"/>
      <w:sz w:val="24"/>
    </w:rPr>
  </w:style>
  <w:style w:type="paragraph" w:customStyle="1" w:styleId="77">
    <w:name w:val="p1"/>
    <w:basedOn w:val="1"/>
    <w:qFormat/>
    <w:uiPriority w:val="0"/>
    <w:pPr>
      <w:jc w:val="left"/>
    </w:pPr>
    <w:rPr>
      <w:rFonts w:ascii="Helvetica LT Pro" w:hAnsi="Helvetica LT Pro" w:eastAsia="Helvetica LT Pro"/>
      <w:kern w:val="0"/>
      <w:sz w:val="24"/>
    </w:rPr>
  </w:style>
  <w:style w:type="table" w:customStyle="1" w:styleId="78">
    <w:name w:val="网格表 5 深色 - 着色 51"/>
    <w:basedOn w:val="42"/>
    <w:qFormat/>
    <w:uiPriority w:val="5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AEEF3"/>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4BACC6"/>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4BACC6"/>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BACC6"/>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BACC6"/>
      </w:tcPr>
    </w:tblStylePr>
    <w:tblStylePr w:type="band1Vert">
      <w:tcPr>
        <w:shd w:val="clear" w:color="auto" w:fill="B6DDE8"/>
      </w:tcPr>
    </w:tblStylePr>
    <w:tblStylePr w:type="band1Horz">
      <w:tcPr>
        <w:shd w:val="clear" w:color="auto" w:fill="B6DDE8"/>
      </w:tcPr>
    </w:tblStylePr>
  </w:style>
  <w:style w:type="table" w:customStyle="1" w:styleId="79">
    <w:name w:val="清单表 4 - 着色 51"/>
    <w:basedOn w:val="42"/>
    <w:qFormat/>
    <w:uiPriority w:val="49"/>
    <w:tblPr>
      <w:tblBorders>
        <w:top w:val="single" w:color="92CDDC" w:sz="4" w:space="0"/>
        <w:left w:val="single" w:color="92CDDC" w:sz="4" w:space="0"/>
        <w:bottom w:val="single" w:color="92CDDC" w:sz="4" w:space="0"/>
        <w:right w:val="single" w:color="92CDDC" w:sz="4" w:space="0"/>
        <w:insideH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tcBorders>
        <w:shd w:val="clear" w:color="auto" w:fill="4BACC6"/>
      </w:tcPr>
    </w:tblStylePr>
    <w:tblStylePr w:type="lastRow">
      <w:rPr>
        <w:b/>
        <w:bCs/>
      </w:rPr>
      <w:tcPr>
        <w:tcBorders>
          <w:top w:val="double" w:color="92CDDC"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paragraph" w:customStyle="1" w:styleId="80">
    <w:name w:val="正文11"/>
    <w:next w:val="1"/>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81">
    <w:name w:val="修订1"/>
    <w:qFormat/>
    <w:uiPriority w:val="99"/>
    <w:rPr>
      <w:rFonts w:ascii="Calibri" w:hAnsi="Calibri" w:eastAsia="宋体" w:cs="Times New Roman"/>
      <w:kern w:val="2"/>
      <w:sz w:val="21"/>
      <w:szCs w:val="22"/>
      <w:lang w:val="en-US" w:eastAsia="zh-CN" w:bidi="ar-SA"/>
    </w:rPr>
  </w:style>
  <w:style w:type="character" w:customStyle="1" w:styleId="82">
    <w:name w:val="font21"/>
    <w:basedOn w:val="45"/>
    <w:qFormat/>
    <w:uiPriority w:val="0"/>
    <w:rPr>
      <w:rFonts w:hint="eastAsia" w:ascii="仿宋_GB2312" w:eastAsia="仿宋_GB2312" w:cs="仿宋_GB2312"/>
      <w:color w:val="000000"/>
      <w:sz w:val="32"/>
      <w:szCs w:val="32"/>
      <w:u w:val="none"/>
    </w:rPr>
  </w:style>
  <w:style w:type="character" w:customStyle="1" w:styleId="83">
    <w:name w:val="font11"/>
    <w:basedOn w:val="45"/>
    <w:qFormat/>
    <w:uiPriority w:val="0"/>
    <w:rPr>
      <w:rFonts w:hint="eastAsia" w:ascii="宋体" w:hAnsi="宋体" w:eastAsia="宋体" w:cs="宋体"/>
      <w:color w:val="000000"/>
      <w:sz w:val="32"/>
      <w:szCs w:val="32"/>
      <w:u w:val="none"/>
    </w:rPr>
  </w:style>
  <w:style w:type="character" w:customStyle="1" w:styleId="84">
    <w:name w:val="font101"/>
    <w:basedOn w:val="45"/>
    <w:qFormat/>
    <w:uiPriority w:val="0"/>
    <w:rPr>
      <w:rFonts w:ascii="仿宋_GB2312" w:eastAsia="仿宋_GB2312" w:cs="仿宋_GB2312"/>
      <w:color w:val="000000"/>
      <w:sz w:val="32"/>
      <w:szCs w:val="32"/>
      <w:u w:val="none"/>
    </w:rPr>
  </w:style>
  <w:style w:type="character" w:customStyle="1" w:styleId="85">
    <w:name w:val="font151"/>
    <w:basedOn w:val="45"/>
    <w:qFormat/>
    <w:uiPriority w:val="0"/>
    <w:rPr>
      <w:rFonts w:ascii="通知：明天放假" w:hAnsi="通知：明天放假" w:eastAsia="通知：明天放假" w:cs="通知：明天放假"/>
      <w:color w:val="000000"/>
      <w:sz w:val="20"/>
      <w:szCs w:val="20"/>
      <w:u w:val="none"/>
    </w:rPr>
  </w:style>
  <w:style w:type="character" w:customStyle="1" w:styleId="86">
    <w:name w:val="font51"/>
    <w:basedOn w:val="45"/>
    <w:qFormat/>
    <w:uiPriority w:val="0"/>
    <w:rPr>
      <w:rFonts w:ascii="方正书宋_GBK" w:hAnsi="方正书宋_GBK" w:eastAsia="方正书宋_GBK" w:cs="方正书宋_GBK"/>
      <w:color w:val="000000"/>
      <w:sz w:val="20"/>
      <w:szCs w:val="20"/>
      <w:u w:val="none"/>
    </w:rPr>
  </w:style>
  <w:style w:type="character" w:customStyle="1" w:styleId="87">
    <w:name w:val="font121"/>
    <w:basedOn w:val="45"/>
    <w:qFormat/>
    <w:uiPriority w:val="0"/>
    <w:rPr>
      <w:rFonts w:hint="eastAsia" w:ascii="宋体" w:hAnsi="宋体" w:eastAsia="宋体" w:cs="宋体"/>
      <w:color w:val="000000"/>
      <w:sz w:val="20"/>
      <w:szCs w:val="20"/>
      <w:u w:val="none"/>
    </w:rPr>
  </w:style>
  <w:style w:type="character" w:customStyle="1" w:styleId="88">
    <w:name w:val="font141"/>
    <w:basedOn w:val="45"/>
    <w:qFormat/>
    <w:uiPriority w:val="0"/>
    <w:rPr>
      <w:rFonts w:hint="eastAsia" w:ascii="仿宋_GB2312" w:eastAsia="仿宋_GB2312" w:cs="仿宋_GB2312"/>
      <w:color w:val="000000"/>
      <w:sz w:val="20"/>
      <w:szCs w:val="20"/>
      <w:u w:val="none"/>
    </w:rPr>
  </w:style>
  <w:style w:type="character" w:customStyle="1" w:styleId="89">
    <w:name w:val="font112"/>
    <w:basedOn w:val="45"/>
    <w:qFormat/>
    <w:uiPriority w:val="0"/>
    <w:rPr>
      <w:rFonts w:ascii="仿宋_GB2312" w:eastAsia="仿宋_GB2312" w:cs="仿宋_GB2312"/>
      <w:color w:val="000000"/>
      <w:sz w:val="32"/>
      <w:szCs w:val="32"/>
      <w:u w:val="none"/>
    </w:rPr>
  </w:style>
  <w:style w:type="character" w:customStyle="1" w:styleId="90">
    <w:name w:val="font181"/>
    <w:basedOn w:val="45"/>
    <w:qFormat/>
    <w:uiPriority w:val="0"/>
    <w:rPr>
      <w:rFonts w:ascii="通知：明天放假" w:hAnsi="通知：明天放假" w:eastAsia="通知：明天放假" w:cs="通知：明天放假"/>
      <w:color w:val="000000"/>
      <w:sz w:val="20"/>
      <w:szCs w:val="20"/>
      <w:u w:val="none"/>
    </w:rPr>
  </w:style>
  <w:style w:type="character" w:customStyle="1" w:styleId="91">
    <w:name w:val="font01"/>
    <w:basedOn w:val="45"/>
    <w:qFormat/>
    <w:uiPriority w:val="0"/>
    <w:rPr>
      <w:rFonts w:ascii="方正书宋_GBK" w:hAnsi="方正书宋_GBK" w:eastAsia="方正书宋_GBK" w:cs="方正书宋_GBK"/>
      <w:color w:val="000000"/>
      <w:sz w:val="20"/>
      <w:szCs w:val="20"/>
      <w:u w:val="none"/>
    </w:rPr>
  </w:style>
  <w:style w:type="character" w:customStyle="1" w:styleId="92">
    <w:name w:val="font41"/>
    <w:basedOn w:val="45"/>
    <w:qFormat/>
    <w:uiPriority w:val="0"/>
    <w:rPr>
      <w:rFonts w:hint="eastAsia" w:ascii="宋体" w:hAnsi="宋体" w:eastAsia="宋体" w:cs="宋体"/>
      <w:color w:val="000000"/>
      <w:sz w:val="20"/>
      <w:szCs w:val="20"/>
      <w:u w:val="none"/>
    </w:rPr>
  </w:style>
  <w:style w:type="character" w:customStyle="1" w:styleId="93">
    <w:name w:val="font71"/>
    <w:basedOn w:val="45"/>
    <w:qFormat/>
    <w:uiPriority w:val="0"/>
    <w:rPr>
      <w:rFonts w:ascii="通知：明天放假" w:hAnsi="通知：明天放假" w:eastAsia="通知：明天放假" w:cs="通知：明天放假"/>
      <w:color w:val="000000"/>
      <w:sz w:val="20"/>
      <w:szCs w:val="20"/>
      <w:u w:val="none"/>
    </w:rPr>
  </w:style>
  <w:style w:type="character" w:customStyle="1" w:styleId="94">
    <w:name w:val="font81"/>
    <w:basedOn w:val="45"/>
    <w:qFormat/>
    <w:uiPriority w:val="0"/>
    <w:rPr>
      <w:rFonts w:hint="eastAsia" w:ascii="仿宋_GB2312" w:eastAsia="仿宋_GB2312" w:cs="仿宋_GB2312"/>
      <w:color w:val="000000"/>
      <w:sz w:val="20"/>
      <w:szCs w:val="20"/>
      <w:u w:val="none"/>
    </w:rPr>
  </w:style>
  <w:style w:type="paragraph" w:customStyle="1" w:styleId="95">
    <w:name w:val="修订2"/>
    <w:qFormat/>
    <w:uiPriority w:val="99"/>
    <w:rPr>
      <w:rFonts w:ascii="Calibri" w:hAnsi="Calibri" w:eastAsia="宋体" w:cs="Times New Roman"/>
      <w:kern w:val="2"/>
      <w:sz w:val="21"/>
      <w:szCs w:val="22"/>
      <w:lang w:val="en-US" w:eastAsia="zh-CN" w:bidi="ar-SA"/>
    </w:rPr>
  </w:style>
  <w:style w:type="paragraph" w:customStyle="1" w:styleId="96">
    <w:name w:val="Revision_d7e99213-87e4-4550-aab9-fc9a9afde8e2"/>
    <w:qFormat/>
    <w:uiPriority w:val="99"/>
    <w:rPr>
      <w:rFonts w:ascii="Calibri" w:hAnsi="Calibri" w:eastAsia="宋体" w:cs="Times New Roman"/>
      <w:kern w:val="2"/>
      <w:sz w:val="21"/>
      <w:szCs w:val="22"/>
      <w:lang w:val="en-US" w:eastAsia="zh-CN" w:bidi="ar-SA"/>
    </w:rPr>
  </w:style>
  <w:style w:type="paragraph" w:customStyle="1" w:styleId="97">
    <w:name w:val="修订3"/>
    <w:hidden/>
    <w:unhideWhenUsed/>
    <w:qFormat/>
    <w:uiPriority w:val="99"/>
    <w:rPr>
      <w:rFonts w:ascii="Calibri" w:hAnsi="Calibri" w:eastAsia="宋体" w:cs="Times New Roman"/>
      <w:kern w:val="2"/>
      <w:sz w:val="21"/>
      <w:szCs w:val="22"/>
      <w:lang w:val="en-US" w:eastAsia="zh-CN" w:bidi="ar-SA"/>
    </w:rPr>
  </w:style>
  <w:style w:type="character" w:customStyle="1" w:styleId="98">
    <w:name w:val="未处理的提及1"/>
    <w:basedOn w:val="45"/>
    <w:semiHidden/>
    <w:unhideWhenUsed/>
    <w:qFormat/>
    <w:uiPriority w:val="99"/>
    <w:rPr>
      <w:color w:val="605E5C"/>
      <w:shd w:val="clear" w:color="auto" w:fill="E1DFDD"/>
    </w:rPr>
  </w:style>
  <w:style w:type="table" w:customStyle="1" w:styleId="99">
    <w:name w:val="网格型1"/>
    <w:basedOn w:val="42"/>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
    <w:name w:val="未处理的提及2"/>
    <w:basedOn w:val="45"/>
    <w:semiHidden/>
    <w:unhideWhenUsed/>
    <w:qFormat/>
    <w:uiPriority w:val="99"/>
    <w:rPr>
      <w:color w:val="605E5C"/>
      <w:shd w:val="clear" w:color="auto" w:fill="E1DFDD"/>
    </w:rPr>
  </w:style>
  <w:style w:type="character" w:customStyle="1" w:styleId="101">
    <w:name w:val="未处理的提及3"/>
    <w:basedOn w:val="45"/>
    <w:semiHidden/>
    <w:unhideWhenUsed/>
    <w:qFormat/>
    <w:uiPriority w:val="99"/>
    <w:rPr>
      <w:color w:val="605E5C"/>
      <w:shd w:val="clear" w:color="auto" w:fill="E1DFDD"/>
    </w:rPr>
  </w:style>
  <w:style w:type="character" w:customStyle="1" w:styleId="102">
    <w:name w:val="正文文本 字符"/>
    <w:link w:val="7"/>
    <w:qFormat/>
    <w:uiPriority w:val="99"/>
    <w:rPr>
      <w:rFonts w:ascii="微软雅黑" w:hAnsi="微软雅黑"/>
      <w:szCs w:val="21"/>
    </w:rPr>
  </w:style>
  <w:style w:type="paragraph" w:customStyle="1" w:styleId="103">
    <w:name w:val="修订4"/>
    <w:hidden/>
    <w:unhideWhenUsed/>
    <w:qFormat/>
    <w:uiPriority w:val="99"/>
    <w:rPr>
      <w:rFonts w:ascii="Calibri" w:hAnsi="Calibri" w:eastAsia="宋体" w:cs="Times New Roman"/>
      <w:kern w:val="2"/>
      <w:sz w:val="21"/>
      <w:szCs w:val="22"/>
      <w:lang w:val="en-US" w:eastAsia="zh-CN" w:bidi="ar-SA"/>
    </w:rPr>
  </w:style>
  <w:style w:type="character" w:customStyle="1" w:styleId="104">
    <w:name w:val="未处理的提及4"/>
    <w:basedOn w:val="45"/>
    <w:semiHidden/>
    <w:unhideWhenUsed/>
    <w:qFormat/>
    <w:uiPriority w:val="99"/>
    <w:rPr>
      <w:color w:val="605E5C"/>
      <w:shd w:val="clear" w:color="auto" w:fill="E1DFDD"/>
    </w:rPr>
  </w:style>
  <w:style w:type="paragraph" w:customStyle="1" w:styleId="105">
    <w:name w:val="修订5"/>
    <w:hidden/>
    <w:unhideWhenUsed/>
    <w:qFormat/>
    <w:uiPriority w:val="99"/>
    <w:rPr>
      <w:rFonts w:ascii="Calibri" w:hAnsi="Calibri" w:eastAsia="宋体" w:cs="Times New Roman"/>
      <w:kern w:val="2"/>
      <w:sz w:val="21"/>
      <w:szCs w:val="22"/>
      <w:lang w:val="en-US" w:eastAsia="zh-CN" w:bidi="ar-SA"/>
    </w:rPr>
  </w:style>
  <w:style w:type="character" w:customStyle="1" w:styleId="106">
    <w:name w:val="未处理的提及5"/>
    <w:basedOn w:val="45"/>
    <w:semiHidden/>
    <w:unhideWhenUsed/>
    <w:qFormat/>
    <w:uiPriority w:val="99"/>
    <w:rPr>
      <w:color w:val="605E5C"/>
      <w:shd w:val="clear" w:color="auto" w:fill="E1DFDD"/>
    </w:rPr>
  </w:style>
  <w:style w:type="paragraph" w:customStyle="1" w:styleId="107">
    <w:name w:val="修订6"/>
    <w:hidden/>
    <w:unhideWhenUsed/>
    <w:qFormat/>
    <w:uiPriority w:val="99"/>
    <w:rPr>
      <w:rFonts w:ascii="Calibri" w:hAnsi="Calibri" w:eastAsia="宋体" w:cs="Times New Roman"/>
      <w:kern w:val="2"/>
      <w:sz w:val="21"/>
      <w:szCs w:val="22"/>
      <w:lang w:val="en-US" w:eastAsia="zh-CN" w:bidi="ar-SA"/>
    </w:rPr>
  </w:style>
  <w:style w:type="character" w:customStyle="1" w:styleId="108">
    <w:name w:val="未处理的提及6"/>
    <w:basedOn w:val="45"/>
    <w:semiHidden/>
    <w:unhideWhenUsed/>
    <w:qFormat/>
    <w:uiPriority w:val="99"/>
    <w:rPr>
      <w:color w:val="605E5C"/>
      <w:shd w:val="clear" w:color="auto" w:fill="E1DFDD"/>
    </w:rPr>
  </w:style>
  <w:style w:type="paragraph" w:customStyle="1" w:styleId="109">
    <w:name w:val="修订7"/>
    <w:hidden/>
    <w:unhideWhenUsed/>
    <w:qFormat/>
    <w:uiPriority w:val="99"/>
    <w:rPr>
      <w:rFonts w:ascii="Calibri" w:hAnsi="Calibri" w:eastAsia="宋体" w:cs="Times New Roman"/>
      <w:kern w:val="2"/>
      <w:sz w:val="21"/>
      <w:szCs w:val="22"/>
      <w:lang w:val="en-US" w:eastAsia="zh-CN" w:bidi="ar-SA"/>
    </w:rPr>
  </w:style>
  <w:style w:type="character" w:customStyle="1" w:styleId="110">
    <w:name w:val="未处理的提及7"/>
    <w:basedOn w:val="45"/>
    <w:semiHidden/>
    <w:unhideWhenUsed/>
    <w:qFormat/>
    <w:uiPriority w:val="99"/>
    <w:rPr>
      <w:color w:val="605E5C"/>
      <w:shd w:val="clear" w:color="auto" w:fill="E1DFDD"/>
    </w:rPr>
  </w:style>
  <w:style w:type="paragraph" w:customStyle="1" w:styleId="111">
    <w:name w:val="文档说明标题"/>
    <w:basedOn w:val="1"/>
    <w:next w:val="1"/>
    <w:qFormat/>
    <w:uiPriority w:val="0"/>
    <w:pPr>
      <w:spacing w:after="100" w:afterLines="100" w:line="240" w:lineRule="auto"/>
      <w:jc w:val="center"/>
    </w:pPr>
    <w:rPr>
      <w:rFonts w:ascii="微软雅黑" w:hAnsi="微软雅黑"/>
      <w:b/>
      <w:bCs/>
      <w:sz w:val="48"/>
      <w:szCs w:val="48"/>
      <w:lang w:eastAsia="zh-Hans"/>
    </w:rPr>
  </w:style>
  <w:style w:type="paragraph" w:customStyle="1" w:styleId="112">
    <w:name w:val="附录标题"/>
    <w:next w:val="7"/>
    <w:qFormat/>
    <w:uiPriority w:val="0"/>
    <w:pPr>
      <w:tabs>
        <w:tab w:val="left" w:pos="0"/>
      </w:tabs>
      <w:adjustRightInd w:val="0"/>
      <w:snapToGrid w:val="0"/>
      <w:spacing w:after="100" w:afterLines="100"/>
      <w:jc w:val="center"/>
    </w:pPr>
    <w:rPr>
      <w:rFonts w:ascii="微软雅黑" w:hAnsi="微软雅黑" w:eastAsia="微软雅黑" w:cstheme="minorBidi"/>
      <w:b/>
      <w:bCs/>
      <w:kern w:val="28"/>
      <w:sz w:val="44"/>
      <w:szCs w:val="44"/>
      <w:lang w:val="en-US" w:eastAsia="zh-CN" w:bidi="ar-SA"/>
    </w:rPr>
  </w:style>
  <w:style w:type="paragraph" w:customStyle="1" w:styleId="113">
    <w:name w:val="章标题"/>
    <w:basedOn w:val="1"/>
    <w:next w:val="1"/>
    <w:qFormat/>
    <w:uiPriority w:val="0"/>
    <w:pPr>
      <w:spacing w:after="100" w:afterLines="100" w:line="240" w:lineRule="auto"/>
      <w:jc w:val="center"/>
      <w:outlineLvl w:val="0"/>
    </w:pPr>
    <w:rPr>
      <w:rFonts w:hint="eastAsia" w:ascii="微软雅黑" w:hAnsi="微软雅黑"/>
      <w:b/>
      <w:bCs/>
      <w:kern w:val="28"/>
      <w:sz w:val="44"/>
      <w:szCs w:val="44"/>
    </w:rPr>
  </w:style>
  <w:style w:type="paragraph" w:customStyle="1" w:styleId="114">
    <w:name w:val="节标题"/>
    <w:basedOn w:val="1"/>
    <w:next w:val="1"/>
    <w:qFormat/>
    <w:uiPriority w:val="0"/>
    <w:pPr>
      <w:spacing w:after="100" w:afterLines="100" w:line="240" w:lineRule="auto"/>
      <w:jc w:val="center"/>
      <w:outlineLvl w:val="0"/>
    </w:pPr>
    <w:rPr>
      <w:rFonts w:hint="eastAsia" w:ascii="微软雅黑" w:hAnsi="微软雅黑"/>
      <w:b/>
      <w:bCs/>
      <w:kern w:val="28"/>
      <w:sz w:val="36"/>
      <w:szCs w:val="36"/>
    </w:rPr>
  </w:style>
  <w:style w:type="character" w:customStyle="1" w:styleId="115">
    <w:name w:val="摘要"/>
    <w:basedOn w:val="45"/>
    <w:qFormat/>
    <w:uiPriority w:val="0"/>
    <w:rPr>
      <w:rFonts w:hint="eastAsia" w:ascii="Arial" w:hAnsi="Arial"/>
      <w:b/>
      <w:lang w:val="en-US" w:eastAsia="zh-CN"/>
    </w:rPr>
  </w:style>
  <w:style w:type="character" w:customStyle="1" w:styleId="116">
    <w:name w:val="关键词"/>
    <w:basedOn w:val="45"/>
    <w:qFormat/>
    <w:uiPriority w:val="0"/>
    <w:rPr>
      <w:rFonts w:hint="eastAsia" w:ascii="Arial" w:hAnsi="Arial"/>
      <w:b/>
      <w:lang w:val="en-US" w:eastAsia="zh-CN"/>
    </w:rPr>
  </w:style>
  <w:style w:type="paragraph" w:customStyle="1" w:styleId="117">
    <w:name w:val="题注1"/>
    <w:basedOn w:val="1"/>
    <w:qFormat/>
    <w:uiPriority w:val="0"/>
    <w:pPr>
      <w:jc w:val="center"/>
    </w:pPr>
    <w:rPr>
      <w:rFonts w:hint="eastAsia" w:ascii="微软雅黑" w:hAnsi="微软雅黑"/>
      <w:sz w:val="20"/>
      <w:szCs w:val="20"/>
    </w:rPr>
  </w:style>
  <w:style w:type="paragraph" w:customStyle="1" w:styleId="118">
    <w:name w:val="主送对象"/>
    <w:next w:val="7"/>
    <w:qFormat/>
    <w:uiPriority w:val="0"/>
    <w:pPr>
      <w:adjustRightInd w:val="0"/>
      <w:snapToGrid w:val="0"/>
      <w:spacing w:line="288" w:lineRule="auto"/>
    </w:pPr>
    <w:rPr>
      <w:rFonts w:ascii="微软雅黑" w:hAnsi="微软雅黑" w:eastAsia="微软雅黑" w:cs="Times New Roman"/>
      <w:color w:val="262626" w:themeColor="text1" w:themeTint="D9"/>
      <w:sz w:val="24"/>
      <w:szCs w:val="24"/>
      <w:lang w:val="en-US" w:eastAsia="zh-CN" w:bidi="ar-SA"/>
      <w14:textFill>
        <w14:solidFill>
          <w14:schemeClr w14:val="tx1">
            <w14:lumMod w14:val="85000"/>
            <w14:lumOff w14:val="15000"/>
          </w14:schemeClr>
        </w14:solidFill>
      </w14:textFill>
    </w:rPr>
  </w:style>
  <w:style w:type="paragraph" w:customStyle="1" w:styleId="119">
    <w:name w:val="目录标题"/>
    <w:basedOn w:val="1"/>
    <w:qFormat/>
    <w:uiPriority w:val="0"/>
    <w:pPr>
      <w:spacing w:afterLines="0" w:line="240" w:lineRule="auto"/>
      <w:jc w:val="center"/>
    </w:pPr>
    <w:rPr>
      <w:rFonts w:ascii="微软雅黑" w:hAnsi="微软雅黑"/>
      <w:b/>
      <w:sz w:val="28"/>
      <w:szCs w:val="28"/>
    </w:rPr>
  </w:style>
  <w:style w:type="paragraph" w:customStyle="1" w:styleId="120">
    <w:name w:val="致谢标题"/>
    <w:qFormat/>
    <w:uiPriority w:val="0"/>
    <w:pPr>
      <w:adjustRightInd w:val="0"/>
      <w:snapToGrid w:val="0"/>
      <w:spacing w:after="100" w:afterLines="100"/>
      <w:jc w:val="center"/>
      <w:outlineLvl w:val="0"/>
    </w:pPr>
    <w:rPr>
      <w:rFonts w:ascii="微软雅黑" w:hAnsi="微软雅黑" w:eastAsia="微软雅黑" w:cstheme="minorBidi"/>
      <w:b/>
      <w:bCs/>
      <w:kern w:val="28"/>
      <w:sz w:val="44"/>
      <w:szCs w:val="44"/>
      <w:lang w:val="en-US" w:eastAsia="zh-CN" w:bidi="ar-SA"/>
    </w:rPr>
  </w:style>
  <w:style w:type="paragraph" w:customStyle="1" w:styleId="121">
    <w:name w:val="声明标题"/>
    <w:next w:val="7"/>
    <w:qFormat/>
    <w:uiPriority w:val="0"/>
    <w:pPr>
      <w:adjustRightInd w:val="0"/>
      <w:snapToGrid w:val="0"/>
      <w:spacing w:after="100" w:afterLines="100"/>
      <w:jc w:val="center"/>
    </w:pPr>
    <w:rPr>
      <w:rFonts w:ascii="微软雅黑" w:hAnsi="微软雅黑" w:eastAsia="微软雅黑" w:cstheme="minorBidi"/>
      <w:b/>
      <w:bCs/>
      <w:kern w:val="28"/>
      <w:sz w:val="44"/>
      <w:szCs w:val="44"/>
      <w:lang w:val="en-US" w:eastAsia="zh-CN" w:bidi="ar-SA"/>
    </w:rPr>
  </w:style>
  <w:style w:type="paragraph" w:customStyle="1" w:styleId="122">
    <w:name w:val="参考文献标题"/>
    <w:link w:val="123"/>
    <w:qFormat/>
    <w:uiPriority w:val="0"/>
    <w:pPr>
      <w:adjustRightInd w:val="0"/>
      <w:snapToGrid w:val="0"/>
      <w:spacing w:after="100" w:afterLines="100"/>
      <w:jc w:val="center"/>
    </w:pPr>
    <w:rPr>
      <w:rFonts w:ascii="微软雅黑" w:hAnsi="微软雅黑" w:eastAsia="微软雅黑" w:cstheme="minorBidi"/>
      <w:b/>
      <w:bCs/>
      <w:sz w:val="44"/>
      <w:szCs w:val="44"/>
      <w:lang w:val="en-US" w:eastAsia="zh-CN" w:bidi="ar-SA"/>
    </w:rPr>
  </w:style>
  <w:style w:type="character" w:customStyle="1" w:styleId="123">
    <w:name w:val="参考文献标题 Char"/>
    <w:link w:val="122"/>
    <w:qFormat/>
    <w:uiPriority w:val="0"/>
    <w:rPr>
      <w:rFonts w:ascii="微软雅黑" w:hAnsi="微软雅黑" w:eastAsia="微软雅黑" w:cstheme="minorBidi"/>
      <w:b/>
      <w:bCs/>
      <w:sz w:val="44"/>
      <w:szCs w:val="44"/>
      <w:lang w:val="en-US" w:eastAsia="zh-CN"/>
    </w:rPr>
  </w:style>
  <w:style w:type="paragraph" w:customStyle="1" w:styleId="124">
    <w:name w:val="Revision"/>
    <w:hidden/>
    <w:unhideWhenUsed/>
    <w:qFormat/>
    <w:uiPriority w:val="99"/>
    <w:rPr>
      <w:rFonts w:eastAsia="微软雅黑" w:asciiTheme="minorHAnsi" w:hAnsiTheme="minorHAnsi" w:cstheme="minorBidi"/>
      <w:kern w:val="2"/>
      <w:sz w:val="21"/>
      <w:szCs w:val="24"/>
      <w:lang w:val="en-US" w:eastAsia="zh-CN" w:bidi="ar-SA"/>
    </w:rPr>
  </w:style>
  <w:style w:type="character" w:customStyle="1" w:styleId="125">
    <w:name w:val="Unresolved Mention"/>
    <w:basedOn w:val="4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defTabSz="914400">
              <a:defRPr lang="zh-CN" sz="1200" b="1" i="0" u="none" strike="noStrike" kern="1200" spc="0" baseline="0">
                <a:solidFill>
                  <a:sysClr val="windowText" lastClr="000000">
                    <a:lumMod val="65000"/>
                    <a:lumOff val="35000"/>
                  </a:sysClr>
                </a:solidFill>
                <a:latin typeface="黑体" panose="02010609060101010101" charset="-122"/>
                <a:ea typeface="黑体" panose="02010609060101010101" charset="-122"/>
                <a:cs typeface="黑体" panose="02010609060101010101" charset="-122"/>
                <a:sym typeface="黑体" panose="02010609060101010101" charset="-122"/>
              </a:defRPr>
            </a:pPr>
            <a:r>
              <a:rPr lang="en-US" altLang="zh-CN" sz="1200" b="0">
                <a:latin typeface="黑体" panose="02010609060101010101" charset="-122"/>
                <a:ea typeface="黑体" panose="02010609060101010101" charset="-122"/>
                <a:cs typeface="黑体" panose="02010609060101010101" charset="-122"/>
                <a:sym typeface="黑体" panose="02010609060101010101" charset="-122"/>
              </a:rPr>
              <a:t>2020</a:t>
            </a:r>
            <a:r>
              <a:rPr lang="zh-CN" altLang="en-US" sz="1200" b="0">
                <a:latin typeface="黑体" panose="02010609060101010101" charset="-122"/>
                <a:ea typeface="黑体" panose="02010609060101010101" charset="-122"/>
                <a:cs typeface="黑体" panose="02010609060101010101" charset="-122"/>
                <a:sym typeface="黑体" panose="02010609060101010101" charset="-122"/>
              </a:rPr>
              <a:t>年三产比例</a:t>
            </a:r>
            <a:endParaRPr lang="zh-CN" altLang="en-US" sz="1200" b="0">
              <a:latin typeface="黑体" panose="02010609060101010101" charset="-122"/>
              <a:ea typeface="黑体" panose="02010609060101010101" charset="-122"/>
              <a:cs typeface="黑体" panose="02010609060101010101" charset="-122"/>
              <a:sym typeface="黑体" panose="02010609060101010101" charset="-122"/>
            </a:endParaRPr>
          </a:p>
        </c:rich>
      </c:tx>
      <c:layout/>
      <c:overlay val="0"/>
      <c:spPr>
        <a:noFill/>
        <a:ln>
          <a:noFill/>
        </a:ln>
        <a:effectLst/>
      </c:spPr>
    </c:title>
    <c:autoTitleDeleted val="0"/>
    <c:plotArea>
      <c:layout/>
      <c:pieChart>
        <c:varyColors val="1"/>
        <c:ser>
          <c:idx val="0"/>
          <c:order val="0"/>
          <c:tx>
            <c:strRef>
              <c:f>Sheet1!$B$7</c:f>
              <c:strCache>
                <c:ptCount val="1"/>
                <c:pt idx="0">
                  <c:v>2020年</c:v>
                </c:pt>
              </c:strCache>
            </c:strRef>
          </c:tx>
          <c:spPr/>
          <c:explosion val="0"/>
          <c:dPt>
            <c:idx val="0"/>
            <c:bubble3D val="0"/>
            <c:spPr>
              <a:solidFill>
                <a:srgbClr val="4874CB"/>
              </a:solidFill>
              <a:ln w="19050">
                <a:solidFill>
                  <a:sysClr val="window" lastClr="FFFFFF"/>
                </a:solidFill>
              </a:ln>
              <a:effectLst/>
            </c:spPr>
          </c:dPt>
          <c:dPt>
            <c:idx val="1"/>
            <c:bubble3D val="0"/>
            <c:spPr>
              <a:solidFill>
                <a:srgbClr val="EE822F"/>
              </a:solidFill>
              <a:ln w="19050">
                <a:solidFill>
                  <a:sysClr val="window" lastClr="FFFFFF"/>
                </a:solidFill>
              </a:ln>
              <a:effectLst/>
            </c:spPr>
          </c:dPt>
          <c:dPt>
            <c:idx val="2"/>
            <c:bubble3D val="0"/>
            <c:spPr>
              <a:solidFill>
                <a:srgbClr val="F2BA02"/>
              </a:solidFill>
              <a:ln w="19050">
                <a:solidFill>
                  <a:sysClr val="window" lastClr="FFFFFF"/>
                </a:solidFill>
              </a:ln>
              <a:effectLst/>
            </c:spPr>
          </c:dPt>
          <c:dLbls>
            <c:dLbl>
              <c:idx val="0"/>
              <c:layout>
                <c:manualLayout>
                  <c:x val="0.111324355702115"/>
                  <c:y val="0.0733218768879608"/>
                </c:manualLayout>
              </c:layout>
              <c:tx>
                <c:rich>
                  <a:bodyPr rot="0" spcFirstLastPara="1" vertOverflow="ellipsis" vert="horz" wrap="square" lIns="38100" tIns="19050" rIns="38100" bIns="19050" anchor="ctr" anchorCtr="1"/>
                  <a:lstStyle/>
                  <a:p>
                    <a:pPr>
                      <a:defRPr lang="zh-CN" sz="900" b="1"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r>
                      <a:rPr lang="zh-CN" altLang="en-US" b="1"/>
                      <a:t>一产</a:t>
                    </a:r>
                    <a:endParaRPr lang="zh-CN" altLang="en-US" b="1"/>
                  </a:p>
                  <a:p>
                    <a:pPr>
                      <a:defRPr lang="zh-CN" sz="900" b="1"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r>
                      <a:rPr lang="en-US" altLang="zh-CN" b="1"/>
                      <a:t>2.6%</a:t>
                    </a:r>
                    <a:endParaRPr lang="en-US" altLang="zh-CN" b="1"/>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tx>
                <c:rich>
                  <a:bodyPr rot="0" spcFirstLastPara="1" vertOverflow="ellipsis" vert="horz" wrap="square" lIns="38100" tIns="19050" rIns="38100" bIns="19050" anchor="ctr" anchorCtr="1"/>
                  <a:lstStyle/>
                  <a:p>
                    <a:pPr>
                      <a:defRPr lang="zh-CN" sz="900" b="1"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r>
                      <a:rPr lang="zh-CN" altLang="en-US" b="1"/>
                      <a:t>二产</a:t>
                    </a:r>
                    <a:endParaRPr lang="zh-CN" altLang="en-US" b="1"/>
                  </a:p>
                  <a:p>
                    <a:pPr>
                      <a:defRPr lang="zh-CN" sz="900" b="1"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r>
                      <a:rPr lang="en-US" altLang="zh-CN" b="1"/>
                      <a:t>53.5%</a:t>
                    </a:r>
                    <a:endParaRPr lang="en-US" altLang="zh-CN" b="1"/>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pPr>
                      <a:defRPr lang="zh-CN" sz="900" b="1"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r>
                      <a:rPr lang="zh-CN" altLang="en-US" b="1"/>
                      <a:t>三产</a:t>
                    </a:r>
                    <a:endParaRPr lang="zh-CN" altLang="en-US" b="1"/>
                  </a:p>
                  <a:p>
                    <a:pPr>
                      <a:defRPr lang="zh-CN" sz="900" b="1"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r>
                      <a:rPr lang="en-US" altLang="zh-CN" b="1"/>
                      <a:t>43.9%</a:t>
                    </a:r>
                    <a:endParaRPr lang="en-US" altLang="zh-CN" b="1"/>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f>Sheet1!$C$6:$E$6</c:f>
              <c:strCache>
                <c:ptCount val="3"/>
                <c:pt idx="0">
                  <c:v>第一产业</c:v>
                </c:pt>
                <c:pt idx="1">
                  <c:v>第二产业</c:v>
                </c:pt>
                <c:pt idx="2">
                  <c:v>第三产业</c:v>
                </c:pt>
              </c:strCache>
            </c:strRef>
          </c:cat>
          <c:val>
            <c:numRef>
              <c:f>Sheet1!$C$7:$E$7</c:f>
              <c:numCache>
                <c:formatCode>0.00%</c:formatCode>
                <c:ptCount val="3"/>
                <c:pt idx="0">
                  <c:v>0.026</c:v>
                </c:pt>
                <c:pt idx="1">
                  <c:v>0.535</c:v>
                </c:pt>
                <c:pt idx="2">
                  <c:v>0.439</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402876bd-1a71-4f05-9718-c7ebb9ae8432}"/>
      </c:ext>
    </c:extLst>
  </c:chart>
  <c:spPr>
    <a:solidFill>
      <a:sysClr val="window" lastClr="FFFFFF"/>
    </a:solidFill>
    <a:ln w="9525" cap="flat" cmpd="sng" algn="ctr">
      <a:noFill/>
      <a:round/>
    </a:ln>
    <a:effectLst/>
  </c:spPr>
  <c:txPr>
    <a:bodyPr/>
    <a:lstStyle/>
    <a:p>
      <a:pPr>
        <a:defRPr lang="zh-CN" b="1">
          <a:latin typeface="Times New Roman" panose="02020603050405020304" charset="0"/>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defTabSz="914400">
              <a:defRPr lang="zh-CN" sz="1200" b="0" i="0" u="none" strike="noStrike" kern="1200" spc="0" baseline="0">
                <a:solidFill>
                  <a:sysClr val="windowText" lastClr="000000">
                    <a:lumMod val="65000"/>
                    <a:lumOff val="35000"/>
                  </a:sysClr>
                </a:solidFill>
                <a:latin typeface="黑体" panose="02010609060101010101" charset="-122"/>
                <a:ea typeface="黑体" panose="02010609060101010101" charset="-122"/>
                <a:cs typeface="黑体" panose="02010609060101010101" charset="-122"/>
                <a:sym typeface="黑体" panose="02010609060101010101" charset="-122"/>
              </a:defRPr>
            </a:pPr>
            <a:r>
              <a:rPr lang="en-US" altLang="zh-CN" sz="1200">
                <a:latin typeface="黑体" panose="02010609060101010101" charset="-122"/>
                <a:ea typeface="黑体" panose="02010609060101010101" charset="-122"/>
                <a:cs typeface="黑体" panose="02010609060101010101" charset="-122"/>
                <a:sym typeface="黑体" panose="02010609060101010101" charset="-122"/>
              </a:rPr>
              <a:t>2025</a:t>
            </a:r>
            <a:r>
              <a:rPr lang="zh-CN" altLang="en-US" sz="1200">
                <a:latin typeface="黑体" panose="02010609060101010101" charset="-122"/>
                <a:ea typeface="黑体" panose="02010609060101010101" charset="-122"/>
                <a:cs typeface="黑体" panose="02010609060101010101" charset="-122"/>
                <a:sym typeface="黑体" panose="02010609060101010101" charset="-122"/>
              </a:rPr>
              <a:t>年三产比例</a:t>
            </a:r>
            <a:endParaRPr lang="zh-CN" altLang="en-US" sz="1200">
              <a:latin typeface="黑体" panose="02010609060101010101" charset="-122"/>
              <a:ea typeface="黑体" panose="02010609060101010101" charset="-122"/>
              <a:cs typeface="黑体" panose="02010609060101010101" charset="-122"/>
              <a:sym typeface="黑体" panose="02010609060101010101" charset="-122"/>
            </a:endParaRPr>
          </a:p>
        </c:rich>
      </c:tx>
      <c:layout/>
      <c:overlay val="0"/>
      <c:spPr>
        <a:noFill/>
        <a:ln>
          <a:noFill/>
        </a:ln>
        <a:effectLst/>
      </c:spPr>
    </c:title>
    <c:autoTitleDeleted val="0"/>
    <c:plotArea>
      <c:layout/>
      <c:pieChart>
        <c:varyColors val="1"/>
        <c:ser>
          <c:idx val="0"/>
          <c:order val="0"/>
          <c:tx>
            <c:strRef>
              <c:f>'Sheet1'!$B$11</c:f>
              <c:strCache>
                <c:ptCount val="1"/>
                <c:pt idx="0">
                  <c:v>2025年</c:v>
                </c:pt>
              </c:strCache>
            </c:strRef>
          </c:tx>
          <c:spPr/>
          <c:explosion val="0"/>
          <c:dPt>
            <c:idx val="0"/>
            <c:bubble3D val="0"/>
            <c:spPr>
              <a:solidFill>
                <a:srgbClr val="4874CB"/>
              </a:solidFill>
              <a:ln w="19050">
                <a:solidFill>
                  <a:sysClr val="window" lastClr="FFFFFF"/>
                </a:solidFill>
              </a:ln>
              <a:effectLst/>
            </c:spPr>
          </c:dPt>
          <c:dPt>
            <c:idx val="1"/>
            <c:bubble3D val="0"/>
            <c:spPr>
              <a:solidFill>
                <a:srgbClr val="EE822F"/>
              </a:solidFill>
              <a:ln w="19050">
                <a:solidFill>
                  <a:sysClr val="window" lastClr="FFFFFF"/>
                </a:solidFill>
              </a:ln>
              <a:effectLst/>
            </c:spPr>
          </c:dPt>
          <c:dPt>
            <c:idx val="2"/>
            <c:bubble3D val="0"/>
            <c:spPr>
              <a:solidFill>
                <a:srgbClr val="F2BA02"/>
              </a:solidFill>
              <a:ln w="19050">
                <a:solidFill>
                  <a:sysClr val="window" lastClr="FFFFFF"/>
                </a:solidFill>
              </a:ln>
              <a:effectLst/>
            </c:spPr>
          </c:dPt>
          <c:dLbls>
            <c:dLbl>
              <c:idx val="0"/>
              <c:layout>
                <c:manualLayout>
                  <c:x val="0.0940706908827809"/>
                  <c:y val="0.062508608475691"/>
                </c:manualLayout>
              </c:layout>
              <c:tx>
                <c:rich>
                  <a:bodyPr rot="0" spcFirstLastPara="1" vertOverflow="ellipsis" vert="horz" wrap="square" lIns="38100" tIns="19050" rIns="38100" bIns="19050" anchor="ctr" anchorCtr="1"/>
                  <a:lstStyle/>
                  <a:p>
                    <a:pPr>
                      <a:defRPr lang="zh-CN" sz="900" b="1"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r>
                      <a:rPr lang="zh-CN" altLang="en-US" b="1"/>
                      <a:t>一产</a:t>
                    </a:r>
                    <a:endParaRPr lang="zh-CN" altLang="en-US" b="1"/>
                  </a:p>
                  <a:p>
                    <a:pPr>
                      <a:defRPr lang="zh-CN" sz="900" b="1"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r>
                      <a:rPr lang="en-US" altLang="zh-CN" b="1"/>
                      <a:t>1.8%</a:t>
                    </a:r>
                    <a:endParaRPr lang="en-US" altLang="zh-CN" b="1"/>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tx>
                <c:rich>
                  <a:bodyPr rot="0" spcFirstLastPara="1" vertOverflow="ellipsis" vert="horz" wrap="square" lIns="38100" tIns="19050" rIns="38100" bIns="19050" anchor="ctr" anchorCtr="1"/>
                  <a:lstStyle/>
                  <a:p>
                    <a:pPr>
                      <a:defRPr lang="zh-CN" sz="900" b="1"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r>
                      <a:rPr lang="zh-CN" altLang="en-US" b="1"/>
                      <a:t>二产</a:t>
                    </a:r>
                    <a:endParaRPr lang="zh-CN" altLang="en-US" b="1"/>
                  </a:p>
                  <a:p>
                    <a:pPr>
                      <a:defRPr lang="zh-CN" sz="900" b="1"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r>
                      <a:rPr lang="en-US" altLang="zh-CN" b="1"/>
                      <a:t>53.4%</a:t>
                    </a:r>
                    <a:endParaRPr lang="en-US" altLang="zh-CN" b="1"/>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pPr>
                      <a:defRPr lang="zh-CN" sz="900" b="1"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r>
                      <a:rPr lang="zh-CN" altLang="en-US" b="1"/>
                      <a:t>三产</a:t>
                    </a:r>
                    <a:endParaRPr lang="zh-CN" altLang="en-US" b="1"/>
                  </a:p>
                  <a:p>
                    <a:pPr>
                      <a:defRPr lang="zh-CN" sz="900" b="1"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r>
                      <a:rPr lang="en-US" altLang="zh-CN" b="1"/>
                      <a:t>44.8%</a:t>
                    </a:r>
                    <a:endParaRPr lang="en-US" altLang="zh-CN" b="1"/>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lumMod val="75000"/>
                        <a:lumOff val="25000"/>
                      </a:sysClr>
                    </a:solidFill>
                    <a:latin typeface="Times New Roman" panose="02020603050405020304" charset="0"/>
                    <a:ea typeface="+mn-ea"/>
                    <a:cs typeface="Times New Roman" panose="02020603050405020304" charset="0"/>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f>'Sheet1'!$C$10:$E$10</c:f>
              <c:strCache>
                <c:ptCount val="3"/>
                <c:pt idx="0">
                  <c:v>第一产业</c:v>
                </c:pt>
                <c:pt idx="1">
                  <c:v>第二产业</c:v>
                </c:pt>
                <c:pt idx="2">
                  <c:v>第三产业</c:v>
                </c:pt>
              </c:strCache>
            </c:strRef>
          </c:cat>
          <c:val>
            <c:numRef>
              <c:f>'Sheet1'!$C$11:$E$11</c:f>
              <c:numCache>
                <c:formatCode>0.00%</c:formatCode>
                <c:ptCount val="3"/>
                <c:pt idx="0">
                  <c:v>0.015</c:v>
                </c:pt>
                <c:pt idx="1">
                  <c:v>0.51</c:v>
                </c:pt>
                <c:pt idx="2">
                  <c:v>0.475</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94a7e54d-660c-497a-9c32-72c7cb7bd4ae}"/>
      </c:ext>
    </c:extLst>
  </c:chart>
  <c:spPr>
    <a:solidFill>
      <a:sysClr val="window" lastClr="FFFFFF"/>
    </a:solidFill>
    <a:ln w="9525" cap="flat" cmpd="sng" algn="ctr">
      <a:noFill/>
      <a:round/>
    </a:ln>
    <a:effectLst/>
  </c:spPr>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1" i="0" u="none" strike="noStrike" kern="1200" baseline="0">
                <a:solidFill>
                  <a:sysClr val="windowText" lastClr="000000">
                    <a:lumMod val="75000"/>
                    <a:lumOff val="25000"/>
                  </a:sysClr>
                </a:solidFill>
                <a:latin typeface="黑体" panose="02010609060101010101" charset="-122"/>
                <a:ea typeface="黑体" panose="02010609060101010101" charset="-122"/>
                <a:cs typeface="黑体" panose="02010609060101010101" charset="-122"/>
                <a:sym typeface="黑体" panose="02010609060101010101" charset="-122"/>
              </a:defRPr>
            </a:pPr>
            <a:r>
              <a:rPr lang="zh-CN" altLang="en-US" sz="1100" b="0">
                <a:latin typeface="黑体" panose="02010609060101010101" charset="-122"/>
                <a:ea typeface="黑体" panose="02010609060101010101" charset="-122"/>
                <a:cs typeface="黑体" panose="02010609060101010101" charset="-122"/>
                <a:sym typeface="黑体" panose="02010609060101010101" charset="-122"/>
              </a:rPr>
              <a:t>常住人口城镇化率</a:t>
            </a:r>
            <a:endParaRPr lang="zh-CN" altLang="en-US" sz="1100" b="0">
              <a:latin typeface="黑体" panose="02010609060101010101" charset="-122"/>
              <a:ea typeface="黑体" panose="02010609060101010101" charset="-122"/>
              <a:cs typeface="黑体" panose="02010609060101010101" charset="-122"/>
              <a:sym typeface="黑体" panose="02010609060101010101" charset="-122"/>
            </a:endParaRPr>
          </a:p>
        </c:rich>
      </c:tx>
      <c:layout/>
      <c:overlay val="0"/>
      <c:spPr>
        <a:noFill/>
        <a:ln>
          <a:noFill/>
        </a:ln>
        <a:effectLst/>
      </c:spPr>
    </c:title>
    <c:autoTitleDeleted val="0"/>
    <c:plotArea>
      <c:layout/>
      <c:lineChart>
        <c:grouping val="standard"/>
        <c:varyColors val="0"/>
        <c:ser>
          <c:idx val="0"/>
          <c:order val="0"/>
          <c:tx>
            <c:strRef>
              <c:f>Sheet1!$C$18</c:f>
              <c:strCache>
                <c:ptCount val="1"/>
                <c:pt idx="0">
                  <c:v>常住人口城镇化率</c:v>
                </c:pt>
              </c:strCache>
            </c:strRef>
          </c:tx>
          <c:spPr>
            <a:ln w="28575" cap="rnd">
              <a:solidFill>
                <a:srgbClr val="4874CB"/>
              </a:solidFill>
              <a:round/>
            </a:ln>
            <a:effectLst/>
          </c:spPr>
          <c:marker>
            <c:symbol val="circle"/>
            <c:size val="5"/>
            <c:spPr>
              <a:solidFill>
                <a:srgbClr val="4874CB"/>
              </a:solidFill>
              <a:ln w="15875">
                <a:solidFill>
                  <a:srgbClr val="4874CB"/>
                </a:solidFill>
              </a:ln>
              <a:effectLst/>
            </c:spPr>
          </c:marker>
          <c:dLbls>
            <c:dLbl>
              <c:idx val="5"/>
              <c:layout/>
              <c:tx>
                <c:rich>
                  <a:bodyPr rot="0" spcFirstLastPara="1"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黑体" panose="02010609060101010101" charset="-122"/>
                        <a:ea typeface="黑体" panose="02010609060101010101" charset="-122"/>
                        <a:cs typeface="黑体" panose="02010609060101010101" charset="-122"/>
                        <a:sym typeface="黑体" panose="02010609060101010101" charset="-122"/>
                      </a:defRPr>
                    </a:pPr>
                    <a:r>
                      <a:rPr lang="en-US" altLang="zh-CN"/>
                      <a:t>84.45%</a:t>
                    </a:r>
                    <a:endParaRPr lang="en-US" altLang="zh-CN"/>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lumMod val="75000"/>
                        <a:lumOff val="25000"/>
                      </a:sysClr>
                    </a:solidFill>
                    <a:latin typeface="黑体" panose="02010609060101010101" charset="-122"/>
                    <a:ea typeface="黑体" panose="02010609060101010101" charset="-122"/>
                    <a:cs typeface="黑体" panose="02010609060101010101" charset="-122"/>
                    <a:sym typeface="黑体" panose="02010609060101010101" charset="-122"/>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f>Sheet1!$B$19:$B$24</c:f>
              <c:strCache>
                <c:ptCount val="6"/>
                <c:pt idx="0">
                  <c:v>2020年</c:v>
                </c:pt>
                <c:pt idx="1">
                  <c:v>2021年</c:v>
                </c:pt>
                <c:pt idx="2">
                  <c:v>2022年</c:v>
                </c:pt>
                <c:pt idx="3">
                  <c:v>2023年</c:v>
                </c:pt>
                <c:pt idx="4">
                  <c:v>2024年</c:v>
                </c:pt>
                <c:pt idx="5">
                  <c:v>2025年</c:v>
                </c:pt>
              </c:strCache>
            </c:strRef>
          </c:cat>
          <c:val>
            <c:numRef>
              <c:f>Sheet1!$C$19:$C$24</c:f>
              <c:numCache>
                <c:formatCode>0.00%</c:formatCode>
                <c:ptCount val="6"/>
                <c:pt idx="0">
                  <c:v>0.7905</c:v>
                </c:pt>
                <c:pt idx="1">
                  <c:v>0.7989</c:v>
                </c:pt>
                <c:pt idx="2">
                  <c:v>0.8088</c:v>
                </c:pt>
                <c:pt idx="3">
                  <c:v>0.8191</c:v>
                </c:pt>
                <c:pt idx="4">
                  <c:v>0.8308</c:v>
                </c:pt>
                <c:pt idx="5">
                  <c:v>0.8445</c:v>
                </c:pt>
              </c:numCache>
            </c:numRef>
          </c:val>
          <c:smooth val="0"/>
        </c:ser>
        <c:dLbls>
          <c:showLegendKey val="0"/>
          <c:showVal val="1"/>
          <c:showCatName val="0"/>
          <c:showSerName val="0"/>
          <c:showPercent val="0"/>
          <c:showBubbleSize val="0"/>
        </c:dLbls>
        <c:marker val="1"/>
        <c:smooth val="0"/>
        <c:axId val="244848949"/>
        <c:axId val="540462615"/>
      </c:lineChart>
      <c:catAx>
        <c:axId val="244848949"/>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540462615"/>
        <c:crosses val="autoZero"/>
        <c:auto val="1"/>
        <c:lblAlgn val="ctr"/>
        <c:lblOffset val="100"/>
        <c:noMultiLvlLbl val="0"/>
      </c:catAx>
      <c:valAx>
        <c:axId val="540462615"/>
        <c:scaling>
          <c:orientation val="minMax"/>
        </c:scaling>
        <c:delete val="0"/>
        <c:axPos val="l"/>
        <c:majorGridlines>
          <c:spPr>
            <a:ln w="9525" cap="flat" cmpd="sng" algn="ctr">
              <a:solidFill>
                <a:sysClr val="window" lastClr="FFFFFF">
                  <a:lumMod val="90200"/>
                </a:sys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244848949"/>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黑体" panose="02010609060101010101" charset="-122"/>
              <a:ea typeface="黑体" panose="02010609060101010101" charset="-122"/>
              <a:cs typeface="黑体" panose="02010609060101010101" charset="-122"/>
              <a:sym typeface="黑体" panose="02010609060101010101" charset="-122"/>
            </a:defRPr>
          </a:pPr>
        </a:p>
      </c:txPr>
    </c:legend>
    <c:plotVisOnly val="1"/>
    <c:dispBlanksAs val="gap"/>
    <c:showDLblsOverMax val="0"/>
    <c:extLst>
      <c:ext uri="{0b15fc19-7d7d-44ad-8c2d-2c3a37ce22c3}">
        <chartProps xmlns="https://web.wps.cn/et/2018/main" chartId="{2b3c5ad0-0b0c-4aac-94d6-f09ec5f5bb85}"/>
      </c:ext>
    </c:extLst>
  </c:chart>
  <c:spPr>
    <a:solidFill>
      <a:sysClr val="window" lastClr="FFFFFF"/>
    </a:solidFill>
    <a:ln w="9525" cap="flat" cmpd="sng" algn="ctr">
      <a:no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1" i="0" u="none" strike="noStrike" kern="1200" baseline="0">
                <a:solidFill>
                  <a:sysClr val="windowText" lastClr="000000">
                    <a:lumMod val="75000"/>
                    <a:lumOff val="25000"/>
                  </a:sysClr>
                </a:solidFill>
                <a:latin typeface="黑体" panose="02010609060101010101" charset="-122"/>
                <a:ea typeface="黑体" panose="02010609060101010101" charset="-122"/>
                <a:cs typeface="黑体" panose="02010609060101010101" charset="-122"/>
                <a:sym typeface="黑体" panose="02010609060101010101" charset="-122"/>
              </a:defRPr>
            </a:pPr>
            <a:r>
              <a:rPr lang="zh-CN" sz="1100" b="0">
                <a:latin typeface="黑体" panose="02010609060101010101" charset="-122"/>
                <a:ea typeface="黑体" panose="02010609060101010101" charset="-122"/>
                <a:cs typeface="黑体" panose="02010609060101010101" charset="-122"/>
                <a:sym typeface="黑体" panose="02010609060101010101" charset="-122"/>
              </a:rPr>
              <a:t>城乡居民人均可支配收入</a:t>
            </a:r>
            <a:endParaRPr lang="zh-CN" sz="1100" b="0">
              <a:latin typeface="黑体" panose="02010609060101010101" charset="-122"/>
              <a:ea typeface="黑体" panose="02010609060101010101" charset="-122"/>
              <a:cs typeface="黑体" panose="02010609060101010101" charset="-122"/>
              <a:sym typeface="黑体" panose="02010609060101010101" charset="-122"/>
            </a:endParaRPr>
          </a:p>
        </c:rich>
      </c:tx>
      <c:layout/>
      <c:overlay val="0"/>
      <c:spPr>
        <a:noFill/>
        <a:ln>
          <a:noFill/>
        </a:ln>
        <a:effectLst/>
      </c:spPr>
    </c:title>
    <c:autoTitleDeleted val="0"/>
    <c:plotArea>
      <c:layout/>
      <c:barChart>
        <c:barDir val="col"/>
        <c:grouping val="clustered"/>
        <c:varyColors val="0"/>
        <c:ser>
          <c:idx val="0"/>
          <c:order val="0"/>
          <c:tx>
            <c:strRef>
              <c:f>Sheet1!$C$28</c:f>
              <c:strCache>
                <c:ptCount val="1"/>
                <c:pt idx="0">
                  <c:v>城镇居民人均可支配收入（元）</c:v>
                </c:pt>
              </c:strCache>
            </c:strRef>
          </c:tx>
          <c:spPr>
            <a:solidFill>
              <a:srgbClr val="4874CB"/>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黑体" panose="02010609060101010101" charset="-122"/>
                    <a:ea typeface="黑体" panose="02010609060101010101" charset="-122"/>
                    <a:cs typeface="黑体" panose="02010609060101010101" charset="-122"/>
                    <a:sym typeface="黑体" panose="0201060906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f>Sheet1!$B$29:$B$34</c:f>
              <c:strCache>
                <c:ptCount val="6"/>
                <c:pt idx="0">
                  <c:v>2020年</c:v>
                </c:pt>
                <c:pt idx="1">
                  <c:v>2021年</c:v>
                </c:pt>
                <c:pt idx="2">
                  <c:v>2022年</c:v>
                </c:pt>
                <c:pt idx="3">
                  <c:v>2023年</c:v>
                </c:pt>
                <c:pt idx="4">
                  <c:v>2024年</c:v>
                </c:pt>
                <c:pt idx="5">
                  <c:v>2025年</c:v>
                </c:pt>
              </c:strCache>
            </c:strRef>
          </c:cat>
          <c:val>
            <c:numRef>
              <c:f>Sheet1!$C$29:$C$34</c:f>
              <c:numCache>
                <c:formatCode>General</c:formatCode>
                <c:ptCount val="6"/>
                <c:pt idx="0">
                  <c:v>43621</c:v>
                </c:pt>
                <c:pt idx="1">
                  <c:v>47111</c:v>
                </c:pt>
                <c:pt idx="2">
                  <c:v>49368</c:v>
                </c:pt>
                <c:pt idx="3">
                  <c:v>51189</c:v>
                </c:pt>
                <c:pt idx="4">
                  <c:v>52929</c:v>
                </c:pt>
                <c:pt idx="5">
                  <c:v>54941</c:v>
                </c:pt>
              </c:numCache>
            </c:numRef>
          </c:val>
        </c:ser>
        <c:ser>
          <c:idx val="1"/>
          <c:order val="1"/>
          <c:tx>
            <c:strRef>
              <c:f>Sheet1!$D$28</c:f>
              <c:strCache>
                <c:ptCount val="1"/>
                <c:pt idx="0">
                  <c:v>农村居民人均可支配收入（元）</c:v>
                </c:pt>
              </c:strCache>
            </c:strRef>
          </c:tx>
          <c:spPr>
            <a:solidFill>
              <a:srgbClr val="EE822F"/>
            </a:solidFill>
            <a:ln>
              <a:noFill/>
            </a:ln>
            <a:effectLst/>
          </c:spPr>
          <c:invertIfNegative val="0"/>
          <c:dLbls>
            <c:dLbl>
              <c:idx val="0"/>
              <c:layout>
                <c:manualLayout>
                  <c:x val="0.014051214707813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12934996717006"/>
                  <c:y val="-0.00256649556696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5495732107682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10111621799081"/>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27380170715693"/>
                  <c:y val="0.0023331777881474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69402495075509"/>
                  <c:y val="0.0048996733551096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ysClr val="windowText" lastClr="000000">
                        <a:lumMod val="75000"/>
                        <a:lumOff val="25000"/>
                      </a:sysClr>
                    </a:solidFill>
                    <a:latin typeface="黑体" panose="02010609060101010101" charset="-122"/>
                    <a:ea typeface="黑体" panose="02010609060101010101" charset="-122"/>
                    <a:cs typeface="黑体" panose="02010609060101010101" charset="-122"/>
                    <a:sym typeface="黑体" panose="0201060906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f>Sheet1!$B$29:$B$34</c:f>
              <c:strCache>
                <c:ptCount val="6"/>
                <c:pt idx="0">
                  <c:v>2020年</c:v>
                </c:pt>
                <c:pt idx="1">
                  <c:v>2021年</c:v>
                </c:pt>
                <c:pt idx="2">
                  <c:v>2022年</c:v>
                </c:pt>
                <c:pt idx="3">
                  <c:v>2023年</c:v>
                </c:pt>
                <c:pt idx="4">
                  <c:v>2024年</c:v>
                </c:pt>
                <c:pt idx="5">
                  <c:v>2025年</c:v>
                </c:pt>
              </c:strCache>
            </c:strRef>
          </c:cat>
          <c:val>
            <c:numRef>
              <c:f>Sheet1!$D$29:$D$34</c:f>
              <c:numCache>
                <c:formatCode>General</c:formatCode>
                <c:ptCount val="6"/>
                <c:pt idx="0">
                  <c:v>20007</c:v>
                </c:pt>
                <c:pt idx="1">
                  <c:v>21727</c:v>
                </c:pt>
                <c:pt idx="2">
                  <c:v>23026</c:v>
                </c:pt>
                <c:pt idx="3">
                  <c:v>24515</c:v>
                </c:pt>
                <c:pt idx="4">
                  <c:v>26010</c:v>
                </c:pt>
                <c:pt idx="5">
                  <c:v>27363</c:v>
                </c:pt>
              </c:numCache>
            </c:numRef>
          </c:val>
        </c:ser>
        <c:dLbls>
          <c:showLegendKey val="0"/>
          <c:showVal val="1"/>
          <c:showCatName val="0"/>
          <c:showSerName val="0"/>
          <c:showPercent val="0"/>
          <c:showBubbleSize val="0"/>
        </c:dLbls>
        <c:gapWidth val="246"/>
        <c:overlap val="-28"/>
        <c:axId val="140566576"/>
        <c:axId val="518054289"/>
      </c:barChart>
      <c:catAx>
        <c:axId val="140566576"/>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518054289"/>
        <c:crosses val="autoZero"/>
        <c:auto val="1"/>
        <c:lblAlgn val="ctr"/>
        <c:lblOffset val="100"/>
        <c:noMultiLvlLbl val="0"/>
      </c:catAx>
      <c:valAx>
        <c:axId val="518054289"/>
        <c:scaling>
          <c:orientation val="minMax"/>
        </c:scaling>
        <c:delete val="0"/>
        <c:axPos val="l"/>
        <c:majorGridlines>
          <c:spPr>
            <a:ln w="9525" cap="flat" cmpd="sng" algn="ctr">
              <a:solidFill>
                <a:sysClr val="window" lastClr="FFFFFF">
                  <a:lumMod val="90200"/>
                </a:sys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黑体" panose="02010609060101010101" charset="-122"/>
                <a:ea typeface="黑体" panose="02010609060101010101" charset="-122"/>
                <a:cs typeface="黑体" panose="02010609060101010101" charset="-122"/>
                <a:sym typeface="黑体" panose="02010609060101010101" charset="-122"/>
              </a:defRPr>
            </a:pPr>
          </a:p>
        </c:txPr>
        <c:crossAx val="14056657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egendEntry>
        <c:idx val="1"/>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黑体" panose="02010609060101010101" charset="-122"/>
              <a:ea typeface="黑体" panose="02010609060101010101" charset="-122"/>
              <a:cs typeface="黑体" panose="02010609060101010101" charset="-122"/>
              <a:sym typeface="黑体" panose="02010609060101010101" charset="-122"/>
            </a:defRPr>
          </a:pPr>
        </a:p>
      </c:txPr>
    </c:legend>
    <c:plotVisOnly val="1"/>
    <c:dispBlanksAs val="gap"/>
    <c:showDLblsOverMax val="0"/>
    <c:extLst>
      <c:ext uri="{0b15fc19-7d7d-44ad-8c2d-2c3a37ce22c3}">
        <chartProps xmlns="https://web.wps.cn/et/2018/main" chartId="{7194bcff-22ab-4395-92d8-fc1b8e86333f}"/>
      </c:ext>
    </c:extLst>
  </c:chart>
  <c:spPr>
    <a:solidFill>
      <a:sysClr val="window" lastClr="FFFFFF"/>
    </a:solidFill>
    <a:ln w="9525" cap="flat" cmpd="sng" algn="ctr">
      <a:no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55">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0">
      <cs:styleClr val="auto"/>
    </cs:fillRef>
    <cs:effectRef idx="0"/>
    <cs:fontRef idx="minor">
      <a:sysClr val="windowText" lastClr="000000"/>
    </cs:fontRef>
    <cs:spPr>
      <a:ln w="28575" cap="rnd">
        <a:solidFill>
          <a:schemeClr val="phClr"/>
        </a:solidFill>
        <a:round/>
      </a:ln>
      <a:effectLst/>
    </cs:spPr>
  </cs:dataPointLine>
  <cs:dataPointMarker>
    <cs:lnRef idx="0">
      <cs:styleClr val="auto"/>
    </cs:lnRef>
    <cs:fillRef idx="1">
      <cs:styleClr val="auto"/>
    </cs:fillRef>
    <cs:effectRef idx="0"/>
    <cs:fontRef idx="minor">
      <a:sysClr val="windowText" lastClr="000000"/>
    </cs:fontRef>
    <cs:spPr>
      <a:ln w="9525">
        <a:solidFill>
          <a:schemeClr val="phClr"/>
        </a:solidFill>
      </a:ln>
      <a:effectLst/>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9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ln w="19050">
        <a:solidFill>
          <a:sysClr val="window" lastClr="FFFFFF"/>
        </a:solidFill>
      </a:ln>
    </cs:spPr>
  </cs:dataPoint>
  <cs:dataPoint3D>
    <cs:lnRef idx="0"/>
    <cs:fillRef idx="1">
      <cs:styleClr val="auto"/>
    </cs:fillRef>
    <cs:effectRef idx="0"/>
    <cs:fontRef idx="minor">
      <a:sysClr val="windowText" lastClr="000000"/>
    </cs:fontRef>
    <cs:spPr>
      <a:ln w="25400">
        <a:solidFill>
          <a:sysClr val="window" lastClr="FFFFFF"/>
        </a:solidFill>
      </a:ln>
    </cs:spPr>
  </cs:dataPoint3D>
  <cs:dataPointLine>
    <cs:lnRef idx="0">
      <cs:styleClr val="auto"/>
    </cs:lnRef>
    <cs:fillRef idx="0"/>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9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ln w="19050">
        <a:solidFill>
          <a:sysClr val="window" lastClr="FFFFFF"/>
        </a:solidFill>
      </a:ln>
    </cs:spPr>
  </cs:dataPoint>
  <cs:dataPoint3D>
    <cs:lnRef idx="0"/>
    <cs:fillRef idx="1">
      <cs:styleClr val="auto"/>
    </cs:fillRef>
    <cs:effectRef idx="0"/>
    <cs:fontRef idx="minor">
      <a:sysClr val="windowText" lastClr="000000"/>
    </cs:fontRef>
    <cs:spPr>
      <a:ln w="25400">
        <a:solidFill>
          <a:sysClr val="window" lastClr="FFFFFF"/>
        </a:solidFill>
      </a:ln>
    </cs:spPr>
  </cs:dataPoint3D>
  <cs:dataPointLine>
    <cs:lnRef idx="0">
      <cs:styleClr val="auto"/>
    </cs:lnRef>
    <cs:fillRef idx="0"/>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687fb42b-4955-405b-8cb0-fbd83c8d80df</errorID>
      <errorWord>基本实现现代化</errorWord>
      <group>L1_Political</group>
      <groupName>政治性问题</groupName>
      <ability>L2_Keyword</ability>
      <abilityName>固定表述</abilityName>
      <candidateList>
        <item>基本实现社会主义现代化</item>
      </candidateList>
      <explain>此处内容疑似含有固定表述相关错误，建议核查。</explain>
      <paraID>33731852</paraID>
      <start>34</start>
      <end>41</end>
      <status>unmodified</status>
      <modifiedWord/>
      <trackRevisions>false</trackRevisions>
    </reviewItem>
    <reviewItem>
      <errorID>f4df0b04-adc2-43bc-a483-d6d5bedeee7e</errorID>
      <errorWord>，</errorWord>
      <group>L1_Punc</group>
      <groupName>标点问题</groupName>
      <ability>L2_Punc</ability>
      <abilityName>标点符号检查</abilityName>
      <candidateList>
        <item>”，</item>
      </candidateList>
      <explain/>
      <paraID> 2AEB618</paraID>
      <start>85</start>
      <end>86</end>
      <status>unmodified</status>
      <modifiedWord/>
      <trackRevisions>false</trackRevisions>
    </reviewItem>
    <reviewItem>
      <errorID>728e5566-08bf-4119-8f2a-545eaac32409</errorID>
      <errorWord>”</errorWord>
      <group>L1_Punc</group>
      <groupName>标点问题</groupName>
      <ability>L2_Punc</ability>
      <abilityName>标点符号检查</abilityName>
      <candidateList>
        <item/>
      </candidateList>
      <explain/>
      <paraID> 2AEB618</paraID>
      <start>101</start>
      <end>102</end>
      <status>unmodified</status>
      <modifiedWord/>
      <trackRevisions>false</trackRevisions>
    </reviewItem>
    <reviewItem>
      <errorID>00638f43-7f7f-4ec5-97a5-41e40379da7d</errorID>
      <errorWord>基层</errorWord>
      <group>L1_Word</group>
      <groupName>字词问题</groupName>
      <ability>L2_Typo</ability>
      <abilityName>字词错误</abilityName>
      <candidateList>
        <item>县域</item>
      </candidateList>
      <explain/>
      <paraID> 2AEB618</paraID>
      <start>270</start>
      <end>272</end>
      <status>unmodified</status>
      <modifiedWord/>
      <trackRevisions>false</trackRevisions>
    </reviewItem>
    <reviewItem>
      <errorID>2a047e28-5f1a-4652-8dc4-932b17bf85d2</errorID>
      <errorWord>。</errorWord>
      <group>L1_Punc</group>
      <groupName>标点问题</groupName>
      <ability>L2_Punc</ability>
      <abilityName>标点符号检查</abilityName>
      <candidateList>
        <item>，</item>
      </candidateList>
      <explain/>
      <paraID>3CEF908C</paraID>
      <start>194</start>
      <end>195</end>
      <status>unmodified</status>
      <modifiedWord/>
      <trackRevisions>false</trackRevisions>
    </reviewItem>
    <reviewItem>
      <errorID>f78c9c78-40a7-4473-83d4-71aa9f9d9734</errorID>
      <errorWord>库</errorWord>
      <group>L1_Word</group>
      <groupName>字词问题</groupName>
      <ability>L2_Typo</ability>
      <abilityName>字词错误</abilityName>
      <candidateList>
        <item>名单</item>
      </candidateList>
      <explain/>
      <paraID>4307DE8E</paraID>
      <start>59</start>
      <end>60</end>
      <status>unmodified</status>
      <modifiedWord/>
      <trackRevisions>false</trackRevisions>
    </reviewItem>
    <reviewItem>
      <errorID>102fb688-8070-462d-b516-1a1121bbcc0e</errorID>
      <errorWord>：</errorWord>
      <group>L1_Format</group>
      <groupName>格式问题</groupName>
      <ability>L2_HalfPunc</ability>
      <abilityName>全半角检查</abilityName>
      <candidateList>
        <item>:</item>
      </candidateList>
      <explain>文本全半角错误。</explain>
      <paraID>56960DF4</paraID>
      <start>31</start>
      <end>32</end>
      <status>unmodified</status>
      <modifiedWord/>
      <trackRevisions>false</trackRevisions>
    </reviewItem>
    <reviewItem>
      <errorID>e44645cf-23b8-4b8e-bf1b-dbd3eeda543f</errorID>
      <errorWord>：</errorWord>
      <group>L1_Format</group>
      <groupName>格式问题</groupName>
      <ability>L2_HalfPunc</ability>
      <abilityName>全半角检查</abilityName>
      <candidateList>
        <item>:</item>
      </candidateList>
      <explain>文本全半角错误。</explain>
      <paraID>56960DF4</paraID>
      <start>36</start>
      <end>37</end>
      <status>unmodified</status>
      <modifiedWord/>
      <trackRevisions>false</trackRevisions>
    </reviewItem>
    <reviewItem>
      <errorID>8da740db-3cc0-41b0-9524-fb1fc9c6a5db</errorID>
      <errorWord>提升</errorWord>
      <group>L1_Grammar</group>
      <groupName>语法问题</groupName>
      <ability>L2_Grammar</ability>
      <abilityName>语法错误</abilityName>
      <candidateList>
        <item>不断提升</item>
      </candidateList>
      <explain/>
      <paraID>56960DF4</paraID>
      <start>214</start>
      <end>216</end>
      <status>unmodified</status>
      <modifiedWord/>
      <trackRevisions>false</trackRevisions>
    </reviewItem>
    <reviewItem>
      <errorID>354278cc-b4c6-4f3e-9a4c-8544a0b93ad8</errorID>
      <errorWord>，</errorWord>
      <group>L1_Grammar</group>
      <groupName>语法问题</groupName>
      <ability>L2_Grammar</ability>
      <abilityName>语法错误</abilityName>
      <candidateList>
        <item>推进，</item>
      </candidateList>
      <explain/>
      <paraID>503CF1EF</paraID>
      <start>58</start>
      <end>59</end>
      <status>unmodified</status>
      <modifiedWord/>
      <trackRevisions>false</trackRevisions>
    </reviewItem>
    <reviewItem>
      <errorID>95ec5e70-a5b4-47d8-bc8f-b4183e5a30a0</errorID>
      <errorWord>亟需</errorWord>
      <group>L1_Word</group>
      <groupName>字词问题</groupName>
      <ability>L2_Typo</ability>
      <abilityName>字词错误</abilityName>
      <candidateList>
        <item>亟须</item>
      </candidateList>
      <explain/>
      <paraID>36401EFF</paraID>
      <start>106</start>
      <end>108</end>
      <status>unmodified</status>
      <modifiedWord/>
      <trackRevisions>false</trackRevisions>
    </reviewItem>
    <reviewItem>
      <errorID>b781d293-827c-44cf-a9f3-a7202511ef30</errorID>
      <errorWord>全球影响力</errorWord>
      <group>L1_Political</group>
      <groupName>政治性问题</groupName>
      <ability>L2_Keyword</ability>
      <abilityName>固定表述</abilityName>
      <candidateList>
        <item>国际影响力</item>
      </candidateList>
      <explain>此处内容疑似含有固定表述相关错误，建议核查。</explain>
      <paraID>4E7EC60F</paraID>
      <start>121</start>
      <end>126</end>
      <status>unmodified</status>
      <modifiedWord/>
      <trackRevisions>false</trackRevisions>
    </reviewItem>
    <reviewItem>
      <errorID>c815a935-7d26-480c-aa79-45eb90188ee0</errorID>
      <errorWord>全省、全市</errorWord>
      <group>L1_Grammar</group>
      <groupName>语法问题</groupName>
      <ability>L2_Grammar</ability>
      <abilityName>语法错误</abilityName>
      <candidateList>
        <item>全省</item>
      </candidateList>
      <explain/>
      <paraID>74DE29F7</paraID>
      <start>14</start>
      <end>19</end>
      <status>unmodified</status>
      <modifiedWord/>
      <trackRevisions>false</trackRevisions>
    </reviewItem>
    <reviewItem>
      <errorID>f7ed6af6-f9b1-4417-8dd1-5f7a6edff309</errorID>
      <errorWord>优化</errorWord>
      <group>L1_Word</group>
      <groupName>字词问题</groupName>
      <ability>L2_Typo</ability>
      <abilityName>字词错误</abilityName>
      <candidateList>
        <item>提升</item>
      </candidateList>
      <explain/>
      <paraID>1475C0E2</paraID>
      <start>59</start>
      <end>61</end>
      <status>unmodified</status>
      <modifiedWord/>
      <trackRevisions>false</trackRevisions>
    </reviewItem>
    <reviewItem>
      <errorID>bc1ff1ab-ac9f-4445-84f1-4c41ba929ace</errorID>
      <errorWord>创新性转化</errorWord>
      <group>L1_Political</group>
      <groupName>政治性问题</groupName>
      <ability>L2_Keyword</ability>
      <abilityName>固定表述</abilityName>
      <candidateList>
        <item>创造性转化</item>
      </candidateList>
      <explain>词汇“创造性转化”在特定场景下为固定表述形式，请确认此处的“创新性转化”是否存在不当。</explain>
      <paraID>3E2BDAE0</paraID>
      <start>99</start>
      <end>104</end>
      <status>unmodified</status>
      <modifiedWord/>
      <trackRevisions>false</trackRevisions>
    </reviewItem>
    <reviewItem>
      <errorID>e435efe1-58f3-4fb9-ac5d-4824b2cb6b3d</errorID>
      <errorWord>。</errorWord>
      <group>L1_Punc</group>
      <groupName>标点问题</groupName>
      <ability>L2_Punc</ability>
      <abilityName>标点符号检查</abilityName>
      <candidateList>
        <item>，</item>
      </candidateList>
      <explain/>
      <paraID>279CB63C</paraID>
      <start>19</start>
      <end>20</end>
      <status>unmodified</status>
      <modifiedWord/>
      <trackRevisions>false</trackRevisions>
    </reviewItem>
    <reviewItem>
      <errorID>12fcbd4f-e464-4967-bea0-06e34e09ceed</errorID>
      <errorWord>。</errorWord>
      <group>L1_Punc</group>
      <groupName>标点问题</groupName>
      <ability>L2_Punc</ability>
      <abilityName>标点符号检查</abilityName>
      <candidateList>
        <item>，</item>
      </candidateList>
      <explain/>
      <paraID>2A201DDE</paraID>
      <start>31</start>
      <end>32</end>
      <status>unmodified</status>
      <modifiedWord/>
      <trackRevisions>false</trackRevisions>
    </reviewItem>
    <reviewItem>
      <errorID>ed3dd6cf-4d41-434c-aec0-f476cd59657e</errorID>
      <errorWord>。</errorWord>
      <group>L1_Punc</group>
      <groupName>标点问题</groupName>
      <ability>L2_Punc</ability>
      <abilityName>标点符号检查</abilityName>
      <candidateList>
        <item>，</item>
      </candidateList>
      <explain/>
      <paraID>78076DCA</paraID>
      <start>91</start>
      <end>92</end>
      <status>unmodified</status>
      <modifiedWord/>
      <trackRevisions>false</trackRevisions>
    </reviewItem>
    <reviewItem>
      <errorID>6dd9d107-1f39-4793-a4eb-4a22bf056ee6</errorID>
      <errorWord>。</errorWord>
      <group>L1_Punc</group>
      <groupName>标点问题</groupName>
      <ability>L2_Punc</ability>
      <abilityName>标点符号检查</abilityName>
      <candidateList>
        <item>，</item>
      </candidateList>
      <explain/>
      <paraID> A2DF058</paraID>
      <start>20</start>
      <end>21</end>
      <status>unmodified</status>
      <modifiedWord/>
      <trackRevisions>false</trackRevisions>
    </reviewItem>
    <reviewItem>
      <errorID>d9b50fca-cdf5-4120-b903-83747e0f3b5d</errorID>
      <errorWord>专精特新和“小巨人”企业</errorWord>
      <group>L1_Political</group>
      <groupName>政治性问题</groupName>
      <ability>L2_Keyword</ability>
      <abilityName>固定表述</abilityName>
      <candidateList>
        <item>专精特新“小巨人”企业</item>
      </candidateList>
      <explain>词汇“专精特新“小巨人”企业”在特定场景下为固定表述形式，请确认此处的“专精特新和“小巨人”企业”是否存在不当。</explain>
      <paraID> A2DF058</paraID>
      <start>161</start>
      <end>173</end>
      <status>unmodified</status>
      <modifiedWord/>
      <trackRevisions>false</trackRevisions>
    </reviewItem>
    <reviewItem>
      <errorID>d7460af9-5f61-4ce0-ba66-2d8f9f1f579a</errorID>
      <errorWord>。</errorWord>
      <group>L1_Punc</group>
      <groupName>标点问题</groupName>
      <ability>L2_Punc</ability>
      <abilityName>标点符号检查</abilityName>
      <candidateList>
        <item>，</item>
      </candidateList>
      <explain/>
      <paraID> A2DF058</paraID>
      <start>211</start>
      <end>212</end>
      <status>unmodified</status>
      <modifiedWord/>
      <trackRevisions>false</trackRevisions>
    </reviewItem>
    <reviewItem>
      <errorID>b95c8493-bcaa-4d4f-8f0c-614b50f8d8a3</errorID>
      <errorWord>文化化</errorWord>
      <group>L1_Word</group>
      <groupName>字词问题</groupName>
      <ability>L2_Typo</ability>
      <abilityName>字词错误</abilityName>
      <candidateList>
        <item>文化</item>
      </candidateList>
      <explain/>
      <paraID>61359381</paraID>
      <start>6</start>
      <end>9</end>
      <status>unmodified</status>
      <modifiedWord/>
      <trackRevisions>false</trackRevisions>
    </reviewItem>
    <reviewItem>
      <errorID>e8118d9d-866a-4b1b-93ac-20f9beee1f2b</errorID>
      <errorWord>。</errorWord>
      <group>L1_Punc</group>
      <groupName>标点问题</groupName>
      <ability>L2_Punc</ability>
      <abilityName>标点符号检查</abilityName>
      <candidateList>
        <item>，</item>
      </candidateList>
      <explain/>
      <paraID>61359381</paraID>
      <start>98</start>
      <end>99</end>
      <status>unmodified</status>
      <modifiedWord/>
      <trackRevisions>false</trackRevisions>
    </reviewItem>
    <reviewItem>
      <errorID>67f94092-e223-4e4c-a687-3d4e4f525b8a</errorID>
      <errorWord>。</errorWord>
      <group>L1_Punc</group>
      <groupName>标点问题</groupName>
      <ability>L2_Punc</ability>
      <abilityName>标点符号检查</abilityName>
      <candidateList>
        <item>，</item>
      </candidateList>
      <explain/>
      <paraID>61359381</paraID>
      <start>272</start>
      <end>273</end>
      <status>unmodified</status>
      <modifiedWord/>
      <trackRevisions>false</trackRevisions>
    </reviewItem>
    <reviewItem>
      <errorID>113010c8-d757-44c7-b09e-33b66d2e60ea</errorID>
      <errorWord>创</errorWord>
      <group>L1_Word</group>
      <groupName>字词问题</groupName>
      <ability>L2_Typo</ability>
      <abilityName>字词错误</abilityName>
      <candidateList>
        <item>创建</item>
      </candidateList>
      <explain/>
      <paraID>7A48E087</paraID>
      <start>138</start>
      <end>139</end>
      <status>unmodified</status>
      <modifiedWord/>
      <trackRevisions>false</trackRevisions>
    </reviewItem>
    <reviewItem>
      <errorID>773c905d-a9a7-4d37-a893-2fcb5dbaf56a</errorID>
      <errorWord>步伐</errorWord>
      <group>L1_Word</group>
      <groupName>字词问题</groupName>
      <ability>L2_Typo</ability>
      <abilityName>字词错误</abilityName>
      <candidateList>
        <item>的步伐</item>
      </candidateList>
      <explain/>
      <paraID>7A48E087</paraID>
      <start>144</start>
      <end>146</end>
      <status>unmodified</status>
      <modifiedWord/>
      <trackRevisions>false</trackRevisions>
    </reviewItem>
    <reviewItem>
      <errorID>65916a30-60e0-4644-adc4-343a0b3c7670</errorID>
      <errorWord>走向</errorWord>
      <group>L1_Word</group>
      <groupName>字词问题</groupName>
      <ability>L2_Typo</ability>
      <abilityName>字词错误</abilityName>
      <candidateList>
        <item>向</item>
      </candidateList>
      <explain/>
      <paraID>7A48E087</paraID>
      <start>234</start>
      <end>236</end>
      <status>unmodified</status>
      <modifiedWord/>
      <trackRevisions>false</trackRevisions>
    </reviewItem>
    <reviewItem>
      <errorID>ed7981ab-6927-4da7-8a1b-216007de6ce6</errorID>
      <errorWord>，</errorWord>
      <group>L1_Grammar</group>
      <groupName>语法问题</groupName>
      <ability>L2_Grammar</ability>
      <abilityName>语法错误</abilityName>
      <candidateList>
        <item>发展，</item>
      </candidateList>
      <explain/>
      <paraID>7A48E087</paraID>
      <start>249</start>
      <end>250</end>
      <status>unmodified</status>
      <modifiedWord/>
      <trackRevisions>false</trackRevisions>
    </reviewItem>
    <reviewItem>
      <errorID>6724868f-ec4d-4b3e-bffe-1193676fdae8</errorID>
      <errorWord>市级</errorWord>
      <group>L1_Word</group>
      <groupName>字词问题</groupName>
      <ability>L2_Typo</ability>
      <abilityName>字词错误</abilityName>
      <candidateList>
        <item>市集</item>
      </candidateList>
      <explain/>
      <paraID>2BF8594D</paraID>
      <start>152</start>
      <end>154</end>
      <status>unmodified</status>
      <modifiedWord/>
      <trackRevisions>false</trackRevisions>
    </reviewItem>
    <reviewItem>
      <errorID>ed157d79-5441-453c-9922-08d91b5607a0</errorID>
      <errorWord>陶瓷快</errorWord>
      <group>L1_Word</group>
      <groupName>字词问题</groupName>
      <ability>L2_Typo</ability>
      <abilityName>字词错误</abilityName>
      <candidateList>
        <item>陶瓷块</item>
      </candidateList>
      <explain/>
      <paraID>2BF8594D</paraID>
      <start>234</start>
      <end>237</end>
      <status>unmodified</status>
      <modifiedWord/>
      <trackRevisions>false</trackRevisions>
    </reviewItem>
    <reviewItem>
      <errorID>45c303a5-ab38-4beb-8a2e-7dfc5a29cf79</errorID>
      <errorWord>，</errorWord>
      <group>L1_Punc</group>
      <groupName>标点问题</groupName>
      <ability>L2_Punc</ability>
      <abilityName>标点符号检查</abilityName>
      <candidateList>
        <item>。</item>
      </candidateList>
      <explain/>
      <paraID>30F37913</paraID>
      <start>45</start>
      <end>46</end>
      <status>unmodified</status>
      <modifiedWord/>
      <trackRevisions>false</trackRevisions>
    </reviewItem>
    <reviewItem>
      <errorID>66a633c1-f110-4283-ba44-ed1cd508d6f1</errorID>
      <errorWord>深度</errorWord>
      <group>L1_Word</group>
      <groupName>字词问题</groupName>
      <ability>L2_Typo</ability>
      <abilityName>字词错误</abilityName>
      <candidateList>
        <item>的深度</item>
      </candidateList>
      <explain/>
      <paraID>37098ADA</paraID>
      <start>20</start>
      <end>22</end>
      <status>unmodified</status>
      <modifiedWord/>
      <trackRevisions>false</trackRevisions>
    </reviewItem>
    <reviewItem>
      <errorID>cd0b7e5f-3678-4b3b-b930-58a76b7f013e</errorID>
      <errorWord>、</errorWord>
      <group>L1_Grammar</group>
      <groupName>语法问题</groupName>
      <ability>L2_Grammar</ability>
      <abilityName>语法错误</abilityName>
      <candidateList>
        <item>建设项目、</item>
      </candidateList>
      <explain/>
      <paraID> AFFE58A</paraID>
      <start>47</start>
      <end>48</end>
      <status>unmodified</status>
      <modifiedWord/>
      <trackRevisions>false</trackRevisions>
    </reviewItem>
    <reviewItem>
      <errorID>ac2d3ffc-989f-4ce1-9162-e849f4d1afe7</errorID>
      <errorWord>项目建设</errorWord>
      <group>L1_Grammar</group>
      <groupName>语法问题</groupName>
      <ability>L2_Grammar</ability>
      <abilityName>语法错误</abilityName>
      <candidateList>
        <item>项目</item>
      </candidateList>
      <explain/>
      <paraID>75ADFB21</paraID>
      <start>94</start>
      <end>98</end>
      <status>unmodified</status>
      <modifiedWord/>
      <trackRevisions>false</trackRevisions>
    </reviewItem>
    <reviewItem>
      <errorID>979165dc-02c7-4eb7-986c-b158898f1d0f</errorID>
      <errorWord>。</errorWord>
      <group>L1_Grammar</group>
      <groupName>语法问题</groupName>
      <ability>L2_Grammar</ability>
      <abilityName>语法错误</abilityName>
      <candidateList>
        <item>建设。</item>
      </candidateList>
      <explain/>
      <paraID>77922E6F</paraID>
      <start>40</start>
      <end>41</end>
      <status>unmodified</status>
      <modifiedWord/>
      <trackRevisions>false</trackRevisions>
    </reviewItem>
    <reviewItem>
      <errorID>b9433675-735e-41b7-b305-19bac32888d9</errorID>
      <errorWord>，</errorWord>
      <group>L1_Grammar</group>
      <groupName>语法问题</groupName>
      <ability>L2_Grammar</ability>
      <abilityName>语法错误</abilityName>
      <candidateList>
        <item>工程，</item>
      </candidateList>
      <explain/>
      <paraID> 977DBE0</paraID>
      <start>20</start>
      <end>21</end>
      <status>unmodified</status>
      <modifiedWord/>
      <trackRevisions>false</trackRevisions>
    </reviewItem>
    <reviewItem>
      <errorID>331e3050-8119-4bce-9382-c4ecd14462ab</errorID>
      <errorWord>深耕</errorWord>
      <group>L1_Punc</group>
      <groupName>标点问题</groupName>
      <ability>L2_Punc</ability>
      <abilityName>标点符号检查</abilityName>
      <candidateList>
        <item>，深耕</item>
      </candidateList>
      <explain/>
      <paraID>7D1E1187</paraID>
      <start>129</start>
      <end>131</end>
      <status>unmodified</status>
      <modifiedWord/>
      <trackRevisions>false</trackRevisions>
    </reviewItem>
    <reviewItem>
      <errorID>4c61f2ba-dcd2-4617-b46a-8830e5c26b5f</errorID>
      <errorWord>，</errorWord>
      <group>L1_Punc</group>
      <groupName>标点问题</groupName>
      <ability>L2_Punc</ability>
      <abilityName>标点符号检查</abilityName>
      <candidateList>
        <item>。</item>
      </candidateList>
      <explain/>
      <paraID>2DAE4EF5</paraID>
      <start>51</start>
      <end>52</end>
      <status>unmodified</status>
      <modifiedWord/>
      <trackRevisions>false</trackRevisions>
    </reviewItem>
    <reviewItem>
      <errorID>1b9505ef-660c-47c5-9232-7bb311f4cf09</errorID>
      <errorWord>，</errorWord>
      <group>L1_Punc</group>
      <groupName>标点问题</groupName>
      <ability>L2_Punc</ability>
      <abilityName>标点符号检查</abilityName>
      <candidateList>
        <item>。</item>
      </candidateList>
      <explain/>
      <paraID>2DAE4EF5</paraID>
      <start>127</start>
      <end>128</end>
      <status>unmodified</status>
      <modifiedWord/>
      <trackRevisions>false</trackRevisions>
    </reviewItem>
    <reviewItem>
      <errorID>6d3e8eb0-7d72-4df4-9d1a-1a9711633155</errorID>
      <errorWord>、</errorWord>
      <group>L1_Grammar</group>
      <groupName>语法问题</groupName>
      <ability>L2_Grammar</ability>
      <abilityName>语法错误</abilityName>
      <candidateList>
        <item>建设、</item>
      </candidateList>
      <explain/>
      <paraID>79FD539F</paraID>
      <start>47</start>
      <end>48</end>
      <status>unmodified</status>
      <modifiedWord/>
      <trackRevisions>false</trackRevisions>
    </reviewItem>
    <reviewItem>
      <errorID>0476f7a4-0ebe-4d00-913a-843596e23a6e</errorID>
      <errorWord>产业</errorWord>
      <group>L1_Grammar</group>
      <groupName>语法问题</groupName>
      <ability>L2_Grammar</ability>
      <abilityName>语法错误</abilityName>
      <candidateList>
        <item>地区的产业</item>
      </candidateList>
      <explain/>
      <paraID>79FD539F</paraID>
      <start>107</start>
      <end>109</end>
      <status>unmodified</status>
      <modifiedWord/>
      <trackRevisions>false</trackRevisions>
    </reviewItem>
    <reviewItem>
      <errorID>79e300a4-3fa5-4377-8eef-8c2f80017562</errorID>
      <errorWord>产业链条</errorWord>
      <group>L1_Word</group>
      <groupName>字词问题</groupName>
      <ability>L2_Typo</ability>
      <abilityName>字词错误</abilityName>
      <candidateList>
        <item>产业链</item>
      </candidateList>
      <explain/>
      <paraID>6B9C44F7</paraID>
      <start>120</start>
      <end>124</end>
      <status>unmodified</status>
      <modifiedWord/>
      <trackRevisions>false</trackRevisions>
    </reviewItem>
    <reviewItem>
      <errorID>f448b478-2042-4b31-a947-edfaf27d8d9f</errorID>
      <errorWord>；</errorWord>
      <group>L1_Punc</group>
      <groupName>标点问题</groupName>
      <ability>L2_Punc</ability>
      <abilityName>标点符号检查</abilityName>
      <candidateList>
        <item>。</item>
      </candidateList>
      <explain/>
      <paraID>56D9EA00</paraID>
      <start>50</start>
      <end>51</end>
      <status>unmodified</status>
      <modifiedWord/>
      <trackRevisions>false</trackRevisions>
    </reviewItem>
    <reviewItem>
      <errorID>9da90dc7-dda1-4493-aa52-4020f7021b87</errorID>
      <errorWord>项目建设</errorWord>
      <group>L1_Grammar</group>
      <groupName>语法问题</groupName>
      <ability>L2_Grammar</ability>
      <abilityName>语法错误</abilityName>
      <candidateList>
        <item>项目</item>
      </candidateList>
      <explain/>
      <paraID>51B6C592</paraID>
      <start>84</start>
      <end>88</end>
      <status>unmodified</status>
      <modifiedWord/>
      <trackRevisions>false</trackRevisions>
    </reviewItem>
    <reviewItem>
      <errorID>8f39f085-0bfc-4920-904e-13599ee601d7</errorID>
      <errorWord>向</errorWord>
      <group>L1_Word</group>
      <groupName>字词问题</groupName>
      <ability>L2_Typo</ability>
      <abilityName>字词错误</abilityName>
      <candidateList>
        <item>在</item>
      </candidateList>
      <explain/>
      <paraID>575F6068</paraID>
      <start>7</start>
      <end>8</end>
      <status>unmodified</status>
      <modifiedWord/>
      <trackRevisions>false</trackRevisions>
    </reviewItem>
    <reviewItem>
      <errorID>313887eb-5e24-40e6-9eab-af75dacc34a9</errorID>
      <errorWord>延伸</errorWord>
      <group>L1_Word</group>
      <groupName>字词问题</groupName>
      <ability>L2_Typo</ability>
      <abilityName>字词错误</abilityName>
      <candidateList>
        <item>的应用</item>
      </candidateList>
      <explain/>
      <paraID>575F6068</paraID>
      <start>20</start>
      <end>22</end>
      <status>unmodified</status>
      <modifiedWord/>
      <trackRevisions>false</trackRevisions>
    </reviewItem>
    <reviewItem>
      <errorID>72be7aed-5d2c-41b3-aa5b-62d8988c6dc9</errorID>
      <errorWord>粘结剂</errorWord>
      <group>L1_Word</group>
      <groupName>字词问题</groupName>
      <ability>L2_Typo</ability>
      <abilityName>字词错误</abilityName>
      <candidateList>
        <item>黏结剂</item>
      </candidateList>
      <explain/>
      <paraID>1E6154C2</paraID>
      <start>191</start>
      <end>194</end>
      <status>unmodified</status>
      <modifiedWord/>
      <trackRevisions>false</trackRevisions>
    </reviewItem>
    <reviewItem>
      <errorID>f3a1da95-a537-4700-a1c6-8a0d76280af3</errorID>
      <errorWord>转换</errorWord>
      <group>L1_Word</group>
      <groupName>字词问题</groupName>
      <ability>L2_Typo</ability>
      <abilityName>字词错误</abilityName>
      <candidateList>
        <item>转化</item>
      </candidateList>
      <explain/>
      <paraID>6DCFC613</paraID>
      <start>96</start>
      <end>98</end>
      <status>unmodified</status>
      <modifiedWord/>
      <trackRevisions>false</trackRevisions>
    </reviewItem>
    <reviewItem>
      <errorID>93d2360d-e121-4a58-8d53-21734f380f74</errorID>
      <errorWord>。</errorWord>
      <group>L1_Grammar</group>
      <groupName>语法问题</groupName>
      <ability>L2_Grammar</ability>
      <abilityName>语法错误</abilityName>
      <candidateList>
        <item>的模式。</item>
      </candidateList>
      <explain/>
      <paraID>6DCFC613</paraID>
      <start>103</start>
      <end>104</end>
      <status>unmodified</status>
      <modifiedWord/>
      <trackRevisions>false</trackRevisions>
    </reviewItem>
    <reviewItem>
      <errorID>b045cfaf-bfec-4941-a4fa-a7561d51031e</errorID>
      <errorWord>科技型龙头企业</errorWord>
      <group>L1_Political</group>
      <groupName>政治性问题</groupName>
      <ability>L2_Keyword</ability>
      <abilityName>固定表述</abilityName>
      <candidateList>
        <item>科技型骨干企业</item>
      </candidateList>
      <explain>词汇“科技型骨干企业”在特定场景下为固定表述形式，请确认此处的“科技型龙头企业”是否存在不当。</explain>
      <paraID> 162BC60</paraID>
      <start>19</start>
      <end>26</end>
      <status>unmodified</status>
      <modifiedWord/>
      <trackRevisions>false</trackRevisions>
    </reviewItem>
    <reviewItem>
      <errorID>9c36a08c-2f32-4faa-9709-eb44426df346</errorID>
      <errorWord>关键环节</errorWord>
      <group>L1_Punc</group>
      <groupName>标点问题</groupName>
      <ability>L2_Punc</ability>
      <abilityName>标点符号检查</abilityName>
      <candidateList>
        <item>关键环节。</item>
      </candidateList>
      <explain/>
      <paraID>56734D07</paraID>
      <start>141</start>
      <end>145</end>
      <status>unmodified</status>
      <modifiedWord/>
      <trackRevisions>false</trackRevisions>
    </reviewItem>
    <reviewItem>
      <errorID>b9eaf5ed-d280-4f29-a1ac-b7619125beab</errorID>
      <errorWord>引入生物医药项目</errorWord>
      <group>L1_Grammar</group>
      <groupName>语法问题</groupName>
      <ability>L2_Grammar</ability>
      <abilityName>语法错误</abilityName>
      <candidateList>
        <item>引入</item>
      </candidateList>
      <explain/>
      <paraID>2A764E02</paraID>
      <start>26</start>
      <end>34</end>
      <status>unmodified</status>
      <modifiedWord/>
      <trackRevisions>false</trackRevisions>
    </reviewItem>
    <reviewItem>
      <errorID>86eeaf59-448c-41a1-8b9f-3dae76b13b47</errorID>
      <errorWord>现代基础设施体系</errorWord>
      <group>L1_Political</group>
      <groupName>政治性问题</groupName>
      <ability>L2_Keyword</ability>
      <abilityName>固定表述</abilityName>
      <candidateList>
        <item>现代化基础设施体系</item>
      </candidateList>
      <explain>词汇“现代化基础设施体系”在特定场景下为固定表述形式，请确认此处的“现代基础设施体系”是否存在不当。</explain>
      <paraID> F99E830</paraID>
      <start>7</start>
      <end>15</end>
      <status>unmodified</status>
      <modifiedWord/>
      <trackRevisions>false</trackRevisions>
    </reviewItem>
    <reviewItem>
      <errorID>74d5ea80-76a7-4fed-81a6-1cf7a4087dfe</errorID>
      <errorWord>建成</errorWord>
      <group>L1_Word</group>
      <groupName>字词问题</groupName>
      <ability>L2_Typo</ability>
      <abilityName>字词错误</abilityName>
      <candidateList>
        <item>推进</item>
      </candidateList>
      <explain/>
      <paraID>356F9D0A</paraID>
      <start>0</start>
      <end>2</end>
      <status>unmodified</status>
      <modifiedWord/>
      <trackRevisions>false</trackRevisions>
    </reviewItem>
    <reviewItem>
      <errorID>78f9ad8e-86ac-4929-90f8-9200bb82dc58</errorID>
      <errorWord>工程</errorWord>
      <group>L1_Grammar</group>
      <groupName>语法问题</groupName>
      <ability>L2_Grammar</ability>
      <abilityName>语法错误</abilityName>
      <candidateList>
        <item>工程建设</item>
      </candidateList>
      <explain/>
      <paraID>356F9D0A</paraID>
      <start>8</start>
      <end>10</end>
      <status>unmodified</status>
      <modifiedWord/>
      <trackRevisions>false</trackRevisions>
    </reviewItem>
    <reviewItem>
      <errorID>d4e03e6d-4094-40fb-a4dc-971656688b76</errorID>
      <errorWord>纳入</errorWord>
      <group>L1_Grammar</group>
      <groupName>语法问题</groupName>
      <ability>L2_Grammar</ability>
      <abilityName>语法错误</abilityName>
      <candidateList>
        <item>并将其纳入</item>
      </candidateList>
      <explain/>
      <paraID>129CBAAF</paraID>
      <start>110</start>
      <end>112</end>
      <status>unmodified</status>
      <modifiedWord/>
      <trackRevisions>false</trackRevisions>
    </reviewItem>
    <reviewItem>
      <errorID>3e65b8ae-8f1a-4c0d-b003-7f7aee7e7851</errorID>
      <errorWord>多式联动</errorWord>
      <group>L1_Knowledge</group>
      <groupName>知识性问题</groupName>
      <ability>L2_Knowledge</ability>
      <abilityName>其他知识</abilityName>
      <candidateList>
        <item>多式联运</item>
      </candidateList>
      <explain/>
      <paraID>37FC64EB</paraID>
      <start>3</start>
      <end>7</end>
      <status>unmodified</status>
      <modifiedWord/>
      <trackRevisions>false</trackRevisions>
    </reviewItem>
    <reviewItem>
      <errorID>24232772-fe60-41ae-9746-cf9d6d749d21</errorID>
      <errorWord>道路</errorWord>
      <group>L1_Word</group>
      <groupName>字词问题</groupName>
      <ability>L2_Typo</ability>
      <abilityName>字词错误</abilityName>
      <candidateList>
        <item>段道路</item>
      </candidateList>
      <explain/>
      <paraID>5C67806F</paraID>
      <start>9</start>
      <end>11</end>
      <status>unmodified</status>
      <modifiedWord/>
      <trackRevisions>false</trackRevisions>
    </reviewItem>
    <reviewItem>
      <errorID>dce32779-c3be-4806-b3c4-4198b9cbb964</errorID>
      <errorWord>项目建设</errorWord>
      <group>L1_Grammar</group>
      <groupName>语法问题</groupName>
      <ability>L2_Grammar</ability>
      <abilityName>语法错误</abilityName>
      <candidateList>
        <item>项目</item>
      </candidateList>
      <explain/>
      <paraID>56D394BA</paraID>
      <start>31</start>
      <end>35</end>
      <status>unmodified</status>
      <modifiedWord/>
      <trackRevisions>false</trackRevisions>
    </reviewItem>
    <reviewItem>
      <errorID>56bbf29f-28b6-4ba5-99f9-4e11d545dbea</errorID>
      <errorWord>；</errorWord>
      <group>L1_Punc</group>
      <groupName>标点问题</groupName>
      <ability>L2_Punc</ability>
      <abilityName>标点符号检查</abilityName>
      <candidateList>
        <item>。</item>
      </candidateList>
      <explain/>
      <paraID>2B78EC6B</paraID>
      <start>33</start>
      <end>34</end>
      <status>unmodified</status>
      <modifiedWord/>
      <trackRevisions>false</trackRevisions>
    </reviewItem>
    <reviewItem>
      <errorID>5fec8092-9079-49e3-88d5-baf91b7d5c73</errorID>
      <errorWord> </errorWord>
      <group>L1_Punc</group>
      <groupName>标点问题</groupName>
      <ability>L2_Punc</ability>
      <abilityName>标点符号检查</abilityName>
      <candidateList>
        <item/>
      </candidateList>
      <explain>此处空格冗余，建议删除。</explain>
      <paraID>6569518E</paraID>
      <start>88</start>
      <end>89</end>
      <status>unmodified</status>
      <modifiedWord/>
      <trackRevisions>false</trackRevisions>
    </reviewItem>
    <reviewItem>
      <errorID>06d68998-3c3d-4e3a-ad66-a4b90a76ec4b</errorID>
      <errorWord>体制改革推进</errorWord>
      <group>L1_Grammar</group>
      <groupName>语法问题</groupName>
      <ability>L2_Grammar</ability>
      <abilityName>语法错误</abilityName>
      <candidateList>
        <item>体制改革</item>
      </candidateList>
      <explain/>
      <paraID> 2F01374</paraID>
      <start>7</start>
      <end>13</end>
      <status>unmodified</status>
      <modifiedWord/>
      <trackRevisions>false</trackRevisions>
    </reviewItem>
    <reviewItem>
      <errorID>e00fe272-4d5a-4282-adc0-d1bb0fcbc3e1</errorID>
      <errorWord>，</errorWord>
      <group>L1_Grammar</group>
      <groupName>语法问题</groupName>
      <ability>L2_Grammar</ability>
      <abilityName>语法错误</abilityName>
      <candidateList>
        <item>之际，</item>
      </candidateList>
      <explain/>
      <paraID>1F3C18FC</paraID>
      <start>21</start>
      <end>22</end>
      <status>unmodified</status>
      <modifiedWord/>
      <trackRevisions>false</trackRevisions>
    </reviewItem>
    <reviewItem>
      <errorID>14f01ae3-e2ca-44a3-b103-52e998f65a23</errorID>
      <errorWord>、</errorWord>
      <group>L1_Grammar</group>
      <groupName>语法问题</groupName>
      <ability>L2_Grammar</ability>
      <abilityName>语法错误</abilityName>
      <candidateList>
        <item>改革、</item>
      </candidateList>
      <explain/>
      <paraID>1F3C18FC</paraID>
      <start>88</start>
      <end>89</end>
      <status>unmodified</status>
      <modifiedWord/>
      <trackRevisions>false</trackRevisions>
    </reviewItem>
    <reviewItem>
      <errorID>0a21e257-241b-4bd7-bc9f-2b6fbb63d2df</errorID>
      <errorWord>。</errorWord>
      <group>L1_Punc</group>
      <groupName>标点问题</groupName>
      <ability>L2_Punc</ability>
      <abilityName>标点符号检查</abilityName>
      <candidateList>
        <item>，</item>
      </candidateList>
      <explain/>
      <paraID>1C480EC7</paraID>
      <start>135</start>
      <end>136</end>
      <status>unmodified</status>
      <modifiedWord/>
      <trackRevisions>false</trackRevisions>
    </reviewItem>
    <reviewItem>
      <errorID>d09b140a-774e-41c4-b6eb-36e48446d43a</errorID>
      <errorWord>，</errorWord>
      <group>L1_Word</group>
      <groupName>字词问题</groupName>
      <ability>L2_Typo</ability>
      <abilityName>字词错误</abilityName>
      <candidateList>
        <item>，在</item>
      </candidateList>
      <explain/>
      <paraID>308EFDF8</paraID>
      <start>60</start>
      <end>61</end>
      <status>unmodified</status>
      <modifiedWord/>
      <trackRevisions>false</trackRevisions>
    </reviewItem>
    <reviewItem>
      <errorID>6188c7bf-ab78-4c9f-bb76-e3d3cf5accea</errorID>
      <errorWord>提升强农惠农富农政策效能</errorWord>
      <group>L1_Political</group>
      <groupName>政治性问题</groupName>
      <ability>L2_Keyword</ability>
      <abilityName>固定表述</abilityName>
      <candidateList>
        <item>提高强农惠农富农政策效能</item>
      </candidateList>
      <explain>词汇“提高强农惠农富农政策效能”在特定场景下为固定表述形式，请确认此处的“提升强农惠农富农政策效能”是否存在不当。</explain>
      <paraID>20DA0529</paraID>
      <start>5</start>
      <end>17</end>
      <status>unmodified</status>
      <modifiedWord/>
      <trackRevisions>false</trackRevisions>
    </reviewItem>
    <reviewItem>
      <errorID>f10da182-10b5-45d6-b764-4eacbbc31e1d</errorID>
      <errorWord>国家5A级景区</errorWord>
      <group>L1_Word</group>
      <groupName>字词问题</groupName>
      <ability>L2_Typo</ability>
      <abilityName>字词错误</abilityName>
      <candidateList>
        <item>国家5A级旅游景区</item>
      </candidateList>
      <explain/>
      <paraID>20738598</paraID>
      <start>60</start>
      <end>67</end>
      <status>unmodified</status>
      <modifiedWord/>
      <trackRevisions>false</trackRevisions>
    </reviewItem>
    <reviewItem>
      <errorID>b1a2f05f-a128-47ea-90d5-3b3779c7e327</errorID>
      <errorWord>一岗双责</errorWord>
      <group>L1_Political</group>
      <groupName>政治性问题</groupName>
      <ability>L2_Keyword</ability>
      <abilityName>固定表述</abilityName>
      <candidateList>
        <item>‘一岗双责’</item>
      </candidateList>
      <explain>注意检查当前固定表述标点是否使用规范。</explain>
      <paraID>4EA143A4</paraID>
      <start>24</start>
      <end>28</end>
      <status>unmodified</status>
      <modifiedWord/>
      <trackRevisions>false</trackRevisions>
    </reviewItem>
    <reviewItem>
      <errorID>0583e608-bf74-4dc9-8343-5cf6c6f2ca87</errorID>
      <errorWord>多层次医疗保险体系</errorWord>
      <group>L1_Political</group>
      <groupName>政治性问题</groupName>
      <ability>L2_Keyword</ability>
      <abilityName>固定表述</abilityName>
      <candidateList>
        <item>多层次医疗保障体系</item>
      </candidateList>
      <explain>词汇“多层次医疗保障体系”在特定场景下为固定表述形式，请确认此处的“多层次医疗保险体系”是否存在不当。</explain>
      <paraID>5E41D374</paraID>
      <start>2</start>
      <end>11</end>
      <status>unmodified</status>
      <modifiedWord/>
      <trackRevisions>false</trackRevisions>
    </reviewItem>
    <reviewItem>
      <errorID>a6badbad-bd2e-4bfb-a706-0840d0439c6b</errorID>
      <errorWord>生育保障制度</errorWord>
      <group>L1_Political</group>
      <groupName>政治性问题</groupName>
      <ability>L2_Keyword</ability>
      <abilityName>固定表述</abilityName>
      <candidateList>
        <item>生育保险制度</item>
      </candidateList>
      <explain>词汇“生育保险制度”在特定场景下为固定表述形式，请确认此处的“生育保障制度”是否存在不当。</explain>
      <paraID>78C49018</paraID>
      <start>2</start>
      <end>8</end>
      <status>unmodified</status>
      <modifiedWord/>
      <trackRevisions>false</trackRevisions>
    </reviewItem>
    <reviewItem>
      <errorID>7f1b6276-bc73-44ab-8807-b979bae41a6f</errorID>
      <errorWord>国家级慢性病综合防控示范区</errorWord>
      <group>L1_Political</group>
      <groupName>政治性问题</groupName>
      <ability>L2_Keyword</ability>
      <abilityName>固定表述</abilityName>
      <candidateList>
        <item>国家慢性病综合防控示范区</item>
      </candidateList>
      <explain>词汇“国家慢性病综合防控示范区”在特定场景下为固定表述形式，请确认此处的“国家级慢性病综合防控示范区”是否存在不当。</explain>
      <paraID>236E65BB</paraID>
      <start>67</start>
      <end>80</end>
      <status>unmodified</status>
      <modifiedWord/>
      <trackRevisions>false</trackRevisions>
    </reviewItem>
    <reviewItem>
      <errorID>0a3d9fbb-98c6-409a-a4dc-670738c43743</errorID>
      <errorWord>中医药科研与创新</errorWord>
      <group>L1_Political</group>
      <groupName>政治性问题</groupName>
      <ability>L2_Keyword</ability>
      <abilityName>固定表述</abilityName>
      <candidateList>
        <item>中医药科技创新</item>
      </candidateList>
      <explain>词汇“中医药科技创新”在特定场景下为固定表述形式，请确认此处的“中医药科研与创新”是否存在不当。</explain>
      <paraID>65893C90</paraID>
      <start>102</start>
      <end>110</end>
      <status>unmodified</status>
      <modifiedWord/>
      <trackRevisions>false</trackRevisions>
    </reviewItem>
    <reviewItem>
      <errorID>31f80b3e-8820-465a-9cc0-eb0533b91b49</errorID>
      <errorWord>公共文化设施体系</errorWord>
      <group>L1_Political</group>
      <groupName>政治性问题</groupName>
      <ability>L2_Keyword</ability>
      <abilityName>固定表述</abilityName>
      <candidateList>
        <item>公共文化服务体系</item>
      </candidateList>
      <explain>词汇“公共文化服务体系”在特定场景下为固定表述形式，请确认此处的“公共文化设施体系”是否存在不当。</explain>
      <paraID>385FF80F</paraID>
      <start>2</start>
      <end>10</end>
      <status>unmodified</status>
      <modifiedWord/>
      <trackRevisions>false</trackRevisions>
    </reviewItem>
    <reviewItem>
      <errorID>96c05f7b-cd95-441d-bce9-fc7d2dbfa830</errorID>
      <errorWord>公共服务的供给</errorWord>
      <group>L1_Political</group>
      <groupName>政治性问题</groupName>
      <ability>L2_Keyword</ability>
      <abilityName>固定表述</abilityName>
      <candidateList>
        <item>公共服务供给</item>
      </candidateList>
      <explain>词汇“公共服务供给”在特定场景下为固定表述形式，请确认此处的“公共服务的供给”是否存在不当。</explain>
      <paraID> 314962A</paraID>
      <start>120</start>
      <end>127</end>
      <status>unmodified</status>
      <modifiedWord/>
      <trackRevisions>false</trackRevisions>
    </reviewItem>
    <reviewItem>
      <errorID>484bed20-6082-4f5e-9fba-a96c3f647363</errorID>
      <errorWord>一岗双责</errorWord>
      <group>L1_Political</group>
      <groupName>政治性问题</groupName>
      <ability>L2_Keyword</ability>
      <abilityName>固定表述</abilityName>
      <candidateList>
        <item>‘一岗双责’</item>
      </candidateList>
      <explain>注意检查当前固定表述标点是否使用规范。</explain>
      <paraID>22D59B86</paraID>
      <start>21</start>
      <end>25</end>
      <status>unmodified</status>
      <modifiedWord/>
      <trackRevisions>false</trackRevisions>
    </reviewItem>
    <reviewItem>
      <errorID>8ccb5475-4ade-416f-8b01-c030e9549d1e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60A57EDC</paraID>
      <start>180</start>
      <end>181</end>
      <status>unmodified</status>
      <modifiedWord/>
      <trackRevisions>false</trackRevisions>
    </reviewItem>
    <reviewItem>
      <errorID>10fb491c-a3e2-4554-a5a6-708b141b6123</errorID>
      <errorWord>应急物资的储备</errorWord>
      <group>L1_Political</group>
      <groupName>政治性问题</groupName>
      <ability>L2_Keyword</ability>
      <abilityName>固定表述</abilityName>
      <candidateList>
        <item>应急物资储备</item>
      </candidateList>
      <explain>词汇“应急物资储备”在特定场景下为固定表述形式，请确认此处的“应急物资的储备”是否存在不当。</explain>
      <paraID> 9208FF0</paraID>
      <start>25</start>
      <end>32</end>
      <status>unmodified</status>
      <modifiedWord/>
      <trackRevisions>false</trackRevisions>
    </reviewItem>
    <reviewItem>
      <errorID>abab2198-dfbc-477b-9ce8-3f226782d2e4</errorID>
      <errorWord>规则</errorWord>
      <group>L1_Grammar</group>
      <groupName>语法问题</groupName>
      <ability>L2_Grammar</ability>
      <abilityName>语法错误</abilityName>
      <candidateList>
        <item>规定</item>
      </candidateList>
      <explain>“执行～规则”搭配不当，建议修改为“执行～规定”。</explain>
      <paraID>1609F55B</paraID>
      <start>87</start>
      <end>89</end>
      <status>unmodified</status>
      <modifiedWord/>
      <trackRevisions>false</trackRevisions>
    </reviewItem>
    <reviewItem>
      <errorID>658792db-6efd-4b3e-9601-91862b67f888</errorID>
      <errorWord>从严治党</errorWord>
      <group>L1_Word</group>
      <groupName>字词问题</groupName>
      <ability>L2_Typo</ability>
      <abilityName>字词错误</abilityName>
      <candidateList>
        <item>全面从严治党</item>
      </candidateList>
      <explain/>
      <paraID>22DB4A17</paraID>
      <start>16</start>
      <end>20</end>
      <status>unmodified</status>
      <modifiedWord/>
      <trackRevisions>false</trackRevisions>
    </reviewItem>
    <reviewItem>
      <errorID>5cfef2af-f8fe-4545-90d9-abafb8b2ed24</errorID>
      <errorWord>不断提升政治判断力、政治领悟力、政治执行力</errorWord>
      <group>L1_Word</group>
      <groupName>字词问题</groupName>
      <ability>L2_Typo</ability>
      <abilityName>字词错误</abilityName>
      <candidateList>
        <item>不断提高政治判断力、政治领悟力、政治执行力</item>
      </candidateList>
      <explain/>
      <paraID>3944570A</paraID>
      <start>81</start>
      <end>102</end>
      <status>unmodified</status>
      <modifiedWord/>
      <trackRevisions>false</trackRevisions>
    </reviewItem>
    <reviewItem>
      <errorID>82164055-9954-4619-8c43-09424f9d70f9</errorID>
      <errorWord>规划法</errorWord>
      <group>L1_Word</group>
      <groupName>字词问题</groupName>
      <ability>L2_Typo</ability>
      <abilityName>字词错误</abilityName>
      <candidateList>
        <item>规划</item>
      </candidateList>
      <explain>❶〈名〉比较全面的长远的发展计划：制订～｜十年～。❷〈动〉做规划：兴修水利问题，应当全面～。</explain>
      <paraID>36F4CCBF</paraID>
      <start>19</start>
      <end>22</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6723C2-D74B-425C-80AF-C8C68D876AAD}">
  <ds:schemaRefs/>
</ds:datastoreItem>
</file>

<file path=customXml/itemProps3.xml><?xml version="1.0" encoding="utf-8"?>
<ds:datastoreItem xmlns:ds="http://schemas.openxmlformats.org/officeDocument/2006/customXml" ds:itemID="{E0F6EA66-02A5-4B4B-A4A6-B5F1305BB973}">
  <ds:schemaRefs/>
</ds:datastoreItem>
</file>

<file path=docProps/app.xml><?xml version="1.0" encoding="utf-8"?>
<Properties xmlns="http://schemas.openxmlformats.org/officeDocument/2006/extended-properties" xmlns:vt="http://schemas.openxmlformats.org/officeDocument/2006/docPropsVTypes">
  <Template>Normal.dotm</Template>
  <Pages>128</Pages>
  <Words>7878</Words>
  <Characters>7982</Characters>
  <Lines>619</Lines>
  <Paragraphs>174</Paragraphs>
  <TotalTime>18</TotalTime>
  <ScaleCrop>false</ScaleCrop>
  <LinksUpToDate>false</LinksUpToDate>
  <CharactersWithSpaces>8414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2025-09-23T02:22:00Z</dcterms:created>
  <dc:creator>wangzhao</dc:creator>
  <cp:lastModifiedBy>轩</cp:lastModifiedBy>
  <cp:lastPrinted>2026-06-17T07:02:32Z</cp:lastPrinted>
  <dcterms:modified xsi:type="dcterms:W3CDTF">2026-06-17T07:10:09Z</dcterms:modified>
  <cp:revision>274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FAAF7F5A4FA245129E016D821BBC2B71_13</vt:lpwstr>
  </property>
  <property fmtid="{D5CDD505-2E9C-101B-9397-08002B2CF9AE}" pid="4" name="KSOTemplateDocerSaveRecord">
    <vt:lpwstr>eyJoZGlkIjoiZmNmNWMwMzM0ODgwMWJlYjU1NGRjMzM1NDBlYmEyNjMiLCJ1c2VySWQiOiI2MjE1NDE4NTAifQ==</vt:lpwstr>
  </property>
</Properties>
</file>