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昌江区交通运输局</w:t>
      </w:r>
      <w:r>
        <w:rPr>
          <w:rFonts w:hint="eastAsia" w:ascii="黑体" w:hAnsi="黑体" w:eastAsia="黑体" w:cs="黑体"/>
          <w:b w:val="0"/>
          <w:bCs w:val="0"/>
          <w:color w:val="333333"/>
          <w:kern w:val="0"/>
          <w:sz w:val="44"/>
          <w:szCs w:val="44"/>
          <w:lang w:eastAsia="zh-CN"/>
        </w:rPr>
        <w:t>2021</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昌江区交通运输局概况</w:t>
      </w:r>
    </w:p>
    <w:p>
      <w:pPr>
        <w:widowControl/>
        <w:spacing w:line="600" w:lineRule="exact"/>
        <w:ind w:firstLine="1280" w:firstLineChars="400"/>
        <w:jc w:val="left"/>
        <w:rPr>
          <w:rFonts w:hint="eastAsia" w:ascii="楷体_GB2312" w:eastAsia="楷体_GB2312"/>
          <w:sz w:val="32"/>
          <w:szCs w:val="30"/>
        </w:rPr>
      </w:pPr>
      <w:r>
        <w:rPr>
          <w:rFonts w:hint="eastAsia" w:ascii="仿宋_GB2312" w:hAnsi="仿宋_GB2312" w:eastAsia="仿宋_GB2312" w:cs="仿宋_GB2312"/>
          <w:b w:val="0"/>
          <w:bCs w:val="0"/>
          <w:sz w:val="32"/>
          <w:szCs w:val="32"/>
        </w:rPr>
        <w:t xml:space="preserve">   </w:t>
      </w:r>
      <w:r>
        <w:rPr>
          <w:rFonts w:hint="eastAsia" w:ascii="楷体_GB2312" w:eastAsia="楷体_GB2312"/>
          <w:sz w:val="32"/>
          <w:szCs w:val="30"/>
        </w:rPr>
        <w:t xml:space="preserve"> 一、部门主要职责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昌江区交通运输局</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2021</w:t>
      </w:r>
      <w:r>
        <w:rPr>
          <w:rFonts w:hint="eastAsia" w:ascii="楷体_GB2312" w:eastAsia="楷体_GB2312"/>
          <w:sz w:val="32"/>
          <w:szCs w:val="30"/>
        </w:rPr>
        <w:t>年部门预算收支情况说明</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楷体_GB2312" w:eastAsia="楷体_GB2312"/>
          <w:sz w:val="32"/>
          <w:szCs w:val="30"/>
        </w:rPr>
        <w:t>二、</w:t>
      </w:r>
      <w:r>
        <w:rPr>
          <w:rFonts w:hint="eastAsia" w:ascii="楷体_GB2312" w:eastAsia="楷体_GB2312"/>
          <w:sz w:val="32"/>
          <w:szCs w:val="30"/>
          <w:lang w:eastAsia="zh-CN"/>
        </w:rPr>
        <w:t>2021</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昌江区交通运输局</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昌江区交通运输局概况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6"/>
        <w:numPr>
          <w:ilvl w:val="0"/>
          <w:numId w:val="1"/>
        </w:numPr>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贯彻执行国家和省有关交通运输的法律法规和政策，拟订有关地方性政策措施。在全区经济社会发展总体规划的框架内，拟订全区公路、水路等行业规划、政策、标准并组织实施。指导公路、水路行业有关体制改革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承担公路、水路运输体系的规划协调工作，在全区经济社会发展总体规划的框架内，组织编制公路、水路运输体系规划，指导公路、水路运输枢纽管理。参加拟订物流业发展战略和规划，拟订有关具体办法并监督实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承担道路、水路运输市场监管责任。组织制定道路、水路运输有关具体办法和运营规范并监督实施。指导城乡客运及有关设施规划和管理工作，指导出租汽车行业工作，负责汽车运输、船舶运输等有关管理工作。负责水上运输的行业管理，承担水上交通安全监管责任。</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负责提出公路、水路固定资产投资规模和方向、区财政性资金安排意见，按区政府规定权限审批、核准全区规划内核年度计划规模内固定资产投资项目。拟订公路、水路有关规定政策并监督实施，提出有关财政、土地、价格等政策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承担公路、水路建设市场监管责任。拟订公路、水路工程建设相关政策、制度和技术标准并监督实施。组织协调公路、水路有关重点工程建设和工程质量、安全生产监督管理工作，指导交通运输基础设施管理和维护，承担有关重要设施的管理和维护。</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指导公路、水路行业安全生产和应急管理工作。按规定组织协调重点物质运输和紧急客货运输。指导交通运输信息化建设，监测分析运行情况，开展相关统计工作，发布有关信息。指导公路、水路行业环境保护和节能减排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（七）承担交通战备及国防动员有关工作。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负责局机关及下属单位人事管理、劳动工资、机构编制管理，指导系统内党的基层组织建设、群团工作、精神文明建设、社会治安综合治理、离退休人员的管理工作。负责区交通系统内国有资产的经营管理，指导交通企业依法自主经营。</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（九）负责公路、水路国际合作，开展与港澳台地区的交流与合作。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（十）负责协调区域内的铁路建设相关工作。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(十一)承办区政府交办的其他事项。</w:t>
      </w:r>
    </w:p>
    <w:p>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ind w:firstLine="640" w:firstLineChars="200"/>
        <w:rPr>
          <w:rFonts w:hint="eastAsia" w:ascii="仿宋" w:hAnsi="仿宋" w:eastAsia="仿宋" w:cs="宋体"/>
          <w:b w:val="0"/>
          <w:bCs w:val="0"/>
          <w:color w:val="333333"/>
          <w:kern w:val="0"/>
          <w:sz w:val="32"/>
          <w:szCs w:val="32"/>
        </w:rPr>
      </w:pPr>
      <w:r>
        <w:rPr>
          <w:rFonts w:hint="eastAsia" w:ascii="仿宋_GB2312" w:hAnsi="仿宋_GB2312" w:eastAsia="仿宋_GB2312" w:cs="仿宋_GB2312"/>
          <w:b w:val="0"/>
          <w:bCs w:val="0"/>
          <w:sz w:val="32"/>
          <w:szCs w:val="32"/>
        </w:rPr>
        <w:t>纳入本套部门预算汇编范围的单位共 3个。包括：交通运输局、公路运输管理所、港航所。</w:t>
      </w:r>
      <w:r>
        <w:rPr>
          <w:rFonts w:hint="eastAsia" w:ascii="仿宋" w:hAnsi="仿宋" w:eastAsia="仿宋" w:cs="宋体"/>
          <w:b w:val="0"/>
          <w:bCs w:val="0"/>
          <w:color w:val="333333"/>
          <w:kern w:val="0"/>
          <w:sz w:val="32"/>
          <w:szCs w:val="32"/>
        </w:rPr>
        <w:t>编制人数</w:t>
      </w:r>
      <w:r>
        <w:rPr>
          <w:rFonts w:hint="eastAsia" w:ascii="仿宋" w:hAnsi="仿宋" w:eastAsia="仿宋" w:cs="宋体"/>
          <w:b w:val="0"/>
          <w:bCs w:val="0"/>
          <w:color w:val="333333"/>
          <w:kern w:val="0"/>
          <w:sz w:val="32"/>
          <w:szCs w:val="32"/>
          <w:lang w:val="en-US" w:eastAsia="zh-CN"/>
        </w:rPr>
        <w:t>18</w:t>
      </w:r>
      <w:r>
        <w:rPr>
          <w:rFonts w:hint="eastAsia" w:ascii="仿宋" w:hAnsi="仿宋" w:eastAsia="仿宋" w:cs="宋体"/>
          <w:b w:val="0"/>
          <w:bCs w:val="0"/>
          <w:color w:val="333333"/>
          <w:kern w:val="0"/>
          <w:sz w:val="32"/>
          <w:szCs w:val="32"/>
        </w:rPr>
        <w:t>人，其中：行政编制</w:t>
      </w:r>
      <w:r>
        <w:rPr>
          <w:rFonts w:hint="eastAsia" w:ascii="仿宋" w:hAnsi="仿宋" w:eastAsia="仿宋" w:cs="宋体"/>
          <w:b w:val="0"/>
          <w:bCs w:val="0"/>
          <w:color w:val="333333"/>
          <w:kern w:val="0"/>
          <w:sz w:val="32"/>
          <w:szCs w:val="32"/>
          <w:lang w:val="en-US" w:eastAsia="zh-CN"/>
        </w:rPr>
        <w:t>3</w:t>
      </w:r>
      <w:r>
        <w:rPr>
          <w:rFonts w:hint="eastAsia" w:ascii="仿宋" w:hAnsi="仿宋" w:eastAsia="仿宋" w:cs="宋体"/>
          <w:b w:val="0"/>
          <w:bCs w:val="0"/>
          <w:color w:val="333333"/>
          <w:kern w:val="0"/>
          <w:sz w:val="32"/>
          <w:szCs w:val="32"/>
        </w:rPr>
        <w:t>人，全部补助事业编制</w:t>
      </w:r>
      <w:r>
        <w:rPr>
          <w:rFonts w:hint="eastAsia" w:ascii="仿宋" w:hAnsi="仿宋" w:eastAsia="仿宋" w:cs="宋体"/>
          <w:b w:val="0"/>
          <w:bCs w:val="0"/>
          <w:color w:val="333333"/>
          <w:kern w:val="0"/>
          <w:sz w:val="32"/>
          <w:szCs w:val="32"/>
          <w:lang w:val="en-US" w:eastAsia="zh-CN"/>
        </w:rPr>
        <w:t>15</w:t>
      </w:r>
      <w:r>
        <w:rPr>
          <w:rFonts w:hint="eastAsia" w:ascii="仿宋" w:hAnsi="仿宋" w:eastAsia="仿宋" w:cs="宋体"/>
          <w:b w:val="0"/>
          <w:bCs w:val="0"/>
          <w:color w:val="333333"/>
          <w:kern w:val="0"/>
          <w:sz w:val="32"/>
          <w:szCs w:val="32"/>
        </w:rPr>
        <w:t>人；实有人数</w:t>
      </w:r>
      <w:r>
        <w:rPr>
          <w:rFonts w:hint="eastAsia" w:ascii="仿宋" w:hAnsi="仿宋" w:eastAsia="仿宋" w:cs="宋体"/>
          <w:b w:val="0"/>
          <w:bCs w:val="0"/>
          <w:color w:val="333333"/>
          <w:kern w:val="0"/>
          <w:sz w:val="32"/>
          <w:szCs w:val="32"/>
          <w:lang w:val="en-US" w:eastAsia="zh-CN"/>
        </w:rPr>
        <w:t>18</w:t>
      </w:r>
      <w:r>
        <w:rPr>
          <w:rFonts w:hint="eastAsia" w:ascii="仿宋" w:hAnsi="仿宋" w:eastAsia="仿宋" w:cs="宋体"/>
          <w:b w:val="0"/>
          <w:bCs w:val="0"/>
          <w:color w:val="333333"/>
          <w:kern w:val="0"/>
          <w:sz w:val="32"/>
          <w:szCs w:val="32"/>
        </w:rPr>
        <w:t>人，其中：在职人数</w:t>
      </w:r>
      <w:r>
        <w:rPr>
          <w:rFonts w:hint="eastAsia" w:ascii="仿宋" w:hAnsi="仿宋" w:eastAsia="仿宋" w:cs="宋体"/>
          <w:b w:val="0"/>
          <w:bCs w:val="0"/>
          <w:color w:val="333333"/>
          <w:kern w:val="0"/>
          <w:sz w:val="32"/>
          <w:szCs w:val="32"/>
          <w:lang w:val="en-US" w:eastAsia="zh-CN"/>
        </w:rPr>
        <w:t>18</w:t>
      </w:r>
      <w:r>
        <w:rPr>
          <w:rFonts w:hint="eastAsia" w:ascii="仿宋" w:hAnsi="仿宋" w:eastAsia="仿宋" w:cs="宋体"/>
          <w:b w:val="0"/>
          <w:bCs w:val="0"/>
          <w:color w:val="333333"/>
          <w:kern w:val="0"/>
          <w:sz w:val="32"/>
          <w:szCs w:val="32"/>
        </w:rPr>
        <w:t>人。</w:t>
      </w: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2021</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282.23</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2.22</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282.23</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282.23</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2.22</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282.23</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215.56</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190.73</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21.66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3.17万元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66.67</w:t>
      </w:r>
      <w:r>
        <w:rPr>
          <w:rFonts w:hint="eastAsia" w:ascii="仿宋_GB2312" w:hAnsi="仿宋_GB2312" w:eastAsia="仿宋_GB2312" w:cs="仿宋_GB2312"/>
          <w:b w:val="0"/>
          <w:bCs w:val="0"/>
          <w:color w:val="333333"/>
          <w:kern w:val="0"/>
          <w:sz w:val="32"/>
          <w:szCs w:val="32"/>
        </w:rPr>
        <w:t>万元。主要原因</w:t>
      </w:r>
      <w:r>
        <w:rPr>
          <w:rFonts w:hint="eastAsia" w:ascii="仿宋_GB2312" w:hAnsi="仿宋_GB2312" w:eastAsia="仿宋_GB2312" w:cs="仿宋_GB2312"/>
          <w:b w:val="0"/>
          <w:bCs w:val="0"/>
          <w:color w:val="333333"/>
          <w:kern w:val="0"/>
          <w:sz w:val="32"/>
          <w:szCs w:val="32"/>
          <w:lang w:eastAsia="zh-CN"/>
        </w:rPr>
        <w:t>是行政人员调整及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年区交通运输局财政拨款支出预算数</w:t>
      </w:r>
      <w:r>
        <w:rPr>
          <w:rFonts w:hint="eastAsia" w:ascii="仿宋_GB2312" w:hAnsi="仿宋_GB2312" w:eastAsia="仿宋_GB2312" w:cs="仿宋_GB2312"/>
          <w:b w:val="0"/>
          <w:bCs w:val="0"/>
          <w:color w:val="333333"/>
          <w:kern w:val="0"/>
          <w:sz w:val="32"/>
          <w:szCs w:val="32"/>
          <w:lang w:val="en-US" w:eastAsia="zh-CN"/>
        </w:rPr>
        <w:t>282.23</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2.22</w:t>
      </w:r>
      <w:r>
        <w:rPr>
          <w:rFonts w:hint="eastAsia" w:ascii="仿宋_GB2312" w:hAnsi="仿宋_GB2312" w:eastAsia="仿宋_GB2312" w:cs="仿宋_GB2312"/>
          <w:b w:val="0"/>
          <w:bCs w:val="0"/>
          <w:color w:val="333333"/>
          <w:kern w:val="0"/>
          <w:sz w:val="32"/>
          <w:szCs w:val="32"/>
        </w:rPr>
        <w:t>%。具体支出情况是：区交通运输事务支出</w:t>
      </w:r>
      <w:r>
        <w:rPr>
          <w:rFonts w:hint="eastAsia" w:ascii="仿宋_GB2312" w:hAnsi="仿宋_GB2312" w:eastAsia="仿宋_GB2312" w:cs="仿宋_GB2312"/>
          <w:b w:val="0"/>
          <w:bCs w:val="0"/>
          <w:color w:val="333333"/>
          <w:kern w:val="0"/>
          <w:sz w:val="32"/>
          <w:szCs w:val="32"/>
          <w:lang w:val="en-US" w:eastAsia="zh-CN"/>
        </w:rPr>
        <w:t>228.09</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21.91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19.65万元，卫生健康支出12.59万元。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年区交通运输局</w:t>
      </w:r>
      <w:r>
        <w:rPr>
          <w:rFonts w:hint="eastAsia" w:ascii="仿宋_GB2312" w:hAnsi="仿宋_GB2312" w:eastAsia="仿宋_GB2312" w:cs="仿宋_GB2312"/>
          <w:b w:val="0"/>
          <w:bCs w:val="0"/>
          <w:color w:val="333333"/>
          <w:kern w:val="0"/>
          <w:sz w:val="32"/>
          <w:szCs w:val="32"/>
          <w:lang w:eastAsia="zh-CN"/>
        </w:rPr>
        <w:t>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21.66</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21.66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3.30万、印刷费1.70万、差旅费1.70万、培训费2.20万、公务接待费5.50万、其他交通费2.22万、其他商品服务支出费5.04万。</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8.46</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3.50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家具用具</w:t>
      </w:r>
      <w:r>
        <w:rPr>
          <w:rFonts w:hint="eastAsia" w:ascii="仿宋_GB2312" w:hAnsi="仿宋_GB2312" w:eastAsia="仿宋_GB2312" w:cs="仿宋_GB2312"/>
          <w:b w:val="0"/>
          <w:bCs w:val="0"/>
          <w:color w:val="333333"/>
          <w:kern w:val="0"/>
          <w:sz w:val="32"/>
          <w:szCs w:val="32"/>
          <w:lang w:val="en-US" w:eastAsia="zh-CN"/>
        </w:rPr>
        <w:t>1.50万元，多功能一体机3.46万元</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年区交通运输局 “三公”经费年初预算安排</w:t>
      </w:r>
      <w:r>
        <w:rPr>
          <w:rFonts w:hint="eastAsia" w:ascii="仿宋_GB2312" w:hAnsi="仿宋_GB2312" w:eastAsia="仿宋_GB2312" w:cs="仿宋_GB2312"/>
          <w:b w:val="0"/>
          <w:bCs w:val="0"/>
          <w:color w:val="333333"/>
          <w:kern w:val="0"/>
          <w:sz w:val="32"/>
          <w:szCs w:val="32"/>
          <w:lang w:val="en-US" w:eastAsia="zh-CN"/>
        </w:rPr>
        <w:t>5.5</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5.5</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昌江区交通运输局</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十</w:t>
      </w:r>
      <w:bookmarkStart w:id="0" w:name="_GoBack"/>
      <w:bookmarkEnd w:id="0"/>
      <w:r>
        <w:rPr>
          <w:rFonts w:hint="eastAsia" w:ascii="仿宋_GB2312" w:hAnsi="仿宋_GB2312" w:eastAsia="仿宋_GB2312" w:cs="仿宋_GB2312"/>
          <w:b w:val="0"/>
          <w:bCs w:val="0"/>
          <w:color w:val="333333"/>
          <w:kern w:val="0"/>
          <w:sz w:val="32"/>
          <w:szCs w:val="32"/>
        </w:rPr>
        <w:t>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交通运输局支出：（机构运行）：反应行政单位(包括实行公务员管理事业单位)的基本支出。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交通运输局支出：（交通运输支出）：反应从事其他公路水路运输的专项支出。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BCA397C"/>
    <w:rsid w:val="0F6065E6"/>
    <w:rsid w:val="169B4F3B"/>
    <w:rsid w:val="1C2618CE"/>
    <w:rsid w:val="1ED822F6"/>
    <w:rsid w:val="20B80505"/>
    <w:rsid w:val="25461A5F"/>
    <w:rsid w:val="29C1612C"/>
    <w:rsid w:val="34051E66"/>
    <w:rsid w:val="35011CBA"/>
    <w:rsid w:val="35856DA1"/>
    <w:rsid w:val="3E2A5748"/>
    <w:rsid w:val="42176945"/>
    <w:rsid w:val="47DA7A11"/>
    <w:rsid w:val="4B4465D2"/>
    <w:rsid w:val="4DF673D7"/>
    <w:rsid w:val="4EE1660A"/>
    <w:rsid w:val="52A64031"/>
    <w:rsid w:val="53E8275F"/>
    <w:rsid w:val="57701BA5"/>
    <w:rsid w:val="5D061CB2"/>
    <w:rsid w:val="5E693A0A"/>
    <w:rsid w:val="682C1BD1"/>
    <w:rsid w:val="6A20273A"/>
    <w:rsid w:val="6A961618"/>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99"/>
    <w:rPr>
      <w:color w:val="333333"/>
      <w:u w:val="none"/>
    </w:rPr>
  </w:style>
  <w:style w:type="character" w:styleId="8">
    <w:name w:val="Emphasis"/>
    <w:basedOn w:val="5"/>
    <w:qFormat/>
    <w:uiPriority w:val="20"/>
    <w:rPr>
      <w:i/>
    </w:rPr>
  </w:style>
  <w:style w:type="character" w:styleId="9">
    <w:name w:val="HTML Definition"/>
    <w:basedOn w:val="5"/>
    <w:unhideWhenUsed/>
    <w:qFormat/>
    <w:uiPriority w:val="99"/>
    <w:rPr>
      <w:i/>
    </w:rPr>
  </w:style>
  <w:style w:type="character" w:styleId="10">
    <w:name w:val="HTML Acronym"/>
    <w:basedOn w:val="5"/>
    <w:unhideWhenUsed/>
    <w:qFormat/>
    <w:uiPriority w:val="99"/>
  </w:style>
  <w:style w:type="character" w:styleId="11">
    <w:name w:val="HTML Variable"/>
    <w:basedOn w:val="5"/>
    <w:unhideWhenUsed/>
    <w:qFormat/>
    <w:uiPriority w:val="99"/>
    <w:rPr>
      <w:i/>
    </w:rPr>
  </w:style>
  <w:style w:type="character" w:styleId="12">
    <w:name w:val="Hyperlink"/>
    <w:basedOn w:val="5"/>
    <w:unhideWhenUsed/>
    <w:qFormat/>
    <w:uiPriority w:val="99"/>
    <w:rPr>
      <w:color w:val="333333"/>
      <w:u w:val="none"/>
    </w:rPr>
  </w:style>
  <w:style w:type="character" w:styleId="13">
    <w:name w:val="HTML Code"/>
    <w:basedOn w:val="5"/>
    <w:unhideWhenUsed/>
    <w:qFormat/>
    <w:uiPriority w:val="99"/>
    <w:rPr>
      <w:rFonts w:ascii="Courier New" w:hAnsi="Courier New"/>
      <w:sz w:val="20"/>
    </w:rPr>
  </w:style>
  <w:style w:type="character" w:styleId="14">
    <w:name w:val="HTML Cite"/>
    <w:basedOn w:val="5"/>
    <w:unhideWhenUsed/>
    <w:qFormat/>
    <w:uiPriority w:val="99"/>
    <w:rPr>
      <w:i/>
    </w:rPr>
  </w:style>
  <w:style w:type="character" w:customStyle="1" w:styleId="15">
    <w:name w:val="apple-converted-space"/>
    <w:basedOn w:val="5"/>
    <w:qFormat/>
    <w:uiPriority w:val="0"/>
  </w:style>
  <w:style w:type="paragraph" w:customStyle="1" w:styleId="16">
    <w:name w:val="列出段落1"/>
    <w:basedOn w:val="1"/>
    <w:qFormat/>
    <w:uiPriority w:val="34"/>
    <w:pPr>
      <w:ind w:firstLine="420" w:firstLineChars="200"/>
    </w:pPr>
  </w:style>
  <w:style w:type="character" w:customStyle="1" w:styleId="17">
    <w:name w:val="页眉 Char"/>
    <w:basedOn w:val="5"/>
    <w:link w:val="3"/>
    <w:qFormat/>
    <w:uiPriority w:val="99"/>
    <w:rPr>
      <w:rFonts w:asciiTheme="minorHAnsi" w:hAnsiTheme="minorHAnsi" w:eastAsiaTheme="minorEastAsia" w:cstheme="minorBidi"/>
      <w:kern w:val="2"/>
      <w:sz w:val="18"/>
      <w:szCs w:val="18"/>
    </w:rPr>
  </w:style>
  <w:style w:type="character" w:customStyle="1" w:styleId="18">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5</TotalTime>
  <ScaleCrop>false</ScaleCrop>
  <LinksUpToDate>false</LinksUpToDate>
  <CharactersWithSpaces>2148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2021-04-14T02:04:30Z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252E44DEDC1C4DA2903E30174500B45E</vt:lpwstr>
  </property>
</Properties>
</file>