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景德镇市昌江区交通运输事业发展中心2023年度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景德镇市昌江区交通运输事业发展中心概况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景德镇市昌江区交通运输事业发展中心概况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270" w:afterAutospacing="0" w:line="480" w:lineRule="atLeast"/>
        <w:ind w:left="420" w:leftChars="0" w:right="0" w:rightChars="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1</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贯彻执行国家和省市有关交通运输的方针政策和法律法规；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270" w:afterAutospacing="0" w:line="480" w:lineRule="atLeast"/>
        <w:ind w:left="420" w:leftChars="0" w:right="0" w:rightChars="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2</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组织制定并监督实施有关交通运输工作规范性文件，指导交通运输行业体制改革工作；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270" w:afterAutospacing="0" w:line="480" w:lineRule="atLeast"/>
        <w:ind w:left="420" w:leftChars="0" w:right="0" w:rightChars="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3</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组织制定城市客运发展规划和交通运输枢纽规划；</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270" w:afterAutospacing="0" w:line="480" w:lineRule="atLeast"/>
        <w:ind w:left="420" w:leftChars="0" w:right="0" w:rightChars="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负责交通运输行业统计和信息发布工作；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270" w:afterAutospacing="0" w:line="480" w:lineRule="atLeast"/>
        <w:ind w:left="420" w:leftChars="0" w:right="0" w:rightChars="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5</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负责交通基础设施建设和维护的行业管理工作；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270" w:afterAutospacing="0" w:line="480" w:lineRule="atLeast"/>
        <w:ind w:left="420" w:leftChars="0" w:right="0" w:rightChars="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6</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负责交通运输行业安全生产的监督管理，承担并指导交通运输行业应急处置工作，组织实施重点物资运输和紧急运输；</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270" w:afterAutospacing="0" w:line="480" w:lineRule="atLeast"/>
        <w:ind w:left="420" w:leftChars="0" w:right="0" w:rightChars="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7</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指导本区域内交通运输行业队伍建设和精神文明建设；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420"/>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8</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承办上级交办的其他事项。</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设立3</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 w:hAnsi="仿宋" w:eastAsia="仿宋" w:cs="仿宋"/>
          <w:sz w:val="32"/>
          <w:szCs w:val="32"/>
          <w:lang w:val="en-US" w:eastAsia="zh-CN"/>
        </w:rPr>
        <w:t>办公室、交通管理股、交通事故处理股。</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年末在职人员14人，离退休人员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239.07</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0.00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28.19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pPr>
              <w:jc w:val="right"/>
            </w:pPr>
            <w:r>
              <w:rPr>
                <w:rFonts w:ascii="宋体" w:hAnsi="宋体" w:eastAsia="宋体" w:cs="宋体"/>
                <w:b w:val="0"/>
                <w:i w:val="0"/>
                <w:color w:val="000000"/>
                <w:sz w:val="14"/>
              </w:rPr>
              <w:t>179.38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pPr>
              <w:jc w:val="right"/>
            </w:pPr>
            <w:r>
              <w:rPr>
                <w:rFonts w:ascii="宋体" w:hAnsi="宋体" w:eastAsia="宋体" w:cs="宋体"/>
                <w:b w:val="0"/>
                <w:i w:val="0"/>
                <w:color w:val="000000"/>
                <w:sz w:val="14"/>
              </w:rPr>
              <w:t>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239.07</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239.07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239.07</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239.07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239.07</w:t>
            </w:r>
          </w:p>
        </w:tc>
        <w:tc>
          <w:tcPr>
            <w:tcW w:w="900" w:type="dxa"/>
            <w:vAlign w:val="center"/>
          </w:tcPr>
          <w:p>
            <w:pPr>
              <w:jc w:val="right"/>
            </w:pPr>
            <w:r>
              <w:rPr>
                <w:rFonts w:ascii="宋体" w:hAnsi="宋体" w:eastAsia="宋体" w:cs="宋体"/>
                <w:b w:val="0"/>
                <w:i w:val="0"/>
                <w:color w:val="000000"/>
                <w:sz w:val="9"/>
              </w:rPr>
              <w:t>239.07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28.19</w:t>
            </w:r>
          </w:p>
        </w:tc>
        <w:tc>
          <w:tcPr>
            <w:tcW w:w="900" w:type="dxa"/>
            <w:vAlign w:val="center"/>
          </w:tcPr>
          <w:p>
            <w:pPr>
              <w:jc w:val="right"/>
            </w:pPr>
            <w:r>
              <w:rPr>
                <w:rFonts w:ascii="宋体" w:hAnsi="宋体" w:eastAsia="宋体" w:cs="宋体"/>
                <w:b w:val="0"/>
                <w:i w:val="0"/>
                <w:color w:val="000000"/>
                <w:sz w:val="9"/>
              </w:rPr>
              <w:t>28.19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28.19</w:t>
            </w:r>
          </w:p>
        </w:tc>
        <w:tc>
          <w:tcPr>
            <w:tcW w:w="900" w:type="dxa"/>
            <w:vAlign w:val="center"/>
          </w:tcPr>
          <w:p>
            <w:pPr>
              <w:jc w:val="right"/>
            </w:pPr>
            <w:r>
              <w:rPr>
                <w:rFonts w:ascii="宋体" w:hAnsi="宋体" w:eastAsia="宋体" w:cs="宋体"/>
                <w:b w:val="0"/>
                <w:i w:val="0"/>
                <w:color w:val="000000"/>
                <w:sz w:val="9"/>
              </w:rPr>
              <w:t>28.19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15.38</w:t>
            </w:r>
          </w:p>
        </w:tc>
        <w:tc>
          <w:tcPr>
            <w:tcW w:w="900" w:type="dxa"/>
            <w:vAlign w:val="center"/>
          </w:tcPr>
          <w:p>
            <w:pPr>
              <w:jc w:val="right"/>
            </w:pPr>
            <w:r>
              <w:rPr>
                <w:rFonts w:ascii="宋体" w:hAnsi="宋体" w:eastAsia="宋体" w:cs="宋体"/>
                <w:b w:val="0"/>
                <w:i w:val="0"/>
                <w:color w:val="000000"/>
                <w:sz w:val="9"/>
              </w:rPr>
              <w:t>15.38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12.81</w:t>
            </w:r>
          </w:p>
        </w:tc>
        <w:tc>
          <w:tcPr>
            <w:tcW w:w="900" w:type="dxa"/>
            <w:vAlign w:val="center"/>
          </w:tcPr>
          <w:p>
            <w:pPr>
              <w:jc w:val="right"/>
            </w:pPr>
            <w:r>
              <w:rPr>
                <w:rFonts w:ascii="宋体" w:hAnsi="宋体" w:eastAsia="宋体" w:cs="宋体"/>
                <w:b w:val="0"/>
                <w:i w:val="0"/>
                <w:color w:val="000000"/>
                <w:sz w:val="9"/>
              </w:rPr>
              <w:t>12.81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5.10</w:t>
            </w:r>
          </w:p>
        </w:tc>
        <w:tc>
          <w:tcPr>
            <w:tcW w:w="900" w:type="dxa"/>
            <w:vAlign w:val="center"/>
          </w:tcPr>
          <w:p>
            <w:pPr>
              <w:jc w:val="right"/>
            </w:pPr>
            <w:r>
              <w:rPr>
                <w:rFonts w:ascii="宋体" w:hAnsi="宋体" w:eastAsia="宋体" w:cs="宋体"/>
                <w:b w:val="0"/>
                <w:i w:val="0"/>
                <w:color w:val="000000"/>
                <w:sz w:val="9"/>
              </w:rPr>
              <w:t>5.10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5.10</w:t>
            </w:r>
          </w:p>
        </w:tc>
        <w:tc>
          <w:tcPr>
            <w:tcW w:w="900" w:type="dxa"/>
            <w:vAlign w:val="center"/>
          </w:tcPr>
          <w:p>
            <w:pPr>
              <w:jc w:val="right"/>
            </w:pPr>
            <w:r>
              <w:rPr>
                <w:rFonts w:ascii="宋体" w:hAnsi="宋体" w:eastAsia="宋体" w:cs="宋体"/>
                <w:b w:val="0"/>
                <w:i w:val="0"/>
                <w:color w:val="000000"/>
                <w:sz w:val="9"/>
              </w:rPr>
              <w:t>5.10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5.03</w:t>
            </w:r>
          </w:p>
        </w:tc>
        <w:tc>
          <w:tcPr>
            <w:tcW w:w="900" w:type="dxa"/>
            <w:vAlign w:val="center"/>
          </w:tcPr>
          <w:p>
            <w:pPr>
              <w:jc w:val="right"/>
            </w:pPr>
            <w:r>
              <w:rPr>
                <w:rFonts w:ascii="宋体" w:hAnsi="宋体" w:eastAsia="宋体" w:cs="宋体"/>
                <w:b w:val="0"/>
                <w:i w:val="0"/>
                <w:color w:val="000000"/>
                <w:sz w:val="9"/>
              </w:rPr>
              <w:t>5.03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0.08</w:t>
            </w:r>
          </w:p>
        </w:tc>
        <w:tc>
          <w:tcPr>
            <w:tcW w:w="900" w:type="dxa"/>
            <w:vAlign w:val="center"/>
          </w:tcPr>
          <w:p>
            <w:pPr>
              <w:jc w:val="right"/>
            </w:pPr>
            <w:r>
              <w:rPr>
                <w:rFonts w:ascii="宋体" w:hAnsi="宋体" w:eastAsia="宋体" w:cs="宋体"/>
                <w:b w:val="0"/>
                <w:i w:val="0"/>
                <w:color w:val="000000"/>
                <w:sz w:val="9"/>
              </w:rPr>
              <w:t>0.08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w:t>
            </w:r>
          </w:p>
        </w:tc>
        <w:tc>
          <w:tcPr>
            <w:tcW w:w="1420" w:type="dxa"/>
            <w:vAlign w:val="center"/>
          </w:tcPr>
          <w:p>
            <w:pPr>
              <w:jc w:val="left"/>
            </w:pPr>
            <w:r>
              <w:rPr>
                <w:rFonts w:ascii="宋体" w:hAnsi="宋体" w:eastAsia="宋体" w:cs="宋体"/>
                <w:b w:val="0"/>
                <w:i w:val="0"/>
                <w:color w:val="000000"/>
                <w:sz w:val="9"/>
              </w:rPr>
              <w:t>交通运输支出</w:t>
            </w:r>
          </w:p>
        </w:tc>
        <w:tc>
          <w:tcPr>
            <w:tcW w:w="860" w:type="dxa"/>
            <w:vAlign w:val="center"/>
          </w:tcPr>
          <w:p>
            <w:pPr>
              <w:jc w:val="right"/>
            </w:pPr>
            <w:r>
              <w:rPr>
                <w:rFonts w:ascii="宋体" w:hAnsi="宋体" w:eastAsia="宋体" w:cs="宋体"/>
                <w:b w:val="0"/>
                <w:i w:val="0"/>
                <w:color w:val="000000"/>
                <w:sz w:val="9"/>
              </w:rPr>
              <w:t>179.38</w:t>
            </w:r>
          </w:p>
        </w:tc>
        <w:tc>
          <w:tcPr>
            <w:tcW w:w="900" w:type="dxa"/>
            <w:vAlign w:val="center"/>
          </w:tcPr>
          <w:p>
            <w:pPr>
              <w:jc w:val="right"/>
            </w:pPr>
            <w:r>
              <w:rPr>
                <w:rFonts w:ascii="宋体" w:hAnsi="宋体" w:eastAsia="宋体" w:cs="宋体"/>
                <w:b w:val="0"/>
                <w:i w:val="0"/>
                <w:color w:val="000000"/>
                <w:sz w:val="9"/>
              </w:rPr>
              <w:t>179.38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w:t>
            </w:r>
          </w:p>
        </w:tc>
        <w:tc>
          <w:tcPr>
            <w:tcW w:w="1420" w:type="dxa"/>
            <w:vAlign w:val="center"/>
          </w:tcPr>
          <w:p>
            <w:pPr>
              <w:jc w:val="left"/>
            </w:pPr>
            <w:r>
              <w:rPr>
                <w:rFonts w:ascii="宋体" w:hAnsi="宋体" w:eastAsia="宋体" w:cs="宋体"/>
                <w:b w:val="0"/>
                <w:i w:val="0"/>
                <w:color w:val="000000"/>
                <w:sz w:val="9"/>
              </w:rPr>
              <w:t>公路水路运输</w:t>
            </w:r>
          </w:p>
        </w:tc>
        <w:tc>
          <w:tcPr>
            <w:tcW w:w="860" w:type="dxa"/>
            <w:vAlign w:val="center"/>
          </w:tcPr>
          <w:p>
            <w:pPr>
              <w:jc w:val="right"/>
            </w:pPr>
            <w:r>
              <w:rPr>
                <w:rFonts w:ascii="宋体" w:hAnsi="宋体" w:eastAsia="宋体" w:cs="宋体"/>
                <w:b w:val="0"/>
                <w:i w:val="0"/>
                <w:color w:val="000000"/>
                <w:sz w:val="9"/>
              </w:rPr>
              <w:t>179.38</w:t>
            </w:r>
          </w:p>
        </w:tc>
        <w:tc>
          <w:tcPr>
            <w:tcW w:w="900" w:type="dxa"/>
            <w:vAlign w:val="center"/>
          </w:tcPr>
          <w:p>
            <w:pPr>
              <w:jc w:val="right"/>
            </w:pPr>
            <w:r>
              <w:rPr>
                <w:rFonts w:ascii="宋体" w:hAnsi="宋体" w:eastAsia="宋体" w:cs="宋体"/>
                <w:b w:val="0"/>
                <w:i w:val="0"/>
                <w:color w:val="000000"/>
                <w:sz w:val="9"/>
              </w:rPr>
              <w:t>179.38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162.22</w:t>
            </w:r>
          </w:p>
        </w:tc>
        <w:tc>
          <w:tcPr>
            <w:tcW w:w="900" w:type="dxa"/>
            <w:vAlign w:val="center"/>
          </w:tcPr>
          <w:p>
            <w:pPr>
              <w:jc w:val="right"/>
            </w:pPr>
            <w:r>
              <w:rPr>
                <w:rFonts w:ascii="宋体" w:hAnsi="宋体" w:eastAsia="宋体" w:cs="宋体"/>
                <w:b w:val="0"/>
                <w:i w:val="0"/>
                <w:color w:val="000000"/>
                <w:sz w:val="9"/>
              </w:rPr>
              <w:t>162.22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17.16</w:t>
            </w:r>
          </w:p>
        </w:tc>
        <w:tc>
          <w:tcPr>
            <w:tcW w:w="900" w:type="dxa"/>
            <w:vAlign w:val="center"/>
          </w:tcPr>
          <w:p>
            <w:pPr>
              <w:jc w:val="right"/>
            </w:pPr>
            <w:r>
              <w:rPr>
                <w:rFonts w:ascii="宋体" w:hAnsi="宋体" w:eastAsia="宋体" w:cs="宋体"/>
                <w:b w:val="0"/>
                <w:i w:val="0"/>
                <w:color w:val="000000"/>
                <w:sz w:val="9"/>
              </w:rPr>
              <w:t>17.16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215</w:t>
            </w:r>
          </w:p>
        </w:tc>
        <w:tc>
          <w:tcPr>
            <w:tcW w:w="1420" w:type="dxa"/>
            <w:vAlign w:val="center"/>
          </w:tcPr>
          <w:p>
            <w:pPr>
              <w:jc w:val="left"/>
            </w:pPr>
            <w:r>
              <w:rPr>
                <w:rFonts w:ascii="宋体" w:hAnsi="宋体" w:eastAsia="宋体" w:cs="宋体"/>
                <w:b w:val="0"/>
                <w:i w:val="0"/>
                <w:color w:val="000000"/>
                <w:sz w:val="9"/>
              </w:rPr>
              <w:t>资源勘探工业信息等支出</w:t>
            </w:r>
          </w:p>
        </w:tc>
        <w:tc>
          <w:tcPr>
            <w:tcW w:w="860" w:type="dxa"/>
            <w:vAlign w:val="center"/>
          </w:tcPr>
          <w:p>
            <w:pPr>
              <w:jc w:val="right"/>
            </w:pPr>
            <w:r>
              <w:rPr>
                <w:rFonts w:ascii="宋体" w:hAnsi="宋体" w:eastAsia="宋体" w:cs="宋体"/>
                <w:b w:val="0"/>
                <w:i w:val="0"/>
                <w:color w:val="000000"/>
                <w:sz w:val="9"/>
              </w:rPr>
              <w:t>8.40</w:t>
            </w:r>
          </w:p>
        </w:tc>
        <w:tc>
          <w:tcPr>
            <w:tcW w:w="900" w:type="dxa"/>
            <w:vAlign w:val="center"/>
          </w:tcPr>
          <w:p>
            <w:pPr>
              <w:jc w:val="right"/>
            </w:pPr>
            <w:r>
              <w:rPr>
                <w:rFonts w:ascii="宋体" w:hAnsi="宋体" w:eastAsia="宋体" w:cs="宋体"/>
                <w:b w:val="0"/>
                <w:i w:val="0"/>
                <w:color w:val="000000"/>
                <w:sz w:val="9"/>
              </w:rPr>
              <w:t>8.40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21505</w:t>
            </w:r>
          </w:p>
        </w:tc>
        <w:tc>
          <w:tcPr>
            <w:tcW w:w="1420" w:type="dxa"/>
            <w:vAlign w:val="center"/>
          </w:tcPr>
          <w:p>
            <w:pPr>
              <w:jc w:val="left"/>
            </w:pPr>
            <w:r>
              <w:rPr>
                <w:rFonts w:ascii="宋体" w:hAnsi="宋体" w:eastAsia="宋体" w:cs="宋体"/>
                <w:b w:val="0"/>
                <w:i w:val="0"/>
                <w:color w:val="000000"/>
                <w:sz w:val="9"/>
              </w:rPr>
              <w:t>工业和信息产业监管</w:t>
            </w:r>
          </w:p>
        </w:tc>
        <w:tc>
          <w:tcPr>
            <w:tcW w:w="860" w:type="dxa"/>
            <w:vAlign w:val="center"/>
          </w:tcPr>
          <w:p>
            <w:pPr>
              <w:jc w:val="right"/>
            </w:pPr>
            <w:r>
              <w:rPr>
                <w:rFonts w:ascii="宋体" w:hAnsi="宋体" w:eastAsia="宋体" w:cs="宋体"/>
                <w:b w:val="0"/>
                <w:i w:val="0"/>
                <w:color w:val="000000"/>
                <w:sz w:val="9"/>
              </w:rPr>
              <w:t>8.40</w:t>
            </w:r>
          </w:p>
        </w:tc>
        <w:tc>
          <w:tcPr>
            <w:tcW w:w="900" w:type="dxa"/>
            <w:vAlign w:val="center"/>
          </w:tcPr>
          <w:p>
            <w:pPr>
              <w:jc w:val="right"/>
            </w:pPr>
            <w:r>
              <w:rPr>
                <w:rFonts w:ascii="宋体" w:hAnsi="宋体" w:eastAsia="宋体" w:cs="宋体"/>
                <w:b w:val="0"/>
                <w:i w:val="0"/>
                <w:color w:val="000000"/>
                <w:sz w:val="9"/>
              </w:rPr>
              <w:t>8.40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2150501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8.40</w:t>
            </w:r>
          </w:p>
        </w:tc>
        <w:tc>
          <w:tcPr>
            <w:tcW w:w="900" w:type="dxa"/>
            <w:vAlign w:val="center"/>
          </w:tcPr>
          <w:p>
            <w:pPr>
              <w:jc w:val="right"/>
            </w:pPr>
            <w:r>
              <w:rPr>
                <w:rFonts w:ascii="宋体" w:hAnsi="宋体" w:eastAsia="宋体" w:cs="宋体"/>
                <w:b w:val="0"/>
                <w:i w:val="0"/>
                <w:color w:val="000000"/>
                <w:sz w:val="9"/>
              </w:rPr>
              <w:t>8.40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17.99</w:t>
            </w:r>
          </w:p>
        </w:tc>
        <w:tc>
          <w:tcPr>
            <w:tcW w:w="900" w:type="dxa"/>
            <w:vAlign w:val="center"/>
          </w:tcPr>
          <w:p>
            <w:pPr>
              <w:jc w:val="right"/>
            </w:pPr>
            <w:r>
              <w:rPr>
                <w:rFonts w:ascii="宋体" w:hAnsi="宋体" w:eastAsia="宋体" w:cs="宋体"/>
                <w:b w:val="0"/>
                <w:i w:val="0"/>
                <w:color w:val="000000"/>
                <w:sz w:val="9"/>
              </w:rPr>
              <w:t>17.99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17.99</w:t>
            </w:r>
          </w:p>
        </w:tc>
        <w:tc>
          <w:tcPr>
            <w:tcW w:w="900" w:type="dxa"/>
            <w:vAlign w:val="center"/>
          </w:tcPr>
          <w:p>
            <w:pPr>
              <w:jc w:val="right"/>
            </w:pPr>
            <w:r>
              <w:rPr>
                <w:rFonts w:ascii="宋体" w:hAnsi="宋体" w:eastAsia="宋体" w:cs="宋体"/>
                <w:b w:val="0"/>
                <w:i w:val="0"/>
                <w:color w:val="000000"/>
                <w:sz w:val="9"/>
              </w:rPr>
              <w:t>17.99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17.99</w:t>
            </w:r>
          </w:p>
        </w:tc>
        <w:tc>
          <w:tcPr>
            <w:tcW w:w="900" w:type="dxa"/>
            <w:vAlign w:val="center"/>
          </w:tcPr>
          <w:p>
            <w:pPr>
              <w:jc w:val="right"/>
            </w:pPr>
            <w:r>
              <w:rPr>
                <w:rFonts w:ascii="宋体" w:hAnsi="宋体" w:eastAsia="宋体" w:cs="宋体"/>
                <w:b w:val="0"/>
                <w:i w:val="0"/>
                <w:color w:val="000000"/>
                <w:sz w:val="9"/>
              </w:rPr>
              <w:t>17.99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239.07</w:t>
            </w:r>
          </w:p>
        </w:tc>
        <w:tc>
          <w:tcPr>
            <w:tcW w:w="1000" w:type="dxa"/>
            <w:vAlign w:val="center"/>
          </w:tcPr>
          <w:p>
            <w:pPr>
              <w:jc w:val="right"/>
            </w:pPr>
            <w:r>
              <w:rPr>
                <w:rFonts w:ascii="宋体" w:hAnsi="宋体" w:eastAsia="宋体" w:cs="宋体"/>
                <w:b w:val="0"/>
                <w:i w:val="0"/>
                <w:color w:val="000000"/>
                <w:sz w:val="11"/>
              </w:rPr>
              <w:t>238.08</w:t>
            </w:r>
          </w:p>
        </w:tc>
        <w:tc>
          <w:tcPr>
            <w:tcW w:w="980" w:type="dxa"/>
            <w:vAlign w:val="center"/>
          </w:tcPr>
          <w:p>
            <w:pPr>
              <w:jc w:val="right"/>
            </w:pPr>
            <w:r>
              <w:rPr>
                <w:rFonts w:ascii="宋体" w:hAnsi="宋体" w:eastAsia="宋体" w:cs="宋体"/>
                <w:b w:val="0"/>
                <w:i w:val="0"/>
                <w:color w:val="000000"/>
                <w:sz w:val="11"/>
              </w:rPr>
              <w:t>0.99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28.19</w:t>
            </w:r>
          </w:p>
        </w:tc>
        <w:tc>
          <w:tcPr>
            <w:tcW w:w="1000" w:type="dxa"/>
            <w:vAlign w:val="center"/>
          </w:tcPr>
          <w:p>
            <w:pPr>
              <w:jc w:val="right"/>
            </w:pPr>
            <w:r>
              <w:rPr>
                <w:rFonts w:ascii="宋体" w:hAnsi="宋体" w:eastAsia="宋体" w:cs="宋体"/>
                <w:b w:val="0"/>
                <w:i w:val="0"/>
                <w:color w:val="000000"/>
                <w:sz w:val="11"/>
              </w:rPr>
              <w:t>28.19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28.19</w:t>
            </w:r>
          </w:p>
        </w:tc>
        <w:tc>
          <w:tcPr>
            <w:tcW w:w="1000" w:type="dxa"/>
            <w:vAlign w:val="center"/>
          </w:tcPr>
          <w:p>
            <w:pPr>
              <w:jc w:val="right"/>
            </w:pPr>
            <w:r>
              <w:rPr>
                <w:rFonts w:ascii="宋体" w:hAnsi="宋体" w:eastAsia="宋体" w:cs="宋体"/>
                <w:b w:val="0"/>
                <w:i w:val="0"/>
                <w:color w:val="000000"/>
                <w:sz w:val="11"/>
              </w:rPr>
              <w:t>28.19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15.38</w:t>
            </w:r>
          </w:p>
        </w:tc>
        <w:tc>
          <w:tcPr>
            <w:tcW w:w="1000" w:type="dxa"/>
            <w:vAlign w:val="center"/>
          </w:tcPr>
          <w:p>
            <w:pPr>
              <w:jc w:val="right"/>
            </w:pPr>
            <w:r>
              <w:rPr>
                <w:rFonts w:ascii="宋体" w:hAnsi="宋体" w:eastAsia="宋体" w:cs="宋体"/>
                <w:b w:val="0"/>
                <w:i w:val="0"/>
                <w:color w:val="000000"/>
                <w:sz w:val="11"/>
              </w:rPr>
              <w:t>15.38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12.81</w:t>
            </w:r>
          </w:p>
        </w:tc>
        <w:tc>
          <w:tcPr>
            <w:tcW w:w="1000" w:type="dxa"/>
            <w:vAlign w:val="center"/>
          </w:tcPr>
          <w:p>
            <w:pPr>
              <w:jc w:val="right"/>
            </w:pPr>
            <w:r>
              <w:rPr>
                <w:rFonts w:ascii="宋体" w:hAnsi="宋体" w:eastAsia="宋体" w:cs="宋体"/>
                <w:b w:val="0"/>
                <w:i w:val="0"/>
                <w:color w:val="000000"/>
                <w:sz w:val="11"/>
              </w:rPr>
              <w:t>12.81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5.10</w:t>
            </w:r>
          </w:p>
        </w:tc>
        <w:tc>
          <w:tcPr>
            <w:tcW w:w="1000" w:type="dxa"/>
            <w:vAlign w:val="center"/>
          </w:tcPr>
          <w:p>
            <w:pPr>
              <w:jc w:val="right"/>
            </w:pPr>
            <w:r>
              <w:rPr>
                <w:rFonts w:ascii="宋体" w:hAnsi="宋体" w:eastAsia="宋体" w:cs="宋体"/>
                <w:b w:val="0"/>
                <w:i w:val="0"/>
                <w:color w:val="000000"/>
                <w:sz w:val="11"/>
              </w:rPr>
              <w:t>5.10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5.10</w:t>
            </w:r>
          </w:p>
        </w:tc>
        <w:tc>
          <w:tcPr>
            <w:tcW w:w="1000" w:type="dxa"/>
            <w:vAlign w:val="center"/>
          </w:tcPr>
          <w:p>
            <w:pPr>
              <w:jc w:val="right"/>
            </w:pPr>
            <w:r>
              <w:rPr>
                <w:rFonts w:ascii="宋体" w:hAnsi="宋体" w:eastAsia="宋体" w:cs="宋体"/>
                <w:b w:val="0"/>
                <w:i w:val="0"/>
                <w:color w:val="000000"/>
                <w:sz w:val="11"/>
              </w:rPr>
              <w:t>5.10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5.03</w:t>
            </w:r>
          </w:p>
        </w:tc>
        <w:tc>
          <w:tcPr>
            <w:tcW w:w="1000" w:type="dxa"/>
            <w:vAlign w:val="center"/>
          </w:tcPr>
          <w:p>
            <w:pPr>
              <w:jc w:val="right"/>
            </w:pPr>
            <w:r>
              <w:rPr>
                <w:rFonts w:ascii="宋体" w:hAnsi="宋体" w:eastAsia="宋体" w:cs="宋体"/>
                <w:b w:val="0"/>
                <w:i w:val="0"/>
                <w:color w:val="000000"/>
                <w:sz w:val="11"/>
              </w:rPr>
              <w:t>5.03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0.08</w:t>
            </w:r>
          </w:p>
        </w:tc>
        <w:tc>
          <w:tcPr>
            <w:tcW w:w="1000" w:type="dxa"/>
            <w:vAlign w:val="center"/>
          </w:tcPr>
          <w:p>
            <w:pPr>
              <w:jc w:val="right"/>
            </w:pPr>
            <w:r>
              <w:rPr>
                <w:rFonts w:ascii="宋体" w:hAnsi="宋体" w:eastAsia="宋体" w:cs="宋体"/>
                <w:b w:val="0"/>
                <w:i w:val="0"/>
                <w:color w:val="000000"/>
                <w:sz w:val="11"/>
              </w:rPr>
              <w:t>0.08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w:t>
            </w:r>
          </w:p>
        </w:tc>
        <w:tc>
          <w:tcPr>
            <w:tcW w:w="1760" w:type="dxa"/>
            <w:vAlign w:val="center"/>
          </w:tcPr>
          <w:p>
            <w:pPr>
              <w:jc w:val="left"/>
            </w:pPr>
            <w:r>
              <w:rPr>
                <w:rFonts w:ascii="宋体" w:hAnsi="宋体" w:eastAsia="宋体" w:cs="宋体"/>
                <w:b w:val="0"/>
                <w:i w:val="0"/>
                <w:color w:val="000000"/>
                <w:sz w:val="11"/>
              </w:rPr>
              <w:t>交通运输支出</w:t>
            </w:r>
          </w:p>
        </w:tc>
        <w:tc>
          <w:tcPr>
            <w:tcW w:w="940" w:type="dxa"/>
            <w:vAlign w:val="center"/>
          </w:tcPr>
          <w:p>
            <w:pPr>
              <w:jc w:val="right"/>
            </w:pPr>
            <w:r>
              <w:rPr>
                <w:rFonts w:ascii="宋体" w:hAnsi="宋体" w:eastAsia="宋体" w:cs="宋体"/>
                <w:b w:val="0"/>
                <w:i w:val="0"/>
                <w:color w:val="000000"/>
                <w:sz w:val="11"/>
              </w:rPr>
              <w:t>179.38</w:t>
            </w:r>
          </w:p>
        </w:tc>
        <w:tc>
          <w:tcPr>
            <w:tcW w:w="1000" w:type="dxa"/>
            <w:vAlign w:val="center"/>
          </w:tcPr>
          <w:p>
            <w:pPr>
              <w:jc w:val="right"/>
            </w:pPr>
            <w:r>
              <w:rPr>
                <w:rFonts w:ascii="宋体" w:hAnsi="宋体" w:eastAsia="宋体" w:cs="宋体"/>
                <w:b w:val="0"/>
                <w:i w:val="0"/>
                <w:color w:val="000000"/>
                <w:sz w:val="11"/>
              </w:rPr>
              <w:t>178.39</w:t>
            </w:r>
          </w:p>
        </w:tc>
        <w:tc>
          <w:tcPr>
            <w:tcW w:w="980" w:type="dxa"/>
            <w:vAlign w:val="center"/>
          </w:tcPr>
          <w:p>
            <w:pPr>
              <w:jc w:val="right"/>
            </w:pPr>
            <w:r>
              <w:rPr>
                <w:rFonts w:ascii="宋体" w:hAnsi="宋体" w:eastAsia="宋体" w:cs="宋体"/>
                <w:b w:val="0"/>
                <w:i w:val="0"/>
                <w:color w:val="000000"/>
                <w:sz w:val="11"/>
              </w:rPr>
              <w:t>0.99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w:t>
            </w:r>
          </w:p>
        </w:tc>
        <w:tc>
          <w:tcPr>
            <w:tcW w:w="1760" w:type="dxa"/>
            <w:vAlign w:val="center"/>
          </w:tcPr>
          <w:p>
            <w:pPr>
              <w:jc w:val="left"/>
            </w:pPr>
            <w:r>
              <w:rPr>
                <w:rFonts w:ascii="宋体" w:hAnsi="宋体" w:eastAsia="宋体" w:cs="宋体"/>
                <w:b w:val="0"/>
                <w:i w:val="0"/>
                <w:color w:val="000000"/>
                <w:sz w:val="11"/>
              </w:rPr>
              <w:t>公路水路运输</w:t>
            </w:r>
          </w:p>
        </w:tc>
        <w:tc>
          <w:tcPr>
            <w:tcW w:w="940" w:type="dxa"/>
            <w:vAlign w:val="center"/>
          </w:tcPr>
          <w:p>
            <w:pPr>
              <w:jc w:val="right"/>
            </w:pPr>
            <w:r>
              <w:rPr>
                <w:rFonts w:ascii="宋体" w:hAnsi="宋体" w:eastAsia="宋体" w:cs="宋体"/>
                <w:b w:val="0"/>
                <w:i w:val="0"/>
                <w:color w:val="000000"/>
                <w:sz w:val="11"/>
              </w:rPr>
              <w:t>179.38</w:t>
            </w:r>
          </w:p>
        </w:tc>
        <w:tc>
          <w:tcPr>
            <w:tcW w:w="1000" w:type="dxa"/>
            <w:vAlign w:val="center"/>
          </w:tcPr>
          <w:p>
            <w:pPr>
              <w:jc w:val="right"/>
            </w:pPr>
            <w:r>
              <w:rPr>
                <w:rFonts w:ascii="宋体" w:hAnsi="宋体" w:eastAsia="宋体" w:cs="宋体"/>
                <w:b w:val="0"/>
                <w:i w:val="0"/>
                <w:color w:val="000000"/>
                <w:sz w:val="11"/>
              </w:rPr>
              <w:t>178.39</w:t>
            </w:r>
          </w:p>
        </w:tc>
        <w:tc>
          <w:tcPr>
            <w:tcW w:w="980" w:type="dxa"/>
            <w:vAlign w:val="center"/>
          </w:tcPr>
          <w:p>
            <w:pPr>
              <w:jc w:val="right"/>
            </w:pPr>
            <w:r>
              <w:rPr>
                <w:rFonts w:ascii="宋体" w:hAnsi="宋体" w:eastAsia="宋体" w:cs="宋体"/>
                <w:b w:val="0"/>
                <w:i w:val="0"/>
                <w:color w:val="000000"/>
                <w:sz w:val="11"/>
              </w:rPr>
              <w:t>0.99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162.22</w:t>
            </w:r>
          </w:p>
        </w:tc>
        <w:tc>
          <w:tcPr>
            <w:tcW w:w="1000" w:type="dxa"/>
            <w:vAlign w:val="center"/>
          </w:tcPr>
          <w:p>
            <w:pPr>
              <w:jc w:val="right"/>
            </w:pPr>
            <w:r>
              <w:rPr>
                <w:rFonts w:ascii="宋体" w:hAnsi="宋体" w:eastAsia="宋体" w:cs="宋体"/>
                <w:b w:val="0"/>
                <w:i w:val="0"/>
                <w:color w:val="000000"/>
                <w:sz w:val="11"/>
              </w:rPr>
              <w:t>162.22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17.16</w:t>
            </w:r>
          </w:p>
        </w:tc>
        <w:tc>
          <w:tcPr>
            <w:tcW w:w="1000" w:type="dxa"/>
            <w:vAlign w:val="center"/>
          </w:tcPr>
          <w:p>
            <w:pPr>
              <w:jc w:val="right"/>
            </w:pPr>
            <w:r>
              <w:rPr>
                <w:rFonts w:ascii="宋体" w:hAnsi="宋体" w:eastAsia="宋体" w:cs="宋体"/>
                <w:b w:val="0"/>
                <w:i w:val="0"/>
                <w:color w:val="000000"/>
                <w:sz w:val="11"/>
              </w:rPr>
              <w:t>16.17</w:t>
            </w:r>
          </w:p>
        </w:tc>
        <w:tc>
          <w:tcPr>
            <w:tcW w:w="980" w:type="dxa"/>
            <w:vAlign w:val="center"/>
          </w:tcPr>
          <w:p>
            <w:pPr>
              <w:jc w:val="right"/>
            </w:pPr>
            <w:r>
              <w:rPr>
                <w:rFonts w:ascii="宋体" w:hAnsi="宋体" w:eastAsia="宋体" w:cs="宋体"/>
                <w:b w:val="0"/>
                <w:i w:val="0"/>
                <w:color w:val="000000"/>
                <w:sz w:val="11"/>
              </w:rPr>
              <w:t>0.99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215</w:t>
            </w:r>
          </w:p>
        </w:tc>
        <w:tc>
          <w:tcPr>
            <w:tcW w:w="1760" w:type="dxa"/>
            <w:vAlign w:val="center"/>
          </w:tcPr>
          <w:p>
            <w:pPr>
              <w:jc w:val="left"/>
            </w:pPr>
            <w:r>
              <w:rPr>
                <w:rFonts w:ascii="宋体" w:hAnsi="宋体" w:eastAsia="宋体" w:cs="宋体"/>
                <w:b w:val="0"/>
                <w:i w:val="0"/>
                <w:color w:val="000000"/>
                <w:sz w:val="11"/>
              </w:rPr>
              <w:t>资源勘探工业信息等支出</w:t>
            </w:r>
          </w:p>
        </w:tc>
        <w:tc>
          <w:tcPr>
            <w:tcW w:w="940" w:type="dxa"/>
            <w:vAlign w:val="center"/>
          </w:tcPr>
          <w:p>
            <w:pPr>
              <w:jc w:val="right"/>
            </w:pPr>
            <w:r>
              <w:rPr>
                <w:rFonts w:ascii="宋体" w:hAnsi="宋体" w:eastAsia="宋体" w:cs="宋体"/>
                <w:b w:val="0"/>
                <w:i w:val="0"/>
                <w:color w:val="000000"/>
                <w:sz w:val="11"/>
              </w:rPr>
              <w:t>8.40</w:t>
            </w:r>
          </w:p>
        </w:tc>
        <w:tc>
          <w:tcPr>
            <w:tcW w:w="1000" w:type="dxa"/>
            <w:vAlign w:val="center"/>
          </w:tcPr>
          <w:p>
            <w:pPr>
              <w:jc w:val="right"/>
            </w:pPr>
            <w:r>
              <w:rPr>
                <w:rFonts w:ascii="宋体" w:hAnsi="宋体" w:eastAsia="宋体" w:cs="宋体"/>
                <w:b w:val="0"/>
                <w:i w:val="0"/>
                <w:color w:val="000000"/>
                <w:sz w:val="11"/>
              </w:rPr>
              <w:t>8.40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21505</w:t>
            </w:r>
          </w:p>
        </w:tc>
        <w:tc>
          <w:tcPr>
            <w:tcW w:w="1760" w:type="dxa"/>
            <w:vAlign w:val="center"/>
          </w:tcPr>
          <w:p>
            <w:pPr>
              <w:jc w:val="left"/>
            </w:pPr>
            <w:r>
              <w:rPr>
                <w:rFonts w:ascii="宋体" w:hAnsi="宋体" w:eastAsia="宋体" w:cs="宋体"/>
                <w:b w:val="0"/>
                <w:i w:val="0"/>
                <w:color w:val="000000"/>
                <w:sz w:val="11"/>
              </w:rPr>
              <w:t>工业和信息产业监管</w:t>
            </w:r>
          </w:p>
        </w:tc>
        <w:tc>
          <w:tcPr>
            <w:tcW w:w="940" w:type="dxa"/>
            <w:vAlign w:val="center"/>
          </w:tcPr>
          <w:p>
            <w:pPr>
              <w:jc w:val="right"/>
            </w:pPr>
            <w:r>
              <w:rPr>
                <w:rFonts w:ascii="宋体" w:hAnsi="宋体" w:eastAsia="宋体" w:cs="宋体"/>
                <w:b w:val="0"/>
                <w:i w:val="0"/>
                <w:color w:val="000000"/>
                <w:sz w:val="11"/>
              </w:rPr>
              <w:t>8.40</w:t>
            </w:r>
          </w:p>
        </w:tc>
        <w:tc>
          <w:tcPr>
            <w:tcW w:w="1000" w:type="dxa"/>
            <w:vAlign w:val="center"/>
          </w:tcPr>
          <w:p>
            <w:pPr>
              <w:jc w:val="right"/>
            </w:pPr>
            <w:r>
              <w:rPr>
                <w:rFonts w:ascii="宋体" w:hAnsi="宋体" w:eastAsia="宋体" w:cs="宋体"/>
                <w:b w:val="0"/>
                <w:i w:val="0"/>
                <w:color w:val="000000"/>
                <w:sz w:val="11"/>
              </w:rPr>
              <w:t>8.40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2150501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8.40</w:t>
            </w:r>
          </w:p>
        </w:tc>
        <w:tc>
          <w:tcPr>
            <w:tcW w:w="1000" w:type="dxa"/>
            <w:vAlign w:val="center"/>
          </w:tcPr>
          <w:p>
            <w:pPr>
              <w:jc w:val="right"/>
            </w:pPr>
            <w:r>
              <w:rPr>
                <w:rFonts w:ascii="宋体" w:hAnsi="宋体" w:eastAsia="宋体" w:cs="宋体"/>
                <w:b w:val="0"/>
                <w:i w:val="0"/>
                <w:color w:val="000000"/>
                <w:sz w:val="11"/>
              </w:rPr>
              <w:t>8.40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17.99</w:t>
            </w:r>
          </w:p>
        </w:tc>
        <w:tc>
          <w:tcPr>
            <w:tcW w:w="1000" w:type="dxa"/>
            <w:vAlign w:val="center"/>
          </w:tcPr>
          <w:p>
            <w:pPr>
              <w:jc w:val="right"/>
            </w:pPr>
            <w:r>
              <w:rPr>
                <w:rFonts w:ascii="宋体" w:hAnsi="宋体" w:eastAsia="宋体" w:cs="宋体"/>
                <w:b w:val="0"/>
                <w:i w:val="0"/>
                <w:color w:val="000000"/>
                <w:sz w:val="11"/>
              </w:rPr>
              <w:t>17.99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17.99</w:t>
            </w:r>
          </w:p>
        </w:tc>
        <w:tc>
          <w:tcPr>
            <w:tcW w:w="1000" w:type="dxa"/>
            <w:vAlign w:val="center"/>
          </w:tcPr>
          <w:p>
            <w:pPr>
              <w:jc w:val="right"/>
            </w:pPr>
            <w:r>
              <w:rPr>
                <w:rFonts w:ascii="宋体" w:hAnsi="宋体" w:eastAsia="宋体" w:cs="宋体"/>
                <w:b w:val="0"/>
                <w:i w:val="0"/>
                <w:color w:val="000000"/>
                <w:sz w:val="11"/>
              </w:rPr>
              <w:t>17.99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17.99</w:t>
            </w:r>
          </w:p>
        </w:tc>
        <w:tc>
          <w:tcPr>
            <w:tcW w:w="1000" w:type="dxa"/>
            <w:vAlign w:val="center"/>
          </w:tcPr>
          <w:p>
            <w:pPr>
              <w:jc w:val="right"/>
            </w:pPr>
            <w:r>
              <w:rPr>
                <w:rFonts w:ascii="宋体" w:hAnsi="宋体" w:eastAsia="宋体" w:cs="宋体"/>
                <w:b w:val="0"/>
                <w:i w:val="0"/>
                <w:color w:val="000000"/>
                <w:sz w:val="11"/>
              </w:rPr>
              <w:t>17.99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239.07</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28.19</w:t>
            </w:r>
          </w:p>
        </w:tc>
        <w:tc>
          <w:tcPr>
            <w:tcW w:w="1460" w:type="dxa"/>
            <w:vAlign w:val="center"/>
          </w:tcPr>
          <w:p>
            <w:pPr>
              <w:jc w:val="right"/>
            </w:pPr>
            <w:r>
              <w:rPr>
                <w:rFonts w:ascii="宋体" w:hAnsi="宋体" w:eastAsia="宋体" w:cs="宋体"/>
                <w:b w:val="0"/>
                <w:i w:val="0"/>
                <w:color w:val="000000"/>
                <w:sz w:val="17"/>
              </w:rPr>
              <w:t>28.19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5.10</w:t>
            </w:r>
          </w:p>
        </w:tc>
        <w:tc>
          <w:tcPr>
            <w:tcW w:w="1460" w:type="dxa"/>
            <w:vAlign w:val="center"/>
          </w:tcPr>
          <w:p>
            <w:pPr>
              <w:jc w:val="right"/>
            </w:pPr>
            <w:r>
              <w:rPr>
                <w:rFonts w:ascii="宋体" w:hAnsi="宋体" w:eastAsia="宋体" w:cs="宋体"/>
                <w:b w:val="0"/>
                <w:i w:val="0"/>
                <w:color w:val="000000"/>
                <w:sz w:val="17"/>
              </w:rPr>
              <w:t>5.10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pPr>
              <w:jc w:val="right"/>
            </w:pPr>
            <w:r>
              <w:rPr>
                <w:rFonts w:ascii="宋体" w:hAnsi="宋体" w:eastAsia="宋体" w:cs="宋体"/>
                <w:b w:val="0"/>
                <w:i w:val="0"/>
                <w:color w:val="000000"/>
                <w:sz w:val="17"/>
              </w:rPr>
              <w:t>179.38</w:t>
            </w:r>
          </w:p>
        </w:tc>
        <w:tc>
          <w:tcPr>
            <w:tcW w:w="1460" w:type="dxa"/>
            <w:vAlign w:val="center"/>
          </w:tcPr>
          <w:p>
            <w:pPr>
              <w:jc w:val="right"/>
            </w:pPr>
            <w:r>
              <w:rPr>
                <w:rFonts w:ascii="宋体" w:hAnsi="宋体" w:eastAsia="宋体" w:cs="宋体"/>
                <w:b w:val="0"/>
                <w:i w:val="0"/>
                <w:color w:val="000000"/>
                <w:sz w:val="17"/>
              </w:rPr>
              <w:t>179.38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pPr>
              <w:jc w:val="right"/>
            </w:pPr>
            <w:r>
              <w:rPr>
                <w:rFonts w:ascii="宋体" w:hAnsi="宋体" w:eastAsia="宋体" w:cs="宋体"/>
                <w:b w:val="0"/>
                <w:i w:val="0"/>
                <w:color w:val="000000"/>
                <w:sz w:val="17"/>
              </w:rPr>
              <w:t>8.40</w:t>
            </w:r>
          </w:p>
        </w:tc>
        <w:tc>
          <w:tcPr>
            <w:tcW w:w="1460" w:type="dxa"/>
            <w:vAlign w:val="center"/>
          </w:tcPr>
          <w:p>
            <w:pPr>
              <w:jc w:val="right"/>
            </w:pPr>
            <w:r>
              <w:rPr>
                <w:rFonts w:ascii="宋体" w:hAnsi="宋体" w:eastAsia="宋体" w:cs="宋体"/>
                <w:b w:val="0"/>
                <w:i w:val="0"/>
                <w:color w:val="000000"/>
                <w:sz w:val="17"/>
              </w:rPr>
              <w:t>8.40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17.99</w:t>
            </w:r>
          </w:p>
        </w:tc>
        <w:tc>
          <w:tcPr>
            <w:tcW w:w="1460" w:type="dxa"/>
            <w:vAlign w:val="center"/>
          </w:tcPr>
          <w:p>
            <w:pPr>
              <w:jc w:val="right"/>
            </w:pPr>
            <w:r>
              <w:rPr>
                <w:rFonts w:ascii="宋体" w:hAnsi="宋体" w:eastAsia="宋体" w:cs="宋体"/>
                <w:b w:val="0"/>
                <w:i w:val="0"/>
                <w:color w:val="000000"/>
                <w:sz w:val="17"/>
              </w:rPr>
              <w:t>17.99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239.07</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239.07</w:t>
            </w:r>
          </w:p>
        </w:tc>
        <w:tc>
          <w:tcPr>
            <w:tcW w:w="1460" w:type="dxa"/>
            <w:vAlign w:val="center"/>
          </w:tcPr>
          <w:p>
            <w:pPr>
              <w:jc w:val="right"/>
            </w:pPr>
            <w:r>
              <w:rPr>
                <w:rFonts w:ascii="宋体" w:hAnsi="宋体" w:eastAsia="宋体" w:cs="宋体"/>
                <w:b w:val="0"/>
                <w:i w:val="0"/>
                <w:color w:val="000000"/>
                <w:sz w:val="17"/>
              </w:rPr>
              <w:t>239.07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239.07</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239.07</w:t>
            </w:r>
          </w:p>
        </w:tc>
        <w:tc>
          <w:tcPr>
            <w:tcW w:w="1460" w:type="dxa"/>
            <w:vAlign w:val="center"/>
          </w:tcPr>
          <w:p>
            <w:pPr>
              <w:jc w:val="right"/>
            </w:pPr>
            <w:r>
              <w:rPr>
                <w:rFonts w:ascii="宋体" w:hAnsi="宋体" w:eastAsia="宋体" w:cs="宋体"/>
                <w:b w:val="0"/>
                <w:i w:val="0"/>
                <w:color w:val="000000"/>
                <w:sz w:val="17"/>
              </w:rPr>
              <w:t>239.07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239.07</w:t>
            </w:r>
          </w:p>
        </w:tc>
        <w:tc>
          <w:tcPr>
            <w:tcW w:w="1520" w:type="dxa"/>
            <w:vAlign w:val="center"/>
          </w:tcPr>
          <w:p>
            <w:pPr>
              <w:jc w:val="right"/>
            </w:pPr>
            <w:r>
              <w:rPr>
                <w:rFonts w:ascii="宋体" w:hAnsi="宋体" w:eastAsia="宋体" w:cs="宋体"/>
                <w:b w:val="0"/>
                <w:i w:val="0"/>
                <w:color w:val="000000"/>
                <w:sz w:val="16"/>
              </w:rPr>
              <w:t>238.08</w:t>
            </w:r>
          </w:p>
        </w:tc>
        <w:tc>
          <w:tcPr>
            <w:tcW w:w="1526" w:type="dxa"/>
            <w:vAlign w:val="center"/>
          </w:tcPr>
          <w:p>
            <w:pPr>
              <w:jc w:val="right"/>
            </w:pPr>
            <w:r>
              <w:rPr>
                <w:rFonts w:ascii="宋体" w:hAnsi="宋体" w:eastAsia="宋体" w:cs="宋体"/>
                <w:b w:val="0"/>
                <w:i w:val="0"/>
                <w:color w:val="000000"/>
                <w:sz w:val="16"/>
              </w:rPr>
              <w:t>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28.19</w:t>
            </w:r>
          </w:p>
        </w:tc>
        <w:tc>
          <w:tcPr>
            <w:tcW w:w="1520" w:type="dxa"/>
            <w:vAlign w:val="center"/>
          </w:tcPr>
          <w:p>
            <w:pPr>
              <w:jc w:val="right"/>
            </w:pPr>
            <w:r>
              <w:rPr>
                <w:rFonts w:ascii="宋体" w:hAnsi="宋体" w:eastAsia="宋体" w:cs="宋体"/>
                <w:b w:val="0"/>
                <w:i w:val="0"/>
                <w:color w:val="000000"/>
                <w:sz w:val="16"/>
              </w:rPr>
              <w:t>28.19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28.19</w:t>
            </w:r>
          </w:p>
        </w:tc>
        <w:tc>
          <w:tcPr>
            <w:tcW w:w="1520" w:type="dxa"/>
            <w:vAlign w:val="center"/>
          </w:tcPr>
          <w:p>
            <w:pPr>
              <w:jc w:val="right"/>
            </w:pPr>
            <w:r>
              <w:rPr>
                <w:rFonts w:ascii="宋体" w:hAnsi="宋体" w:eastAsia="宋体" w:cs="宋体"/>
                <w:b w:val="0"/>
                <w:i w:val="0"/>
                <w:color w:val="000000"/>
                <w:sz w:val="16"/>
              </w:rPr>
              <w:t>28.19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15.38</w:t>
            </w:r>
          </w:p>
        </w:tc>
        <w:tc>
          <w:tcPr>
            <w:tcW w:w="1520" w:type="dxa"/>
            <w:vAlign w:val="center"/>
          </w:tcPr>
          <w:p>
            <w:pPr>
              <w:jc w:val="right"/>
            </w:pPr>
            <w:r>
              <w:rPr>
                <w:rFonts w:ascii="宋体" w:hAnsi="宋体" w:eastAsia="宋体" w:cs="宋体"/>
                <w:b w:val="0"/>
                <w:i w:val="0"/>
                <w:color w:val="000000"/>
                <w:sz w:val="16"/>
              </w:rPr>
              <w:t>15.38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12.81</w:t>
            </w:r>
          </w:p>
        </w:tc>
        <w:tc>
          <w:tcPr>
            <w:tcW w:w="1520" w:type="dxa"/>
            <w:vAlign w:val="center"/>
          </w:tcPr>
          <w:p>
            <w:pPr>
              <w:jc w:val="right"/>
            </w:pPr>
            <w:r>
              <w:rPr>
                <w:rFonts w:ascii="宋体" w:hAnsi="宋体" w:eastAsia="宋体" w:cs="宋体"/>
                <w:b w:val="0"/>
                <w:i w:val="0"/>
                <w:color w:val="000000"/>
                <w:sz w:val="16"/>
              </w:rPr>
              <w:t>12.81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5.10</w:t>
            </w:r>
          </w:p>
        </w:tc>
        <w:tc>
          <w:tcPr>
            <w:tcW w:w="1520" w:type="dxa"/>
            <w:vAlign w:val="center"/>
          </w:tcPr>
          <w:p>
            <w:pPr>
              <w:jc w:val="right"/>
            </w:pPr>
            <w:r>
              <w:rPr>
                <w:rFonts w:ascii="宋体" w:hAnsi="宋体" w:eastAsia="宋体" w:cs="宋体"/>
                <w:b w:val="0"/>
                <w:i w:val="0"/>
                <w:color w:val="000000"/>
                <w:sz w:val="16"/>
              </w:rPr>
              <w:t>5.10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5.10</w:t>
            </w:r>
          </w:p>
        </w:tc>
        <w:tc>
          <w:tcPr>
            <w:tcW w:w="1520" w:type="dxa"/>
            <w:vAlign w:val="center"/>
          </w:tcPr>
          <w:p>
            <w:pPr>
              <w:jc w:val="right"/>
            </w:pPr>
            <w:r>
              <w:rPr>
                <w:rFonts w:ascii="宋体" w:hAnsi="宋体" w:eastAsia="宋体" w:cs="宋体"/>
                <w:b w:val="0"/>
                <w:i w:val="0"/>
                <w:color w:val="000000"/>
                <w:sz w:val="16"/>
              </w:rPr>
              <w:t>5.10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5.03</w:t>
            </w:r>
          </w:p>
        </w:tc>
        <w:tc>
          <w:tcPr>
            <w:tcW w:w="1520" w:type="dxa"/>
            <w:vAlign w:val="center"/>
          </w:tcPr>
          <w:p>
            <w:pPr>
              <w:jc w:val="right"/>
            </w:pPr>
            <w:r>
              <w:rPr>
                <w:rFonts w:ascii="宋体" w:hAnsi="宋体" w:eastAsia="宋体" w:cs="宋体"/>
                <w:b w:val="0"/>
                <w:i w:val="0"/>
                <w:color w:val="000000"/>
                <w:sz w:val="16"/>
              </w:rPr>
              <w:t>5.03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0.08</w:t>
            </w:r>
          </w:p>
        </w:tc>
        <w:tc>
          <w:tcPr>
            <w:tcW w:w="1520" w:type="dxa"/>
            <w:vAlign w:val="center"/>
          </w:tcPr>
          <w:p>
            <w:pPr>
              <w:jc w:val="right"/>
            </w:pPr>
            <w:r>
              <w:rPr>
                <w:rFonts w:ascii="宋体" w:hAnsi="宋体" w:eastAsia="宋体" w:cs="宋体"/>
                <w:b w:val="0"/>
                <w:i w:val="0"/>
                <w:color w:val="000000"/>
                <w:sz w:val="16"/>
              </w:rPr>
              <w:t>0.08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w:t>
            </w:r>
          </w:p>
        </w:tc>
        <w:tc>
          <w:tcPr>
            <w:tcW w:w="2700" w:type="dxa"/>
            <w:vAlign w:val="center"/>
          </w:tcPr>
          <w:p>
            <w:pPr>
              <w:jc w:val="left"/>
            </w:pPr>
            <w:r>
              <w:rPr>
                <w:rFonts w:ascii="宋体" w:hAnsi="宋体" w:eastAsia="宋体" w:cs="宋体"/>
                <w:b w:val="0"/>
                <w:i w:val="0"/>
                <w:color w:val="000000"/>
                <w:sz w:val="16"/>
              </w:rPr>
              <w:t>交通运输支出</w:t>
            </w:r>
          </w:p>
        </w:tc>
        <w:tc>
          <w:tcPr>
            <w:tcW w:w="1420" w:type="dxa"/>
            <w:vAlign w:val="center"/>
          </w:tcPr>
          <w:p>
            <w:pPr>
              <w:jc w:val="right"/>
            </w:pPr>
            <w:r>
              <w:rPr>
                <w:rFonts w:ascii="宋体" w:hAnsi="宋体" w:eastAsia="宋体" w:cs="宋体"/>
                <w:b w:val="0"/>
                <w:i w:val="0"/>
                <w:color w:val="000000"/>
                <w:sz w:val="16"/>
              </w:rPr>
              <w:t>179.38</w:t>
            </w:r>
          </w:p>
        </w:tc>
        <w:tc>
          <w:tcPr>
            <w:tcW w:w="1520" w:type="dxa"/>
            <w:vAlign w:val="center"/>
          </w:tcPr>
          <w:p>
            <w:pPr>
              <w:jc w:val="right"/>
            </w:pPr>
            <w:r>
              <w:rPr>
                <w:rFonts w:ascii="宋体" w:hAnsi="宋体" w:eastAsia="宋体" w:cs="宋体"/>
                <w:b w:val="0"/>
                <w:i w:val="0"/>
                <w:color w:val="000000"/>
                <w:sz w:val="16"/>
              </w:rPr>
              <w:t>178.39</w:t>
            </w:r>
          </w:p>
        </w:tc>
        <w:tc>
          <w:tcPr>
            <w:tcW w:w="1526" w:type="dxa"/>
            <w:vAlign w:val="center"/>
          </w:tcPr>
          <w:p>
            <w:pPr>
              <w:jc w:val="right"/>
            </w:pPr>
            <w:r>
              <w:rPr>
                <w:rFonts w:ascii="宋体" w:hAnsi="宋体" w:eastAsia="宋体" w:cs="宋体"/>
                <w:b w:val="0"/>
                <w:i w:val="0"/>
                <w:color w:val="000000"/>
                <w:sz w:val="16"/>
              </w:rPr>
              <w:t>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w:t>
            </w:r>
          </w:p>
        </w:tc>
        <w:tc>
          <w:tcPr>
            <w:tcW w:w="2700" w:type="dxa"/>
            <w:vAlign w:val="center"/>
          </w:tcPr>
          <w:p>
            <w:pPr>
              <w:jc w:val="left"/>
            </w:pPr>
            <w:r>
              <w:rPr>
                <w:rFonts w:ascii="宋体" w:hAnsi="宋体" w:eastAsia="宋体" w:cs="宋体"/>
                <w:b w:val="0"/>
                <w:i w:val="0"/>
                <w:color w:val="000000"/>
                <w:sz w:val="16"/>
              </w:rPr>
              <w:t>公路水路运输</w:t>
            </w:r>
          </w:p>
        </w:tc>
        <w:tc>
          <w:tcPr>
            <w:tcW w:w="1420" w:type="dxa"/>
            <w:vAlign w:val="center"/>
          </w:tcPr>
          <w:p>
            <w:pPr>
              <w:jc w:val="right"/>
            </w:pPr>
            <w:r>
              <w:rPr>
                <w:rFonts w:ascii="宋体" w:hAnsi="宋体" w:eastAsia="宋体" w:cs="宋体"/>
                <w:b w:val="0"/>
                <w:i w:val="0"/>
                <w:color w:val="000000"/>
                <w:sz w:val="16"/>
              </w:rPr>
              <w:t>179.38</w:t>
            </w:r>
          </w:p>
        </w:tc>
        <w:tc>
          <w:tcPr>
            <w:tcW w:w="1520" w:type="dxa"/>
            <w:vAlign w:val="center"/>
          </w:tcPr>
          <w:p>
            <w:pPr>
              <w:jc w:val="right"/>
            </w:pPr>
            <w:r>
              <w:rPr>
                <w:rFonts w:ascii="宋体" w:hAnsi="宋体" w:eastAsia="宋体" w:cs="宋体"/>
                <w:b w:val="0"/>
                <w:i w:val="0"/>
                <w:color w:val="000000"/>
                <w:sz w:val="16"/>
              </w:rPr>
              <w:t>178.39</w:t>
            </w:r>
          </w:p>
        </w:tc>
        <w:tc>
          <w:tcPr>
            <w:tcW w:w="1526" w:type="dxa"/>
            <w:vAlign w:val="center"/>
          </w:tcPr>
          <w:p>
            <w:pPr>
              <w:jc w:val="right"/>
            </w:pPr>
            <w:r>
              <w:rPr>
                <w:rFonts w:ascii="宋体" w:hAnsi="宋体" w:eastAsia="宋体" w:cs="宋体"/>
                <w:b w:val="0"/>
                <w:i w:val="0"/>
                <w:color w:val="000000"/>
                <w:sz w:val="16"/>
              </w:rPr>
              <w:t>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162.22</w:t>
            </w:r>
          </w:p>
        </w:tc>
        <w:tc>
          <w:tcPr>
            <w:tcW w:w="1520" w:type="dxa"/>
            <w:vAlign w:val="center"/>
          </w:tcPr>
          <w:p>
            <w:pPr>
              <w:jc w:val="right"/>
            </w:pPr>
            <w:r>
              <w:rPr>
                <w:rFonts w:ascii="宋体" w:hAnsi="宋体" w:eastAsia="宋体" w:cs="宋体"/>
                <w:b w:val="0"/>
                <w:i w:val="0"/>
                <w:color w:val="000000"/>
                <w:sz w:val="16"/>
              </w:rPr>
              <w:t>162.22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17.16</w:t>
            </w:r>
          </w:p>
        </w:tc>
        <w:tc>
          <w:tcPr>
            <w:tcW w:w="1520" w:type="dxa"/>
            <w:vAlign w:val="center"/>
          </w:tcPr>
          <w:p>
            <w:pPr>
              <w:jc w:val="right"/>
            </w:pPr>
            <w:r>
              <w:rPr>
                <w:rFonts w:ascii="宋体" w:hAnsi="宋体" w:eastAsia="宋体" w:cs="宋体"/>
                <w:b w:val="0"/>
                <w:i w:val="0"/>
                <w:color w:val="000000"/>
                <w:sz w:val="16"/>
              </w:rPr>
              <w:t>16.17</w:t>
            </w:r>
          </w:p>
        </w:tc>
        <w:tc>
          <w:tcPr>
            <w:tcW w:w="1526" w:type="dxa"/>
            <w:vAlign w:val="center"/>
          </w:tcPr>
          <w:p>
            <w:pPr>
              <w:jc w:val="right"/>
            </w:pPr>
            <w:r>
              <w:rPr>
                <w:rFonts w:ascii="宋体" w:hAnsi="宋体" w:eastAsia="宋体" w:cs="宋体"/>
                <w:b w:val="0"/>
                <w:i w:val="0"/>
                <w:color w:val="000000"/>
                <w:sz w:val="16"/>
              </w:rPr>
              <w:t>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215</w:t>
            </w:r>
          </w:p>
        </w:tc>
        <w:tc>
          <w:tcPr>
            <w:tcW w:w="2700" w:type="dxa"/>
            <w:vAlign w:val="center"/>
          </w:tcPr>
          <w:p>
            <w:pPr>
              <w:jc w:val="left"/>
            </w:pPr>
            <w:r>
              <w:rPr>
                <w:rFonts w:ascii="宋体" w:hAnsi="宋体" w:eastAsia="宋体" w:cs="宋体"/>
                <w:b w:val="0"/>
                <w:i w:val="0"/>
                <w:color w:val="000000"/>
                <w:sz w:val="16"/>
              </w:rPr>
              <w:t>资源勘探工业信息等支出</w:t>
            </w:r>
          </w:p>
        </w:tc>
        <w:tc>
          <w:tcPr>
            <w:tcW w:w="1420" w:type="dxa"/>
            <w:vAlign w:val="center"/>
          </w:tcPr>
          <w:p>
            <w:pPr>
              <w:jc w:val="right"/>
            </w:pPr>
            <w:r>
              <w:rPr>
                <w:rFonts w:ascii="宋体" w:hAnsi="宋体" w:eastAsia="宋体" w:cs="宋体"/>
                <w:b w:val="0"/>
                <w:i w:val="0"/>
                <w:color w:val="000000"/>
                <w:sz w:val="16"/>
              </w:rPr>
              <w:t>8.40</w:t>
            </w:r>
          </w:p>
        </w:tc>
        <w:tc>
          <w:tcPr>
            <w:tcW w:w="1520" w:type="dxa"/>
            <w:vAlign w:val="center"/>
          </w:tcPr>
          <w:p>
            <w:pPr>
              <w:jc w:val="right"/>
            </w:pPr>
            <w:r>
              <w:rPr>
                <w:rFonts w:ascii="宋体" w:hAnsi="宋体" w:eastAsia="宋体" w:cs="宋体"/>
                <w:b w:val="0"/>
                <w:i w:val="0"/>
                <w:color w:val="000000"/>
                <w:sz w:val="16"/>
              </w:rPr>
              <w:t>8.40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21505</w:t>
            </w:r>
          </w:p>
        </w:tc>
        <w:tc>
          <w:tcPr>
            <w:tcW w:w="2700" w:type="dxa"/>
            <w:vAlign w:val="center"/>
          </w:tcPr>
          <w:p>
            <w:pPr>
              <w:jc w:val="left"/>
            </w:pPr>
            <w:r>
              <w:rPr>
                <w:rFonts w:ascii="宋体" w:hAnsi="宋体" w:eastAsia="宋体" w:cs="宋体"/>
                <w:b w:val="0"/>
                <w:i w:val="0"/>
                <w:color w:val="000000"/>
                <w:sz w:val="16"/>
              </w:rPr>
              <w:t>工业和信息产业监管</w:t>
            </w:r>
          </w:p>
        </w:tc>
        <w:tc>
          <w:tcPr>
            <w:tcW w:w="1420" w:type="dxa"/>
            <w:vAlign w:val="center"/>
          </w:tcPr>
          <w:p>
            <w:pPr>
              <w:jc w:val="right"/>
            </w:pPr>
            <w:r>
              <w:rPr>
                <w:rFonts w:ascii="宋体" w:hAnsi="宋体" w:eastAsia="宋体" w:cs="宋体"/>
                <w:b w:val="0"/>
                <w:i w:val="0"/>
                <w:color w:val="000000"/>
                <w:sz w:val="16"/>
              </w:rPr>
              <w:t>8.40</w:t>
            </w:r>
          </w:p>
        </w:tc>
        <w:tc>
          <w:tcPr>
            <w:tcW w:w="1520" w:type="dxa"/>
            <w:vAlign w:val="center"/>
          </w:tcPr>
          <w:p>
            <w:pPr>
              <w:jc w:val="right"/>
            </w:pPr>
            <w:r>
              <w:rPr>
                <w:rFonts w:ascii="宋体" w:hAnsi="宋体" w:eastAsia="宋体" w:cs="宋体"/>
                <w:b w:val="0"/>
                <w:i w:val="0"/>
                <w:color w:val="000000"/>
                <w:sz w:val="16"/>
              </w:rPr>
              <w:t>8.40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2150501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8.40</w:t>
            </w:r>
          </w:p>
        </w:tc>
        <w:tc>
          <w:tcPr>
            <w:tcW w:w="1520" w:type="dxa"/>
            <w:vAlign w:val="center"/>
          </w:tcPr>
          <w:p>
            <w:pPr>
              <w:jc w:val="right"/>
            </w:pPr>
            <w:r>
              <w:rPr>
                <w:rFonts w:ascii="宋体" w:hAnsi="宋体" w:eastAsia="宋体" w:cs="宋体"/>
                <w:b w:val="0"/>
                <w:i w:val="0"/>
                <w:color w:val="000000"/>
                <w:sz w:val="16"/>
              </w:rPr>
              <w:t>8.40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17.99</w:t>
            </w:r>
          </w:p>
        </w:tc>
        <w:tc>
          <w:tcPr>
            <w:tcW w:w="1520" w:type="dxa"/>
            <w:vAlign w:val="center"/>
          </w:tcPr>
          <w:p>
            <w:pPr>
              <w:jc w:val="right"/>
            </w:pPr>
            <w:r>
              <w:rPr>
                <w:rFonts w:ascii="宋体" w:hAnsi="宋体" w:eastAsia="宋体" w:cs="宋体"/>
                <w:b w:val="0"/>
                <w:i w:val="0"/>
                <w:color w:val="000000"/>
                <w:sz w:val="16"/>
              </w:rPr>
              <w:t>17.99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17.99</w:t>
            </w:r>
          </w:p>
        </w:tc>
        <w:tc>
          <w:tcPr>
            <w:tcW w:w="1520" w:type="dxa"/>
            <w:vAlign w:val="center"/>
          </w:tcPr>
          <w:p>
            <w:pPr>
              <w:jc w:val="right"/>
            </w:pPr>
            <w:r>
              <w:rPr>
                <w:rFonts w:ascii="宋体" w:hAnsi="宋体" w:eastAsia="宋体" w:cs="宋体"/>
                <w:b w:val="0"/>
                <w:i w:val="0"/>
                <w:color w:val="000000"/>
                <w:sz w:val="16"/>
              </w:rPr>
              <w:t>17.99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17.99</w:t>
            </w:r>
          </w:p>
        </w:tc>
        <w:tc>
          <w:tcPr>
            <w:tcW w:w="1520" w:type="dxa"/>
            <w:vAlign w:val="center"/>
          </w:tcPr>
          <w:p>
            <w:pPr>
              <w:jc w:val="right"/>
            </w:pPr>
            <w:r>
              <w:rPr>
                <w:rFonts w:ascii="宋体" w:hAnsi="宋体" w:eastAsia="宋体" w:cs="宋体"/>
                <w:b w:val="0"/>
                <w:i w:val="0"/>
                <w:color w:val="000000"/>
                <w:sz w:val="16"/>
              </w:rPr>
              <w:t>17.99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217.79</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13.65</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64.57</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5.00</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33.73</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0.01</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4.56</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9.11</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54.55</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15.38</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12.81</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0.21</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5.03</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0.08</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1.33</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17.99</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1.47</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4.26</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0.15</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0.95</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0.84</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1.19</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2.44</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2.00</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0.98</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0.44</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0.01</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0.91</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222.05</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16.03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单位：景德镇市昌江区交通运输事业发展中心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1.00</w:t>
            </w:r>
          </w:p>
        </w:tc>
        <w:tc>
          <w:tcPr>
            <w:tcW w:w="1460" w:type="dxa"/>
            <w:vAlign w:val="center"/>
          </w:tcPr>
          <w:p>
            <w:pPr>
              <w:jc w:val="right"/>
            </w:pPr>
            <w:r>
              <w:rPr>
                <w:rFonts w:ascii="宋体" w:hAnsi="宋体" w:eastAsia="宋体" w:cs="宋体"/>
                <w:b w:val="0"/>
                <w:i w:val="0"/>
                <w:color w:val="000000"/>
                <w:sz w:val="16"/>
              </w:rPr>
              <w:t>1.00</w:t>
            </w:r>
          </w:p>
        </w:tc>
        <w:tc>
          <w:tcPr>
            <w:tcW w:w="1586" w:type="dxa"/>
            <w:vAlign w:val="center"/>
          </w:tcPr>
          <w:p>
            <w:pPr>
              <w:jc w:val="right"/>
            </w:pPr>
            <w:r>
              <w:rPr>
                <w:rFonts w:ascii="宋体" w:hAnsi="宋体" w:eastAsia="宋体" w:cs="宋体"/>
                <w:b w:val="0"/>
                <w:i w:val="0"/>
                <w:color w:val="000000"/>
                <w:sz w:val="17"/>
              </w:rPr>
              <w:t>0.95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1.00</w:t>
            </w:r>
          </w:p>
        </w:tc>
        <w:tc>
          <w:tcPr>
            <w:tcW w:w="1460" w:type="dxa"/>
            <w:vAlign w:val="center"/>
          </w:tcPr>
          <w:p>
            <w:pPr>
              <w:jc w:val="right"/>
            </w:pPr>
            <w:r>
              <w:rPr>
                <w:rFonts w:ascii="宋体" w:hAnsi="宋体" w:eastAsia="宋体" w:cs="宋体"/>
                <w:b w:val="0"/>
                <w:i w:val="0"/>
                <w:color w:val="000000"/>
                <w:sz w:val="16"/>
              </w:rPr>
              <w:t>1.00</w:t>
            </w:r>
          </w:p>
        </w:tc>
        <w:tc>
          <w:tcPr>
            <w:tcW w:w="1586" w:type="dxa"/>
            <w:vAlign w:val="center"/>
          </w:tcPr>
          <w:p>
            <w:pPr>
              <w:jc w:val="right"/>
            </w:pPr>
            <w:r>
              <w:rPr>
                <w:rFonts w:ascii="宋体" w:hAnsi="宋体" w:eastAsia="宋体" w:cs="宋体"/>
                <w:b w:val="0"/>
                <w:i w:val="0"/>
                <w:color w:val="000000"/>
                <w:sz w:val="17"/>
              </w:rPr>
              <w:t>0.95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7"/>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景德镇市昌江区交通运输事业发展中心</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2023年度收入总计239.07万元，其中年初结转和结余0.00万元，与上年持平；使用非财政拨款结余和专用结余0.00万元，与上年持平；本年收入合计239.07万元，比上年增加188.40万元</w:t>
      </w:r>
      <w:r>
        <w:rPr>
          <w:rFonts w:hint="eastAsia" w:ascii="仿宋_GB2312" w:hAnsi="仿宋_GB2312" w:eastAsia="仿宋_GB2312" w:cs="Times New Roman"/>
          <w:sz w:val="32"/>
          <w:szCs w:val="32"/>
        </w:rPr>
        <w:t>，增长371.80%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增加事业编制人员绩效收入</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本年收入的具体构成：财政拨款收入239.07万元，占100.00%；事业收入0.00万元，占0.00%；经营收入0.00万元，占0.00%；上级补助收入0.00万元，占0.00%；附属单位上缴收入0.00万元，占0.00%；其他收入0.00万元，占0.00%。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2023年度支出总计239.07万元，其中本年支出合计239.07万元，比上年增加188.40万元</w:t>
      </w:r>
      <w:r>
        <w:rPr>
          <w:rFonts w:hint="eastAsia" w:ascii="仿宋_GB2312" w:hAnsi="仿宋_GB2312" w:eastAsia="仿宋_GB2312" w:cs="Times New Roman"/>
          <w:sz w:val="32"/>
          <w:szCs w:val="32"/>
        </w:rPr>
        <w:t>，增长371.80%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增加事业编制人员绩效支出</w:t>
      </w:r>
      <w:r>
        <w:rPr>
          <w:rFonts w:hint="eastAsia" w:ascii="仿宋_GB2312" w:hAnsi="仿宋_GB2312" w:eastAsia="仿宋_GB2312"/>
          <w:sz w:val="32"/>
          <w:szCs w:val="32"/>
        </w:rPr>
        <w:t>；结余分配0.00万元，与上年持平；年末结转和结余0.00万元，比上年增加0.00万元，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本年与上年都没结转和结余</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本年支出的具体构成：基本支出238.08万元，占99.59%；项目支出0.99万元，占0.41%；经营支出0.00万元，占0.00%；上缴上级支出0.00万元，占0.00%；对附属单位补助支出0.00万元，占0.00%。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2023年度财政拨款本年支出年初预算数185.07万元，决算数239.07万元，完成年初预算的129.18%。其中：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）社会保障和就业支出（类）年初预算数16.52万元，决算数28.19万元，完成年初预算的170.66%。预决算差异主要原因：</w:t>
      </w:r>
      <w:r>
        <w:rPr>
          <w:rFonts w:hint="eastAsia" w:ascii="仿宋_GB2312" w:hAnsi="仿宋_GB2312" w:eastAsia="仿宋_GB2312"/>
          <w:sz w:val="32"/>
          <w:szCs w:val="32"/>
          <w:lang w:val="en-US" w:eastAsia="zh-CN"/>
        </w:rPr>
        <w:t>调加了上缴社会保障和就业支出基数</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）卫生健康支出（类）年初预算数8.05万元，决算数5.10万元，完成年初预算的63.36%。预决算差异主要原因：</w:t>
      </w:r>
      <w:r>
        <w:rPr>
          <w:rFonts w:hint="eastAsia" w:ascii="仿宋_GB2312" w:hAnsi="仿宋_GB2312" w:eastAsia="仿宋_GB2312"/>
          <w:sz w:val="32"/>
          <w:szCs w:val="32"/>
          <w:lang w:val="en-US" w:eastAsia="zh-CN"/>
        </w:rPr>
        <w:t>缴费基数进行了调整及人员减少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（三）交通运输支出（类）年初预算数141.39万元，决算数179.38万元，完成年初预算的126.86%。预决算差异主要原因：</w:t>
      </w:r>
      <w:r>
        <w:rPr>
          <w:rFonts w:hint="eastAsia" w:ascii="仿宋_GB2312" w:hAnsi="仿宋_GB2312" w:eastAsia="仿宋_GB2312"/>
          <w:sz w:val="32"/>
          <w:szCs w:val="32"/>
          <w:lang w:val="en-US" w:eastAsia="zh-CN"/>
        </w:rPr>
        <w:t>增加事业编制人员绩效支出</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（四）资源勘探工业信息等支出（类）年初预算数0.00万元，决算数8.40万元，预决算差异主要原因：</w:t>
      </w:r>
      <w:r>
        <w:rPr>
          <w:rFonts w:hint="eastAsia" w:ascii="仿宋_GB2312" w:hAnsi="仿宋_GB2312" w:eastAsia="仿宋_GB2312"/>
          <w:sz w:val="32"/>
          <w:szCs w:val="32"/>
          <w:lang w:val="en-US" w:eastAsia="zh-CN"/>
        </w:rPr>
        <w:t>年中下达预算时为资源勘探工业信息支出</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）住房保障支出（类）年初预算数19.10万元，决算数17.99万元，完成年初预算的94.20%。预决算差异主要原因：</w:t>
      </w:r>
      <w:r>
        <w:rPr>
          <w:rFonts w:hint="eastAsia" w:ascii="仿宋_GB2312" w:hAnsi="仿宋_GB2312" w:eastAsia="仿宋_GB2312"/>
          <w:sz w:val="32"/>
          <w:szCs w:val="32"/>
          <w:lang w:val="en-US" w:eastAsia="zh-CN"/>
        </w:rPr>
        <w:t>缴费基数进行了调整</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2023年度一般公共预算财政拨款基本支出238.08万元，其中：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（一）工资福利支出217.79万元，比上年增加167.32万元</w:t>
      </w:r>
      <w:r>
        <w:rPr>
          <w:rFonts w:hint="eastAsia" w:ascii="仿宋_GB2312" w:hAnsi="仿宋_GB2312" w:eastAsia="仿宋_GB2312" w:cs="Times New Roman"/>
          <w:sz w:val="32"/>
          <w:szCs w:val="32"/>
        </w:rPr>
        <w:t>，增长331.52%</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增加事业编制人员绩效支出</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（二）商品和服务支出13.65万元，比上年增加13.49万元</w:t>
      </w:r>
      <w:r>
        <w:rPr>
          <w:rFonts w:hint="eastAsia" w:ascii="仿宋_GB2312" w:hAnsi="仿宋_GB2312" w:eastAsia="仿宋_GB2312" w:cs="Times New Roman"/>
          <w:sz w:val="32"/>
          <w:szCs w:val="32"/>
        </w:rPr>
        <w:t>，增长8271.27%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上年新增加单位</w:t>
      </w:r>
      <w:r>
        <w:rPr>
          <w:rFonts w:hint="eastAsia" w:ascii="仿宋_GB2312" w:hAnsi="仿宋_GB2312" w:eastAsia="仿宋_GB2312"/>
          <w:sz w:val="32"/>
          <w:szCs w:val="32"/>
        </w:rPr>
        <w:t>。</w:t>
      </w:r>
    </w:p>
    <w:p>
      <w:pPr>
        <w:ind w:firstLine="585"/>
        <w:jc w:val="left"/>
        <w:rPr>
          <w:rFonts w:hint="eastAsia" w:ascii="仿宋_GB2312" w:hAnsi="仿宋_GB2312" w:eastAsia="仿宋_GB2312"/>
          <w:color w:val="auto"/>
          <w:sz w:val="32"/>
          <w:szCs w:val="32"/>
        </w:rPr>
      </w:pPr>
      <w:r>
        <w:rPr>
          <w:rFonts w:hint="eastAsia" w:ascii="仿宋_GB2312" w:hAnsi="仿宋_GB2312" w:eastAsia="仿宋_GB2312"/>
          <w:sz w:val="32"/>
          <w:szCs w:val="32"/>
        </w:rPr>
        <w:t>（三）对个人和家庭补助支出4.26万元，比上年增加4.22万元</w:t>
      </w:r>
      <w:r>
        <w:rPr>
          <w:rFonts w:hint="eastAsia" w:ascii="仿宋_GB2312" w:hAnsi="仿宋_GB2312" w:eastAsia="仿宋_GB2312" w:cs="Times New Roman"/>
          <w:sz w:val="32"/>
          <w:szCs w:val="32"/>
        </w:rPr>
        <w:t>，增长11442.79%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本年单位生活补助支出增加</w:t>
      </w:r>
      <w:r>
        <w:rPr>
          <w:rFonts w:hint="eastAsia" w:ascii="仿宋_GB2312" w:hAnsi="仿宋_GB2312" w:eastAsia="仿宋_GB2312"/>
          <w:color w:val="auto"/>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（四）资本性支出2.38万元，比上年增加2.38万元，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本年新购置了固定资产</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2023年度财政拨款“三公”经费支出全年预算数1.00万元，决算数0.95万元，完成全年预算的94.91%</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决算数比上年增加0.95万元，其中：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没有安排</w:t>
      </w:r>
      <w:r>
        <w:rPr>
          <w:rFonts w:hint="eastAsia" w:ascii="仿宋_GB2312" w:hAnsi="仿宋_GB2312" w:eastAsia="仿宋_GB2312"/>
          <w:sz w:val="32"/>
          <w:szCs w:val="32"/>
        </w:rPr>
        <w:t>因公出国（境）费。决算数与上年持平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没有安排</w:t>
      </w:r>
      <w:r>
        <w:rPr>
          <w:rFonts w:hint="eastAsia" w:ascii="仿宋_GB2312" w:hAnsi="仿宋_GB2312" w:eastAsia="仿宋_GB2312"/>
          <w:sz w:val="32"/>
          <w:szCs w:val="32"/>
        </w:rPr>
        <w:t>因公出国（境）费。全年安排因公出国（境）团组0个，累计0人次，主要是：</w:t>
      </w:r>
      <w:r>
        <w:rPr>
          <w:rFonts w:hint="eastAsia" w:ascii="仿宋_GB2312" w:hAnsi="仿宋_GB2312" w:eastAsia="仿宋_GB2312"/>
          <w:sz w:val="32"/>
          <w:szCs w:val="32"/>
          <w:lang w:val="en-US" w:eastAsia="zh-CN"/>
        </w:rPr>
        <w:t>没有安排</w:t>
      </w:r>
      <w:r>
        <w:rPr>
          <w:rFonts w:hint="eastAsia" w:ascii="仿宋_GB2312" w:hAnsi="仿宋_GB2312" w:eastAsia="仿宋_GB2312"/>
          <w:sz w:val="32"/>
          <w:szCs w:val="32"/>
        </w:rPr>
        <w:t>因公出国（境）费。</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本单位没有公务用车编制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本单位没有公务用车编制</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本单位没有公务用车编制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本单位没有公务用车编制</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（三）公务接待费全年预算数1.00万元，决算数0.95万元，完成全年预算的94.91%，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为了节约单位开支，减少公务接待</w:t>
      </w:r>
      <w:r>
        <w:rPr>
          <w:rFonts w:hint="eastAsia" w:ascii="仿宋_GB2312" w:hAnsi="仿宋_GB2312" w:eastAsia="仿宋_GB2312"/>
          <w:sz w:val="32"/>
          <w:szCs w:val="32"/>
        </w:rPr>
        <w:t>。决算数比上年增加0.95万元,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本年增加了接待外来办事人员</w:t>
      </w:r>
      <w:r>
        <w:rPr>
          <w:rFonts w:hint="eastAsia" w:ascii="仿宋_GB2312" w:hAnsi="仿宋_GB2312" w:eastAsia="仿宋_GB2312"/>
          <w:sz w:val="32"/>
          <w:szCs w:val="32"/>
        </w:rPr>
        <w:t>。全年国内公务接待8批，累计接待80人次，主要是：</w:t>
      </w:r>
      <w:r>
        <w:rPr>
          <w:rFonts w:hint="eastAsia" w:ascii="仿宋_GB2312" w:hAnsi="仿宋_GB2312" w:eastAsia="仿宋_GB2312"/>
          <w:sz w:val="32"/>
          <w:szCs w:val="32"/>
          <w:lang w:val="en-US" w:eastAsia="zh-CN"/>
        </w:rPr>
        <w:t>本年增加了接待外来办事人员</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2023年度机关运行经费支出0.00万元，决算数与上年持平，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事业单位没有机关运行经费</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5"/>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2.39万元，其中：政府采购货物支出2.39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 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个项目评价结果为“中”，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 w:hAnsi="仿宋" w:eastAsia="仿宋" w:cs="仿宋"/>
          <w:i w:val="0"/>
          <w:iCs w:val="0"/>
          <w:color w:val="000000"/>
          <w:kern w:val="0"/>
          <w:sz w:val="32"/>
          <w:szCs w:val="32"/>
          <w:u w:val="none"/>
          <w:lang w:val="en-US" w:eastAsia="zh-CN" w:bidi="ar"/>
        </w:rPr>
        <w:t>购船舶专用设备补助经费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513"/>
        <w:gridCol w:w="534"/>
        <w:gridCol w:w="1433"/>
        <w:gridCol w:w="1221"/>
        <w:gridCol w:w="540"/>
        <w:gridCol w:w="761"/>
        <w:gridCol w:w="1022"/>
        <w:gridCol w:w="528"/>
        <w:gridCol w:w="557"/>
        <w:gridCol w:w="656"/>
        <w:gridCol w:w="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8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购船舶专用设备补助经费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0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保障渡口人员安全出行，维护群众出行安全，定期更换应急救援物资。</w:t>
            </w:r>
          </w:p>
        </w:tc>
        <w:tc>
          <w:tcPr>
            <w:tcW w:w="3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保障渡口人员安全出行，维护群众出行安全，定期更换应急救援物资。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49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船舶应急救援物资购置成本</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采购应急救援物资数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采购物资验收合格率</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工作完成及时率</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装备配备率</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5"/>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ind w:firstLine="630"/>
        <w:jc w:val="left"/>
        <w:outlineLvl w:val="1"/>
        <w:rPr>
          <w:rFonts w:hint="eastAsia" w:ascii="仿宋_GB2312" w:hAnsi="仿宋_GB2312" w:eastAsia="仿宋_GB2312"/>
          <w:color w:val="FF0000"/>
          <w:kern w:val="0"/>
          <w:sz w:val="32"/>
          <w:szCs w:val="32"/>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行政运行：反映</w:t>
      </w:r>
      <w:r>
        <w:rPr>
          <w:rFonts w:hint="eastAsia" w:ascii="仿宋_GB2312" w:hAnsi="仿宋_GB2312" w:eastAsia="仿宋_GB2312" w:cs="仿宋_GB2312"/>
          <w:sz w:val="32"/>
          <w:szCs w:val="32"/>
          <w:lang w:eastAsia="zh-CN"/>
        </w:rPr>
        <w:t>单位办公室</w:t>
      </w:r>
      <w:r>
        <w:rPr>
          <w:rFonts w:hint="eastAsia" w:ascii="仿宋_GB2312" w:hAnsi="仿宋_GB2312" w:eastAsia="仿宋_GB2312" w:cs="仿宋_GB2312"/>
          <w:sz w:val="32"/>
          <w:szCs w:val="32"/>
        </w:rPr>
        <w:t>的基本支出。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2、一般行政管理事务：反映</w:t>
      </w:r>
      <w:r>
        <w:rPr>
          <w:rFonts w:hint="eastAsia" w:ascii="仿宋_GB2312" w:hAnsi="仿宋_GB2312" w:eastAsia="仿宋_GB2312" w:cs="仿宋_GB2312"/>
          <w:sz w:val="32"/>
          <w:szCs w:val="32"/>
          <w:lang w:eastAsia="zh-CN"/>
        </w:rPr>
        <w:t>单位办公室</w:t>
      </w:r>
      <w:r>
        <w:rPr>
          <w:rFonts w:hint="eastAsia" w:ascii="仿宋_GB2312" w:hAnsi="仿宋_GB2312" w:eastAsia="仿宋_GB2312" w:cs="仿宋_GB2312"/>
          <w:sz w:val="32"/>
          <w:szCs w:val="32"/>
        </w:rPr>
        <w:t>未单独设置项级科目的其他项目支出。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、行政单位医疗：财政部门安排的</w:t>
      </w:r>
      <w:r>
        <w:rPr>
          <w:rFonts w:hint="eastAsia" w:ascii="仿宋_GB2312" w:hAnsi="仿宋_GB2312" w:eastAsia="仿宋_GB2312" w:cs="仿宋_GB2312"/>
          <w:sz w:val="32"/>
          <w:szCs w:val="32"/>
          <w:lang w:eastAsia="zh-CN"/>
        </w:rPr>
        <w:t>单位办公室</w:t>
      </w:r>
      <w:r>
        <w:rPr>
          <w:rFonts w:hint="eastAsia" w:ascii="仿宋_GB2312" w:hAnsi="仿宋_GB2312" w:eastAsia="仿宋_GB2312" w:cs="仿宋_GB2312"/>
          <w:sz w:val="32"/>
          <w:szCs w:val="32"/>
        </w:rPr>
        <w:t>职工基本医疗保险缴费缴费。</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、住房公积金：反映</w:t>
      </w:r>
      <w:r>
        <w:rPr>
          <w:rFonts w:hint="eastAsia" w:ascii="仿宋_GB2312" w:hAnsi="仿宋_GB2312" w:eastAsia="仿宋_GB2312" w:cs="仿宋_GB2312"/>
          <w:sz w:val="32"/>
          <w:szCs w:val="32"/>
          <w:lang w:eastAsia="zh-CN"/>
        </w:rPr>
        <w:t>单位办公室</w:t>
      </w:r>
      <w:r>
        <w:rPr>
          <w:rFonts w:hint="eastAsia" w:ascii="仿宋_GB2312" w:hAnsi="仿宋_GB2312" w:eastAsia="仿宋_GB2312" w:cs="仿宋_GB2312"/>
          <w:sz w:val="32"/>
          <w:szCs w:val="32"/>
        </w:rPr>
        <w:t>按人力资源和社会保障部、财政部规定的基本工资和津贴补贴以及规定比例为职工缴纳的住房公积金。</w:t>
      </w:r>
    </w:p>
    <w:p>
      <w:pPr>
        <w:widowControl/>
        <w:shd w:val="clear" w:color="auto" w:fill="FCFCFC"/>
        <w:spacing w:line="60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“三公经费”：反映财政拨款安排的因公出国（境）费、公务用车购置及运行费和公务接待费。其中，因公出国（境）费反映</w:t>
      </w:r>
      <w:r>
        <w:rPr>
          <w:rFonts w:hint="eastAsia" w:ascii="仿宋_GB2312" w:hAnsi="仿宋_GB2312" w:eastAsia="仿宋_GB2312" w:cs="仿宋_GB2312"/>
          <w:color w:val="000000"/>
          <w:kern w:val="0"/>
          <w:sz w:val="32"/>
          <w:szCs w:val="32"/>
          <w:lang w:eastAsia="zh-CN"/>
        </w:rPr>
        <w:t>单位办公室</w:t>
      </w:r>
      <w:r>
        <w:rPr>
          <w:rFonts w:hint="eastAsia" w:ascii="仿宋_GB2312" w:hAnsi="仿宋_GB2312" w:eastAsia="仿宋_GB2312" w:cs="仿宋_GB2312"/>
          <w:color w:val="000000"/>
          <w:kern w:val="0"/>
          <w:sz w:val="32"/>
          <w:szCs w:val="32"/>
        </w:rPr>
        <w:t>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w:t>
      </w:r>
      <w:r>
        <w:rPr>
          <w:rFonts w:hint="eastAsia" w:ascii="仿宋_GB2312" w:hAnsi="仿宋_GB2312" w:eastAsia="仿宋_GB2312" w:cs="仿宋_GB2312"/>
          <w:color w:val="000000"/>
          <w:kern w:val="0"/>
          <w:sz w:val="32"/>
          <w:szCs w:val="32"/>
          <w:lang w:eastAsia="zh-CN"/>
        </w:rPr>
        <w:t>单位办公室</w:t>
      </w:r>
      <w:r>
        <w:rPr>
          <w:rFonts w:hint="eastAsia" w:ascii="仿宋_GB2312" w:hAnsi="仿宋_GB2312" w:eastAsia="仿宋_GB2312" w:cs="仿宋_GB2312"/>
          <w:color w:val="000000"/>
          <w:kern w:val="0"/>
          <w:sz w:val="32"/>
          <w:szCs w:val="32"/>
        </w:rPr>
        <w:t>按规定开支的各类公务接待（含外宾接待）支出。</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机关运行经费：为保障</w:t>
      </w:r>
      <w:r>
        <w:rPr>
          <w:rFonts w:hint="eastAsia" w:ascii="仿宋_GB2312" w:hAnsi="仿宋_GB2312" w:eastAsia="仿宋_GB2312" w:cs="仿宋_GB2312"/>
          <w:color w:val="000000"/>
          <w:kern w:val="0"/>
          <w:sz w:val="32"/>
          <w:szCs w:val="32"/>
          <w:lang w:eastAsia="zh-CN"/>
        </w:rPr>
        <w:t>单位办公室</w:t>
      </w:r>
      <w:r>
        <w:rPr>
          <w:rFonts w:hint="eastAsia" w:ascii="仿宋_GB2312" w:hAnsi="仿宋_GB2312" w:eastAsia="仿宋_GB2312" w:cs="仿宋_GB2312"/>
          <w:color w:val="000000"/>
          <w:kern w:val="0"/>
          <w:sz w:val="32"/>
          <w:szCs w:val="32"/>
        </w:rPr>
        <w:t>运行用于购买货物和服务的各项资金，包括办公及印刷费、邮电费、差旅费、会议费、福利费、日常维修费、专用材料及一般购置费、办公用房水电费、办公用房取暖费、办公用房物业管理费及其他费用</w:t>
      </w:r>
      <w:r>
        <w:rPr>
          <w:rFonts w:hint="eastAsia" w:ascii="仿宋_GB2312" w:hAnsi="仿宋_GB2312" w:eastAsia="仿宋_GB2312" w:cs="仿宋_GB2312"/>
          <w:kern w:val="0"/>
          <w:sz w:val="32"/>
          <w:szCs w:val="32"/>
          <w:lang w:val="en-US" w:eastAsia="zh-CN"/>
        </w:rPr>
        <w:t>。</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DMyNjZlYjNmNDNhNmZiMzhhZWE4ZGI4OGE5ZTEifQ=="/>
  </w:docVars>
  <w:rsids>
    <w:rsidRoot w:val="00000000"/>
    <w:rsid w:val="0BCC2F6A"/>
    <w:rsid w:val="0DB802FF"/>
    <w:rsid w:val="14784C55"/>
    <w:rsid w:val="17834DF4"/>
    <w:rsid w:val="1C3E6746"/>
    <w:rsid w:val="2A6966FC"/>
    <w:rsid w:val="2D0D506D"/>
    <w:rsid w:val="30E91B37"/>
    <w:rsid w:val="52F915C9"/>
    <w:rsid w:val="6F523C85"/>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qFormat/>
    <w:uiPriority w:val="0"/>
  </w:style>
  <w:style w:type="table" w:customStyle="1" w:styleId="7">
    <w:name w:val="普通表格1"/>
    <w:semiHidden/>
    <w:qFormat/>
    <w:uiPriority w:val="0"/>
    <w:tblPr>
      <w:tblCellMar>
        <w:top w:w="0" w:type="dxa"/>
        <w:left w:w="108" w:type="dxa"/>
        <w:bottom w:w="0" w:type="dxa"/>
        <w:right w:w="108" w:type="dxa"/>
      </w:tblCellMar>
    </w:tblPr>
  </w:style>
  <w:style w:type="character" w:customStyle="1" w:styleId="8">
    <w:name w:val="批注框文本 Char"/>
    <w:link w:val="9"/>
    <w:qFormat/>
    <w:uiPriority w:val="0"/>
    <w:rPr>
      <w:sz w:val="18"/>
      <w:szCs w:val="18"/>
    </w:rPr>
  </w:style>
  <w:style w:type="paragraph" w:customStyle="1" w:styleId="9">
    <w:name w:val="批注框文本1"/>
    <w:basedOn w:val="1"/>
    <w:link w:val="8"/>
    <w:qFormat/>
    <w:uiPriority w:val="0"/>
    <w:rPr>
      <w:sz w:val="18"/>
      <w:szCs w:val="18"/>
    </w:rPr>
  </w:style>
  <w:style w:type="character" w:customStyle="1" w:styleId="10">
    <w:name w:val="页眉 Char"/>
    <w:link w:val="11"/>
    <w:uiPriority w:val="0"/>
    <w:rPr>
      <w:sz w:val="18"/>
      <w:szCs w:val="18"/>
    </w:rPr>
  </w:style>
  <w:style w:type="paragraph" w:customStyle="1" w:styleId="11">
    <w:name w:val="页眉1"/>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脚 Char"/>
    <w:link w:val="13"/>
    <w:qFormat/>
    <w:uiPriority w:val="0"/>
    <w:rPr>
      <w:sz w:val="18"/>
      <w:szCs w:val="18"/>
    </w:rPr>
  </w:style>
  <w:style w:type="paragraph" w:customStyle="1" w:styleId="13">
    <w:name w:val="页脚1"/>
    <w:basedOn w:val="1"/>
    <w:link w:val="12"/>
    <w:qFormat/>
    <w:uiPriority w:val="0"/>
    <w:pPr>
      <w:tabs>
        <w:tab w:val="center" w:pos="4153"/>
        <w:tab w:val="right" w:pos="8306"/>
      </w:tabs>
      <w:snapToGrid w:val="0"/>
      <w:jc w:val="left"/>
    </w:pPr>
    <w:rPr>
      <w:sz w:val="18"/>
      <w:szCs w:val="18"/>
    </w:rPr>
  </w:style>
  <w:style w:type="paragraph" w:customStyle="1" w:styleId="14">
    <w:name w:val="批注文字1"/>
    <w:basedOn w:val="1"/>
    <w:qFormat/>
    <w:uiPriority w:val="0"/>
    <w:pPr>
      <w:jc w:val="left"/>
    </w:pPr>
  </w:style>
  <w:style w:type="paragraph" w:customStyle="1" w:styleId="15">
    <w:name w:val="p0"/>
    <w:basedOn w:val="1"/>
    <w:qFormat/>
    <w:uiPriority w:val="0"/>
    <w:pPr>
      <w:widowControl/>
    </w:pPr>
    <w:rPr>
      <w:kern w:val="0"/>
      <w:szCs w:val="21"/>
    </w:rPr>
  </w:style>
  <w:style w:type="table" w:customStyle="1" w:styleId="16">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26</Pages>
  <Words>8527</Words>
  <Characters>10496</Characters>
  <Lines>119</Lines>
  <Paragraphs>33</Paragraphs>
  <TotalTime>14</TotalTime>
  <ScaleCrop>false</ScaleCrop>
  <LinksUpToDate>false</LinksUpToDate>
  <CharactersWithSpaces>10917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2024-09-20T06:41:19Z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7F22472F708940DA8AC5B84E682EB807</vt:lpwstr>
  </property>
</Properties>
</file>