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昌江区交通运输局</w:t>
      </w:r>
      <w:r>
        <w:rPr>
          <w:rFonts w:hint="eastAsia" w:ascii="黑体" w:hAnsi="黑体" w:eastAsia="黑体" w:cs="黑体"/>
          <w:b w:val="0"/>
          <w:bCs w:val="0"/>
          <w:color w:val="333333"/>
          <w:kern w:val="0"/>
          <w:sz w:val="44"/>
          <w:szCs w:val="44"/>
          <w:lang w:eastAsia="zh-CN"/>
        </w:rPr>
        <w:t>2019</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kern w:val="0"/>
          <w:sz w:val="32"/>
          <w:szCs w:val="32"/>
        </w:rPr>
        <w:t> </w:t>
      </w:r>
      <w:r>
        <w:rPr>
          <w:rFonts w:hint="eastAsia" w:ascii="仿宋_GB2312" w:hAnsi="仿宋_GB2312" w:eastAsia="仿宋_GB2312" w:cs="仿宋_GB2312"/>
          <w:b w:val="0"/>
          <w:bCs w:val="0"/>
          <w:sz w:val="32"/>
          <w:szCs w:val="32"/>
        </w:rPr>
        <w:t>第一部分  昌江区交通运输局概况</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一、部门主要职责</w:t>
      </w:r>
    </w:p>
    <w:p>
      <w:pPr>
        <w:widowControl/>
        <w:spacing w:line="600" w:lineRule="exact"/>
        <w:ind w:firstLine="64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二、部门基本情况</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第二部分  </w:t>
      </w:r>
      <w:r>
        <w:rPr>
          <w:rFonts w:hint="eastAsia" w:ascii="仿宋_GB2312" w:hAnsi="仿宋_GB2312" w:eastAsia="仿宋_GB2312" w:cs="仿宋_GB2312"/>
          <w:b w:val="0"/>
          <w:bCs w:val="0"/>
          <w:sz w:val="32"/>
          <w:szCs w:val="32"/>
        </w:rPr>
        <w:t>昌江区交通运输局</w:t>
      </w:r>
      <w:r>
        <w:rPr>
          <w:rFonts w:hint="eastAsia" w:ascii="仿宋_GB2312" w:hAnsi="仿宋_GB2312" w:eastAsia="仿宋_GB2312" w:cs="仿宋_GB2312"/>
          <w:b w:val="0"/>
          <w:bCs w:val="0"/>
          <w:sz w:val="32"/>
          <w:szCs w:val="32"/>
          <w:lang w:eastAsia="zh-CN"/>
        </w:rPr>
        <w:t>2019</w:t>
      </w:r>
      <w:r>
        <w:rPr>
          <w:rFonts w:hint="eastAsia" w:ascii="仿宋_GB2312" w:hAnsi="仿宋_GB2312" w:eastAsia="仿宋_GB2312" w:cs="仿宋_GB2312"/>
          <w:b w:val="0"/>
          <w:bCs w:val="0"/>
          <w:sz w:val="32"/>
          <w:szCs w:val="32"/>
        </w:rPr>
        <w:t>年部门预算情况说明</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2019</w:t>
      </w:r>
      <w:r>
        <w:rPr>
          <w:rFonts w:hint="eastAsia" w:ascii="仿宋_GB2312" w:hAnsi="仿宋_GB2312" w:eastAsia="仿宋_GB2312" w:cs="仿宋_GB2312"/>
          <w:b w:val="0"/>
          <w:bCs w:val="0"/>
          <w:sz w:val="32"/>
          <w:szCs w:val="32"/>
        </w:rPr>
        <w:t>年部门预算收支情况说明</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二、</w:t>
      </w:r>
      <w:r>
        <w:rPr>
          <w:rFonts w:hint="eastAsia" w:ascii="仿宋_GB2312" w:hAnsi="仿宋_GB2312" w:eastAsia="仿宋_GB2312" w:cs="仿宋_GB2312"/>
          <w:b w:val="0"/>
          <w:bCs w:val="0"/>
          <w:sz w:val="32"/>
          <w:szCs w:val="32"/>
          <w:lang w:eastAsia="zh-CN"/>
        </w:rPr>
        <w:t>2019</w:t>
      </w:r>
      <w:r>
        <w:rPr>
          <w:rFonts w:hint="eastAsia" w:ascii="仿宋_GB2312" w:hAnsi="仿宋_GB2312" w:eastAsia="仿宋_GB2312" w:cs="仿宋_GB2312"/>
          <w:b w:val="0"/>
          <w:bCs w:val="0"/>
          <w:sz w:val="32"/>
          <w:szCs w:val="32"/>
        </w:rPr>
        <w:t>年“三公”经费预算情况说明</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第三部分  昌江区交通运输局</w:t>
      </w:r>
      <w:r>
        <w:rPr>
          <w:rFonts w:hint="eastAsia" w:ascii="仿宋_GB2312" w:hAnsi="仿宋_GB2312" w:eastAsia="仿宋_GB2312" w:cs="仿宋_GB2312"/>
          <w:b w:val="0"/>
          <w:bCs w:val="0"/>
          <w:sz w:val="32"/>
          <w:szCs w:val="32"/>
          <w:lang w:eastAsia="zh-CN"/>
        </w:rPr>
        <w:t>2019</w:t>
      </w:r>
      <w:r>
        <w:rPr>
          <w:rFonts w:hint="eastAsia" w:ascii="仿宋_GB2312" w:hAnsi="仿宋_GB2312" w:eastAsia="仿宋_GB2312" w:cs="仿宋_GB2312"/>
          <w:b w:val="0"/>
          <w:bCs w:val="0"/>
          <w:sz w:val="32"/>
          <w:szCs w:val="32"/>
        </w:rPr>
        <w:t>年部门预算表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一、收支预算总表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二、部门收入总表</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三、部门支出总</w:t>
      </w:r>
      <w:r>
        <w:rPr>
          <w:rFonts w:hint="eastAsia" w:ascii="仿宋_GB2312" w:hAnsi="仿宋_GB2312" w:eastAsia="仿宋_GB2312" w:cs="仿宋_GB2312"/>
          <w:b w:val="0"/>
          <w:bCs w:val="0"/>
          <w:sz w:val="32"/>
          <w:szCs w:val="32"/>
        </w:rPr>
        <w:t>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四、财政拨款收支总表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五、一般公共预算支出表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六、一般公共预算基本支出表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七、一般公共预算“三公”经费支出表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八、政府性基金预算支出表</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1"/>
        </w:numPr>
        <w:shd w:val="clear" w:color="auto" w:fill="FFFFFF"/>
        <w:spacing w:line="510" w:lineRule="atLeast"/>
        <w:jc w:val="center"/>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 xml:space="preserve"> 昌江区交通运输局概况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6"/>
        <w:numPr>
          <w:ilvl w:val="0"/>
          <w:numId w:val="2"/>
        </w:numPr>
        <w:ind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主要职能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执行国家和省有关交通运输的法律法规和政策，拟订有关地方性政策措施。在全区经济社会发展总体规划的框架内，拟订全区公路、水路等行业规划、政策、标准并组织实施。指导公路、水路行业有关体制改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承担公路、水路运输体系的规划协调工作，在全区经济社会发展总体规划的框架内，组织编制公路、水路运输体系规划，指导公路、水路运输枢纽管理。参加拟订物流业发展战略和规划，拟订有关具体办法并监督实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承担道路、水路运输市场监管责任。组织制定道路、水路运输有关具体办法和运营规范并监督实施。指导城乡客运及有关设施规划和管理工作，指导出租汽车行业工作，负责汽车运输、船舶运输等有关管理工作。负责水上运输的行业管理，承担水上交通安全监管责任。</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提出公路、水路固定资产投资规模和方向、区财政性资金安排意见，按区政府规定权限审批、核准全区规划内核年度计划规模内固定资产投资项目。拟订公路、水路有关规定政策并监督实施，提出有关财政、土地、价格等政策建议。</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承担公路、水路建设市场监管责任。拟订公路、水路工程建设相关政策、制度和技术标准并监督实施。组织协调公路、水路有关重点工程建设和工程质量、安全生产监督管理工作，指导交通运输基础设施管理和维护，承担有关重要设施的管理和维护。</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指导公路、水路行业安全生产和应急管理工作。按规定组织协调重点物质运输和紧急客货运输。指导交通运输信息化建设，监测分析运行情况，开展相关统计工作，发布有关信息。指导公路、水路行业环境保护和节能减排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（七）承担交通战备及国防动员有关工作。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局机关及下属单位人事管理、劳动工资、机构编制管理，指导系统内党的基层组织建设、群团工作、精神文明建设、社会治安综合治理、离退休人员的管理工作。负责区交通系统内国有资产的经营管理，指导交通企业依法自主经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（九）负责公路、水路国际合作，开展与港澳台地区的交流与合作。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（十）负责协调区域内的铁路建设相关工作。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(十一)承办区政府交办的其他事项。</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二、预算单位构成</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纳入本套部门预算汇编范围的单位共 3个。包括：交通运输局、公路运输管理所、港航所。</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4</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15</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w:t>
      </w:r>
    </w:p>
    <w:p>
      <w:pPr>
        <w:rPr>
          <w:rFonts w:hint="eastAsia" w:ascii="仿宋_GB2312" w:hAnsi="仿宋_GB2312" w:eastAsia="仿宋_GB2312" w:cs="仿宋_GB2312"/>
          <w:b w:val="0"/>
          <w:bCs w:val="0"/>
          <w:sz w:val="32"/>
          <w:szCs w:val="32"/>
        </w:rPr>
      </w:pPr>
    </w:p>
    <w:p>
      <w:pPr>
        <w:widowControl/>
        <w:shd w:val="clear" w:color="auto" w:fill="FFFFFF"/>
        <w:spacing w:line="58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三、</w:t>
      </w: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219.77</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排直接</w:t>
      </w:r>
      <w:r>
        <w:rPr>
          <w:rFonts w:hint="eastAsia" w:ascii="仿宋_GB2312" w:hAnsi="仿宋_GB2312" w:eastAsia="仿宋_GB2312" w:cs="仿宋_GB2312"/>
          <w:b w:val="0"/>
          <w:bCs w:val="0"/>
          <w:color w:val="333333"/>
          <w:kern w:val="0"/>
          <w:sz w:val="32"/>
          <w:szCs w:val="32"/>
          <w:lang w:val="en-US" w:eastAsia="zh-CN"/>
        </w:rPr>
        <w:t>18.81</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219.77</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年区交通运输局支出预算总额为</w:t>
      </w:r>
      <w:r>
        <w:rPr>
          <w:rFonts w:hint="eastAsia" w:ascii="仿宋_GB2312" w:hAnsi="仿宋_GB2312" w:eastAsia="仿宋_GB2312" w:cs="仿宋_GB2312"/>
          <w:b w:val="0"/>
          <w:bCs w:val="0"/>
          <w:color w:val="333333"/>
          <w:kern w:val="0"/>
          <w:sz w:val="32"/>
          <w:szCs w:val="32"/>
          <w:lang w:val="en-US" w:eastAsia="zh-CN"/>
        </w:rPr>
        <w:t>219.77</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18.81</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208.76</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181.72</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24.85</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2.19万元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11.01</w:t>
      </w:r>
      <w:r>
        <w:rPr>
          <w:rFonts w:hint="eastAsia" w:ascii="仿宋_GB2312" w:hAnsi="仿宋_GB2312" w:eastAsia="仿宋_GB2312" w:cs="仿宋_GB2312"/>
          <w:b w:val="0"/>
          <w:bCs w:val="0"/>
          <w:color w:val="333333"/>
          <w:kern w:val="0"/>
          <w:sz w:val="32"/>
          <w:szCs w:val="32"/>
        </w:rPr>
        <w:t>万元。主要原因</w:t>
      </w:r>
      <w:r>
        <w:rPr>
          <w:rFonts w:hint="eastAsia" w:ascii="仿宋_GB2312" w:hAnsi="仿宋_GB2312" w:eastAsia="仿宋_GB2312" w:cs="仿宋_GB2312"/>
          <w:b w:val="0"/>
          <w:bCs w:val="0"/>
          <w:color w:val="333333"/>
          <w:kern w:val="0"/>
          <w:sz w:val="32"/>
          <w:szCs w:val="32"/>
          <w:lang w:eastAsia="zh-CN"/>
        </w:rPr>
        <w:t>是行政人员调整及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（三）财政拨款支出情况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年区交通运输局财政拨款支出预算数</w:t>
      </w:r>
      <w:r>
        <w:rPr>
          <w:rFonts w:hint="eastAsia" w:ascii="仿宋_GB2312" w:hAnsi="仿宋_GB2312" w:eastAsia="仿宋_GB2312" w:cs="仿宋_GB2312"/>
          <w:b w:val="0"/>
          <w:bCs w:val="0"/>
          <w:color w:val="333333"/>
          <w:kern w:val="0"/>
          <w:sz w:val="32"/>
          <w:szCs w:val="32"/>
          <w:lang w:val="en-US" w:eastAsia="zh-CN"/>
        </w:rPr>
        <w:t>219.77</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18.81</w:t>
      </w:r>
      <w:r>
        <w:rPr>
          <w:rFonts w:hint="eastAsia" w:ascii="仿宋_GB2312" w:hAnsi="仿宋_GB2312" w:eastAsia="仿宋_GB2312" w:cs="仿宋_GB2312"/>
          <w:b w:val="0"/>
          <w:bCs w:val="0"/>
          <w:color w:val="333333"/>
          <w:kern w:val="0"/>
          <w:sz w:val="32"/>
          <w:szCs w:val="32"/>
        </w:rPr>
        <w:t>%。具体支出情况是：区交通运输局事务支出</w:t>
      </w:r>
      <w:r>
        <w:rPr>
          <w:rFonts w:hint="eastAsia" w:ascii="仿宋_GB2312" w:hAnsi="仿宋_GB2312" w:eastAsia="仿宋_GB2312" w:cs="仿宋_GB2312"/>
          <w:b w:val="0"/>
          <w:bCs w:val="0"/>
          <w:color w:val="333333"/>
          <w:kern w:val="0"/>
          <w:sz w:val="32"/>
          <w:szCs w:val="32"/>
          <w:lang w:val="en-US" w:eastAsia="zh-CN"/>
        </w:rPr>
        <w:t>166.97</w:t>
      </w:r>
      <w:r>
        <w:rPr>
          <w:rFonts w:hint="eastAsia" w:ascii="仿宋_GB2312" w:hAnsi="仿宋_GB2312" w:eastAsia="仿宋_GB2312" w:cs="仿宋_GB2312"/>
          <w:b w:val="0"/>
          <w:bCs w:val="0"/>
          <w:color w:val="333333"/>
          <w:kern w:val="0"/>
          <w:sz w:val="32"/>
          <w:szCs w:val="32"/>
        </w:rPr>
        <w:t>万元，行政</w:t>
      </w:r>
      <w:r>
        <w:rPr>
          <w:rFonts w:hint="eastAsia" w:ascii="仿宋_GB2312" w:hAnsi="仿宋_GB2312" w:eastAsia="仿宋_GB2312" w:cs="仿宋_GB2312"/>
          <w:b w:val="0"/>
          <w:bCs w:val="0"/>
          <w:color w:val="333333"/>
          <w:kern w:val="0"/>
          <w:sz w:val="32"/>
          <w:szCs w:val="32"/>
          <w:lang w:eastAsia="zh-CN"/>
        </w:rPr>
        <w:t>、事业</w:t>
      </w:r>
      <w:r>
        <w:rPr>
          <w:rFonts w:hint="eastAsia" w:ascii="仿宋_GB2312" w:hAnsi="仿宋_GB2312" w:eastAsia="仿宋_GB2312" w:cs="仿宋_GB2312"/>
          <w:b w:val="0"/>
          <w:bCs w:val="0"/>
          <w:color w:val="333333"/>
          <w:kern w:val="0"/>
          <w:sz w:val="32"/>
          <w:szCs w:val="32"/>
        </w:rPr>
        <w:t>单位医疗保险支出</w:t>
      </w:r>
      <w:r>
        <w:rPr>
          <w:rFonts w:hint="eastAsia" w:ascii="仿宋_GB2312" w:hAnsi="仿宋_GB2312" w:eastAsia="仿宋_GB2312" w:cs="仿宋_GB2312"/>
          <w:b w:val="0"/>
          <w:bCs w:val="0"/>
          <w:color w:val="333333"/>
          <w:kern w:val="0"/>
          <w:sz w:val="32"/>
          <w:szCs w:val="32"/>
          <w:lang w:val="en-US" w:eastAsia="zh-CN"/>
        </w:rPr>
        <w:t>10.26</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14.70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27.65万元。</w:t>
      </w:r>
    </w:p>
    <w:p>
      <w:pPr>
        <w:widowControl/>
        <w:shd w:val="clear" w:color="auto" w:fill="FFFFFF"/>
        <w:spacing w:line="600" w:lineRule="atLeast"/>
        <w:ind w:firstLine="63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年区交通运输局</w:t>
      </w:r>
      <w:r>
        <w:rPr>
          <w:rFonts w:hint="eastAsia" w:ascii="仿宋_GB2312" w:hAnsi="仿宋_GB2312" w:eastAsia="仿宋_GB2312" w:cs="仿宋_GB2312"/>
          <w:b w:val="0"/>
          <w:bCs w:val="0"/>
          <w:color w:val="333333"/>
          <w:kern w:val="0"/>
          <w:sz w:val="32"/>
          <w:szCs w:val="32"/>
          <w:lang w:eastAsia="zh-CN"/>
        </w:rPr>
        <w:t>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（五）机关运行经费等重要事项的说明</w:t>
      </w:r>
    </w:p>
    <w:p>
      <w:pPr>
        <w:widowControl/>
        <w:shd w:val="clear" w:color="auto" w:fill="FFFFFF"/>
        <w:spacing w:line="580" w:lineRule="atLeast"/>
        <w:ind w:firstLine="636"/>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146.53</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38.44</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3.5</w:t>
      </w:r>
      <w:r>
        <w:rPr>
          <w:rFonts w:hint="eastAsia" w:ascii="仿宋_GB2312" w:hAnsi="仿宋_GB2312" w:eastAsia="仿宋_GB2312" w:cs="仿宋_GB2312"/>
          <w:b w:val="0"/>
          <w:bCs w:val="0"/>
          <w:color w:val="333333"/>
          <w:kern w:val="0"/>
          <w:sz w:val="32"/>
          <w:szCs w:val="32"/>
        </w:rPr>
        <w:t>万元，其中：电子计算机设备1.</w:t>
      </w:r>
      <w:r>
        <w:rPr>
          <w:rFonts w:hint="eastAsia" w:ascii="仿宋_GB2312" w:hAnsi="仿宋_GB2312" w:eastAsia="仿宋_GB2312" w:cs="仿宋_GB2312"/>
          <w:b w:val="0"/>
          <w:bCs w:val="0"/>
          <w:color w:val="333333"/>
          <w:kern w:val="0"/>
          <w:sz w:val="32"/>
          <w:szCs w:val="32"/>
          <w:lang w:val="en-US" w:eastAsia="zh-CN"/>
        </w:rPr>
        <w:t>5</w:t>
      </w:r>
      <w:r>
        <w:rPr>
          <w:rFonts w:hint="eastAsia" w:ascii="仿宋_GB2312" w:hAnsi="仿宋_GB2312" w:eastAsia="仿宋_GB2312" w:cs="仿宋_GB2312"/>
          <w:b w:val="0"/>
          <w:bCs w:val="0"/>
          <w:color w:val="333333"/>
          <w:kern w:val="0"/>
          <w:sz w:val="32"/>
          <w:szCs w:val="32"/>
        </w:rPr>
        <w:t>万元，专业设备</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803"/>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（七）国有资产占有使用情况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截至</w:t>
      </w: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年12月31日，部门共有公车</w:t>
      </w:r>
      <w:r>
        <w:rPr>
          <w:rFonts w:hint="eastAsia" w:ascii="仿宋_GB2312" w:hAnsi="仿宋_GB2312" w:eastAsia="仿宋_GB2312" w:cs="仿宋_GB2312"/>
          <w:b w:val="0"/>
          <w:bCs w:val="0"/>
          <w:color w:val="333333"/>
          <w:kern w:val="0"/>
          <w:sz w:val="32"/>
          <w:szCs w:val="32"/>
          <w:u w:val="single"/>
        </w:rPr>
        <w:t>3</w:t>
      </w:r>
      <w:r>
        <w:rPr>
          <w:rFonts w:hint="eastAsia" w:ascii="仿宋_GB2312" w:hAnsi="仿宋_GB2312" w:eastAsia="仿宋_GB2312" w:cs="仿宋_GB2312"/>
          <w:b w:val="0"/>
          <w:bCs w:val="0"/>
          <w:color w:val="333333"/>
          <w:kern w:val="0"/>
          <w:sz w:val="32"/>
          <w:szCs w:val="32"/>
        </w:rPr>
        <w:t>辆，其中运管所2辆、港航所1辆。</w:t>
      </w:r>
    </w:p>
    <w:p>
      <w:pPr>
        <w:widowControl/>
        <w:shd w:val="clear" w:color="auto" w:fill="FFFFFF"/>
        <w:spacing w:line="580" w:lineRule="atLeast"/>
        <w:ind w:firstLine="803"/>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（八）绩效目标设置情况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年实行绩效目标管理的项目</w:t>
      </w:r>
      <w:r>
        <w:rPr>
          <w:rFonts w:hint="eastAsia" w:ascii="仿宋_GB2312" w:hAnsi="仿宋_GB2312" w:eastAsia="仿宋_GB2312" w:cs="仿宋_GB2312"/>
          <w:b w:val="0"/>
          <w:bCs w:val="0"/>
          <w:color w:val="333333"/>
          <w:kern w:val="0"/>
          <w:sz w:val="32"/>
          <w:szCs w:val="32"/>
          <w:u w:val="single"/>
        </w:rPr>
        <w:t> 0 </w:t>
      </w:r>
      <w:r>
        <w:rPr>
          <w:rFonts w:hint="eastAsia" w:ascii="仿宋_GB2312" w:hAnsi="仿宋_GB2312" w:eastAsia="仿宋_GB2312" w:cs="仿宋_GB2312"/>
          <w:b w:val="0"/>
          <w:bCs w:val="0"/>
          <w:color w:val="333333"/>
          <w:kern w:val="0"/>
          <w:sz w:val="32"/>
          <w:szCs w:val="32"/>
        </w:rPr>
        <w:t>个涉及资金0万元。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四、</w:t>
      </w: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年区交通运输局 “三公”经费年初预算安排</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五、昌江区交通运输局</w:t>
      </w:r>
      <w:r>
        <w:rPr>
          <w:rFonts w:hint="eastAsia" w:ascii="仿宋_GB2312" w:hAnsi="仿宋_GB2312" w:eastAsia="仿宋_GB2312" w:cs="仿宋_GB2312"/>
          <w:b w:val="0"/>
          <w:bCs w:val="0"/>
          <w:color w:val="333333"/>
          <w:kern w:val="0"/>
          <w:sz w:val="32"/>
          <w:szCs w:val="32"/>
          <w:lang w:eastAsia="zh-CN"/>
        </w:rPr>
        <w:t>2019</w:t>
      </w:r>
      <w:r>
        <w:rPr>
          <w:rFonts w:hint="eastAsia" w:ascii="仿宋_GB2312" w:hAnsi="仿宋_GB2312" w:eastAsia="仿宋_GB2312" w:cs="仿宋_GB2312"/>
          <w:b w:val="0"/>
          <w:bCs w:val="0"/>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八张表（详见附表）</w:t>
      </w:r>
    </w:p>
    <w:p>
      <w:pPr>
        <w:widowControl/>
        <w:numPr>
          <w:ilvl w:val="0"/>
          <w:numId w:val="3"/>
        </w:numPr>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  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交通运输局支出：（机构运行）：反应行政单位(包括实行公务员管理事业单位)的基本支出。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交通运输局支出：（交通运输支出）：反应从事其他公路水路运输的专项支出。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w:t>
      </w:r>
      <w:bookmarkStart w:id="0" w:name="_GoBack"/>
      <w:bookmarkEnd w:id="0"/>
      <w:r>
        <w:rPr>
          <w:rFonts w:hint="eastAsia" w:ascii="仿宋_GB2312" w:eastAsia="仿宋_GB2312"/>
          <w:b w:val="0"/>
          <w:bCs w:val="0"/>
          <w:sz w:val="32"/>
          <w:szCs w:val="30"/>
        </w:rPr>
        <w:t>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23829"/>
    <w:multiLevelType w:val="singleLevel"/>
    <w:tmpl w:val="BB323829"/>
    <w:lvl w:ilvl="0" w:tentative="0">
      <w:start w:val="1"/>
      <w:numFmt w:val="chineseCounting"/>
      <w:suff w:val="space"/>
      <w:lvlText w:val="第%1部分"/>
      <w:lvlJc w:val="left"/>
      <w:rPr>
        <w:rFonts w:hint="eastAsia"/>
      </w:rPr>
    </w:lvl>
  </w:abstractNum>
  <w:abstractNum w:abstractNumId="1">
    <w:nsid w:val="59FEC34B"/>
    <w:multiLevelType w:val="singleLevel"/>
    <w:tmpl w:val="59FEC34B"/>
    <w:lvl w:ilvl="0" w:tentative="0">
      <w:start w:val="6"/>
      <w:numFmt w:val="chineseCounting"/>
      <w:suff w:val="nothing"/>
      <w:lvlText w:val="%1、"/>
      <w:lvlJc w:val="left"/>
    </w:lvl>
  </w:abstractNum>
  <w:abstractNum w:abstractNumId="2">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BCA397C"/>
    <w:rsid w:val="0F6065E6"/>
    <w:rsid w:val="169B4F3B"/>
    <w:rsid w:val="1C2618CE"/>
    <w:rsid w:val="1ED822F6"/>
    <w:rsid w:val="20B80505"/>
    <w:rsid w:val="25461A5F"/>
    <w:rsid w:val="34051E66"/>
    <w:rsid w:val="35011CBA"/>
    <w:rsid w:val="35856DA1"/>
    <w:rsid w:val="3E2A5748"/>
    <w:rsid w:val="47DA7A11"/>
    <w:rsid w:val="4B4465D2"/>
    <w:rsid w:val="4DF673D7"/>
    <w:rsid w:val="52A64031"/>
    <w:rsid w:val="53E8275F"/>
    <w:rsid w:val="57701BA5"/>
    <w:rsid w:val="5D061CB2"/>
    <w:rsid w:val="5E693A0A"/>
    <w:rsid w:val="6B625F3C"/>
    <w:rsid w:val="6F375502"/>
    <w:rsid w:val="73E639CD"/>
    <w:rsid w:val="76767D44"/>
    <w:rsid w:val="76BC0A8F"/>
    <w:rsid w:val="7A6F6A79"/>
    <w:rsid w:val="7B6824B3"/>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unhideWhenUsed/>
    <w:qFormat/>
    <w:uiPriority w:val="99"/>
    <w:rPr>
      <w:color w:val="333333"/>
      <w:u w:val="none"/>
    </w:rPr>
  </w:style>
  <w:style w:type="character" w:styleId="8">
    <w:name w:val="Emphasis"/>
    <w:basedOn w:val="5"/>
    <w:qFormat/>
    <w:uiPriority w:val="20"/>
    <w:rPr>
      <w:i/>
    </w:rPr>
  </w:style>
  <w:style w:type="character" w:styleId="9">
    <w:name w:val="HTML Definition"/>
    <w:basedOn w:val="5"/>
    <w:unhideWhenUsed/>
    <w:qFormat/>
    <w:uiPriority w:val="99"/>
    <w:rPr>
      <w:i/>
    </w:rPr>
  </w:style>
  <w:style w:type="character" w:styleId="10">
    <w:name w:val="HTML Acronym"/>
    <w:basedOn w:val="5"/>
    <w:unhideWhenUsed/>
    <w:qFormat/>
    <w:uiPriority w:val="99"/>
  </w:style>
  <w:style w:type="character" w:styleId="11">
    <w:name w:val="HTML Variable"/>
    <w:basedOn w:val="5"/>
    <w:unhideWhenUsed/>
    <w:qFormat/>
    <w:uiPriority w:val="99"/>
    <w:rPr>
      <w:i/>
    </w:rPr>
  </w:style>
  <w:style w:type="character" w:styleId="12">
    <w:name w:val="Hyperlink"/>
    <w:basedOn w:val="5"/>
    <w:unhideWhenUsed/>
    <w:qFormat/>
    <w:uiPriority w:val="99"/>
    <w:rPr>
      <w:color w:val="333333"/>
      <w:u w:val="none"/>
    </w:rPr>
  </w:style>
  <w:style w:type="character" w:styleId="13">
    <w:name w:val="HTML Code"/>
    <w:basedOn w:val="5"/>
    <w:unhideWhenUsed/>
    <w:qFormat/>
    <w:uiPriority w:val="99"/>
    <w:rPr>
      <w:rFonts w:ascii="Courier New" w:hAnsi="Courier New"/>
      <w:sz w:val="20"/>
    </w:rPr>
  </w:style>
  <w:style w:type="character" w:styleId="14">
    <w:name w:val="HTML Cite"/>
    <w:basedOn w:val="5"/>
    <w:unhideWhenUsed/>
    <w:qFormat/>
    <w:uiPriority w:val="99"/>
    <w:rPr>
      <w:i/>
    </w:rPr>
  </w:style>
  <w:style w:type="character" w:customStyle="1" w:styleId="15">
    <w:name w:val="apple-converted-space"/>
    <w:basedOn w:val="5"/>
    <w:qFormat/>
    <w:uiPriority w:val="0"/>
  </w:style>
  <w:style w:type="paragraph" w:customStyle="1" w:styleId="16">
    <w:name w:val="列出段落1"/>
    <w:basedOn w:val="1"/>
    <w:qFormat/>
    <w:uiPriority w:val="34"/>
    <w:pPr>
      <w:ind w:firstLine="420" w:firstLineChars="200"/>
    </w:pPr>
  </w:style>
  <w:style w:type="character" w:customStyle="1" w:styleId="17">
    <w:name w:val="页眉 Char"/>
    <w:basedOn w:val="5"/>
    <w:link w:val="3"/>
    <w:qFormat/>
    <w:uiPriority w:val="99"/>
    <w:rPr>
      <w:rFonts w:asciiTheme="minorHAnsi" w:hAnsiTheme="minorHAnsi" w:eastAsiaTheme="minorEastAsia" w:cstheme="minorBidi"/>
      <w:kern w:val="2"/>
      <w:sz w:val="18"/>
      <w:szCs w:val="18"/>
    </w:rPr>
  </w:style>
  <w:style w:type="character" w:customStyle="1" w:styleId="1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0</TotalTime>
  <ScaleCrop>false</ScaleCrop>
  <LinksUpToDate>false</LinksUpToDate>
  <CharactersWithSpaces>2148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2019-03-20T08:51:49Z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