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FC0000"/>
          <w:spacing w:val="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</w:t>
      </w:r>
    </w:p>
    <w:p w14:paraId="0468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A2</w:t>
      </w:r>
    </w:p>
    <w:p w14:paraId="7D0F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2C14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26F4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号建议答复的函</w:t>
      </w:r>
    </w:p>
    <w:p w14:paraId="348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</w:p>
    <w:p w14:paraId="372A210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余家强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</w:p>
    <w:p w14:paraId="0EE47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您提出的《关于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修建余家村三门组镇研学基地路口至小南坞道路的建议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收悉，现答复如下：</w:t>
      </w:r>
    </w:p>
    <w:p w14:paraId="3412A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首先感谢您对我单位工作的关心与支持，就您提出关于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修建余家村三门组镇研学基地路口至小南坞道路的建议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我局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第一时间派出相关业务人员对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余家村三门组镇研学基地路口至小南坞道路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进行了摸底调查工作。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余家村三门组镇研学基地路口至小南坞道路年久失修、路面破损严重，确实严重影响村民的出行安全和经济发展。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下一步我局将认真研究，拿出方案，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积极申报改造计划，如计划下达后，将第一时间组织实施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4C4070D8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代表建议办理情况征询意见表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00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43D0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2025年7月29日</w:t>
      </w:r>
    </w:p>
    <w:p w14:paraId="0751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4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6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9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常委会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代表工委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，区政府督查室。</w:t>
      </w:r>
    </w:p>
    <w:p w14:paraId="68F1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联系人及联系电话：余成；18322869788</w:t>
      </w:r>
    </w:p>
    <w:p w14:paraId="6F69D89D"/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3099BF6-AE2A-48B7-BCDB-65C78DE263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EAA707-94D1-4E80-8407-4301DF1697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2987CA-A9D2-4244-AF00-67B93F339E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980539-47B3-4CEE-8640-C0F0962AE1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093D76C-6D12-4E9D-A483-60890561F5E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4F5535D"/>
    <w:rsid w:val="11441384"/>
    <w:rsid w:val="2C0C4797"/>
    <w:rsid w:val="37FF7772"/>
    <w:rsid w:val="43931B6A"/>
    <w:rsid w:val="4CCC3C6F"/>
    <w:rsid w:val="532A36A3"/>
    <w:rsid w:val="55DE0413"/>
    <w:rsid w:val="5C996410"/>
    <w:rsid w:val="5DE70352"/>
    <w:rsid w:val="65C74E4D"/>
    <w:rsid w:val="748506EA"/>
    <w:rsid w:val="7604560A"/>
    <w:rsid w:val="799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Body Text First Indent"/>
    <w:basedOn w:val="2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347</Words>
  <Characters>366</Characters>
  <Lines>0</Lines>
  <Paragraphs>0</Paragraphs>
  <TotalTime>0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2025-09-08T01:32:03Z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7DF90400AD5848368408E2A64E95D29D_13</vt:lpwstr>
  </property>
  <property fmtid="{D5CDD505-2E9C-101B-9397-08002B2CF9AE}" pid="4" name="KSOTemplateDocerSaveRecord">
    <vt:lpwstr>eyJoZGlkIjoiOGU1YTAyMTk3NmE2NDBmYTg3OGNjYzRkZTdjYzBmZDAiLCJ1c2VySWQiOiI2NTIwNTk1NTAifQ==</vt:lpwstr>
  </property>
</Properties>
</file>