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440" w:firstLineChars="100"/>
        <w:jc w:val="center"/>
        <w:rPr>
          <w:rFonts w:hint="eastAsia" w:ascii="黑体" w:hAnsi="黑体" w:eastAsia="黑体" w:cs="黑体"/>
          <w:b w:val="0"/>
          <w:bCs w:val="0"/>
          <w:color w:val="333333"/>
          <w:kern w:val="0"/>
          <w:sz w:val="44"/>
          <w:szCs w:val="44"/>
        </w:rPr>
      </w:pPr>
      <w:r>
        <w:rPr>
          <w:rFonts w:hint="eastAsia" w:ascii="黑体" w:hAnsi="黑体" w:eastAsia="黑体" w:cs="黑体"/>
          <w:b w:val="0"/>
          <w:bCs w:val="0"/>
          <w:color w:val="333333"/>
          <w:kern w:val="0"/>
          <w:sz w:val="44"/>
          <w:szCs w:val="44"/>
        </w:rPr>
        <w:t>昌江区</w:t>
      </w:r>
      <w:r>
        <w:rPr>
          <w:rFonts w:hint="eastAsia" w:ascii="黑体" w:hAnsi="黑体" w:eastAsia="黑体" w:cs="黑体"/>
          <w:b w:val="0"/>
          <w:bCs w:val="0"/>
          <w:color w:val="333333"/>
          <w:kern w:val="0"/>
          <w:sz w:val="44"/>
          <w:szCs w:val="44"/>
          <w:lang w:eastAsia="zh-CN"/>
        </w:rPr>
        <w:t>农业农村水利局2021</w:t>
      </w:r>
      <w:r>
        <w:rPr>
          <w:rFonts w:hint="eastAsia" w:ascii="黑体" w:hAnsi="黑体" w:eastAsia="黑体" w:cs="黑体"/>
          <w:b w:val="0"/>
          <w:bCs w:val="0"/>
          <w:color w:val="333333"/>
          <w:kern w:val="0"/>
          <w:sz w:val="44"/>
          <w:szCs w:val="44"/>
        </w:rPr>
        <w:t>年部门预算</w:t>
      </w:r>
    </w:p>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w:t>
      </w:r>
      <w:r>
        <w:rPr>
          <w:rFonts w:hint="eastAsia" w:ascii="仿宋_GB2312" w:hAnsi="仿宋_GB2312" w:eastAsia="仿宋_GB2312" w:cs="仿宋_GB2312"/>
          <w:b/>
          <w:bCs/>
          <w:sz w:val="32"/>
          <w:szCs w:val="32"/>
          <w:lang w:eastAsia="zh-CN"/>
        </w:rPr>
        <w:t>农业农村水利局</w:t>
      </w:r>
      <w:r>
        <w:rPr>
          <w:rFonts w:hint="eastAsia" w:ascii="仿宋_GB2312" w:hAnsi="仿宋_GB2312" w:eastAsia="仿宋_GB2312" w:cs="仿宋_GB2312"/>
          <w:b/>
          <w:bCs/>
          <w:sz w:val="32"/>
          <w:szCs w:val="32"/>
        </w:rPr>
        <w:t>概况</w:t>
      </w:r>
    </w:p>
    <w:p>
      <w:pPr>
        <w:widowControl/>
        <w:spacing w:line="600" w:lineRule="exact"/>
        <w:ind w:firstLine="1280" w:firstLineChars="400"/>
        <w:jc w:val="left"/>
        <w:rPr>
          <w:rFonts w:hint="eastAsia" w:ascii="楷体_GB2312" w:eastAsia="楷体_GB2312"/>
          <w:sz w:val="32"/>
          <w:szCs w:val="30"/>
        </w:rPr>
      </w:pPr>
      <w:r>
        <w:rPr>
          <w:rFonts w:hint="eastAsia" w:ascii="仿宋_GB2312" w:hAnsi="仿宋_GB2312" w:eastAsia="仿宋_GB2312" w:cs="仿宋_GB2312"/>
          <w:b w:val="0"/>
          <w:bCs w:val="0"/>
          <w:sz w:val="32"/>
          <w:szCs w:val="32"/>
        </w:rPr>
        <w:t xml:space="preserve">    </w:t>
      </w:r>
      <w:r>
        <w:rPr>
          <w:rFonts w:hint="eastAsia" w:ascii="楷体_GB2312" w:eastAsia="楷体_GB2312"/>
          <w:sz w:val="32"/>
          <w:szCs w:val="30"/>
        </w:rPr>
        <w:t>一、部门主要职责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w:t>
      </w:r>
      <w:r>
        <w:rPr>
          <w:rFonts w:hint="eastAsia" w:ascii="仿宋_GB2312" w:hAnsi="仿宋_GB2312" w:eastAsia="仿宋_GB2312" w:cs="仿宋_GB2312"/>
          <w:b/>
          <w:bCs/>
          <w:sz w:val="32"/>
          <w:szCs w:val="32"/>
          <w:lang w:eastAsia="zh-CN"/>
        </w:rPr>
        <w:t>农业农村水利局2021</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2021</w:t>
      </w:r>
      <w:r>
        <w:rPr>
          <w:rFonts w:hint="eastAsia" w:ascii="楷体_GB2312" w:eastAsia="楷体_GB2312"/>
          <w:sz w:val="32"/>
          <w:szCs w:val="30"/>
        </w:rPr>
        <w:t>年部门预算收支情况说明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w:t>
      </w:r>
      <w:r>
        <w:rPr>
          <w:rFonts w:hint="eastAsia" w:ascii="楷体_GB2312" w:eastAsia="楷体_GB2312"/>
          <w:sz w:val="32"/>
          <w:szCs w:val="30"/>
          <w:lang w:eastAsia="zh-CN"/>
        </w:rPr>
        <w:t>2021</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w:t>
      </w:r>
      <w:r>
        <w:rPr>
          <w:rFonts w:hint="eastAsia" w:ascii="仿宋_GB2312" w:hAnsi="仿宋_GB2312" w:eastAsia="仿宋_GB2312" w:cs="仿宋_GB2312"/>
          <w:b/>
          <w:bCs/>
          <w:sz w:val="32"/>
          <w:szCs w:val="32"/>
          <w:lang w:eastAsia="zh-CN"/>
        </w:rPr>
        <w:t>农业农村水利局2021</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昌江区农业农村水利局概况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7"/>
        <w:numPr>
          <w:ilvl w:val="0"/>
          <w:numId w:val="1"/>
        </w:numPr>
        <w:ind w:firstLineChars="0"/>
        <w:rPr>
          <w:rFonts w:ascii="微软雅黑" w:hAnsi="微软雅黑" w:eastAsia="微软雅黑" w:cs="微软雅黑"/>
          <w:b w:val="0"/>
          <w:i w:val="0"/>
          <w:caps w:val="0"/>
          <w:color w:val="555555"/>
          <w:spacing w:val="0"/>
          <w:sz w:val="24"/>
          <w:szCs w:val="24"/>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一）统筹研究和组织实施全区“三农”和水利工作的发展战略、中长期规划、重大政策。组织起草农业农村和水利有关规范性文件，参与涉农相关政策制定。统筹协调和监督指导农业综合行政执法，负责监督指导、重大案件查处和跨区域执法的组织协调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（二）统筹推动发展全区农村社会事业、农村公共服务、农村文化、农村基础设施和乡村治理。牵头组织改善农村人居环境，组织实施新农村建设。指导农村精神文明和优秀农耕文化建设。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拟订深化全区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四）指导全区乡村特色产业、农产品加工业、休闲农业和乡镇企业发展工作，促进农村一二三产业融合发展。提出促进大宗农产品流通的建议，培育、保护农业品牌，组织农业产业化龙头企业监测和评定工作。发布全区农业农村经济信息，监测分析农业农村经济运行。承担全区农业统计和农业农村信息化有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五）负责全区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六）负责全区农产品质量安全监督管理。组织开展农产品质量安全监测、追溯、风险评估。参与制定农产品质量安全标准并会同有关部门组织实施。组织农产品质量安全的重大事故调查处理和突发事件的应对工作。指导全区农业检验检测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七）组织全区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（八）负责全区有关农业生产资料和农业投入品的监督组织全区农业生产资料市场体系建设，执行有关农业生产资料标准并监督实施。组织兽医医政、兽药药政药检工作，负责执业兽医和畜禽屠宰行业管理。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九）负责全区农业防灾减灾、农作物重大病虫害防治工作。监测、报告、发布农业灾情，组织农业救灾物资储备和调拨，提出生产救灾资金安排建议，指导紧急救灾和灾后生产恢复。指导全区动植物防疫检疫体系建设，组织、监督辖区内动植物防疫检疫工作，发布疫情并组织扑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负责农业投资管理。提出农业投融资体制机制改革建议。编制区级投资安排的农业投资项目建设规划，提出农业投资规模和方向、扶持农业农村发展财政项目的建议，按权限审批农业投资项目，负责农业投资项目资金安排和监督管理。组织国家农业综合项目的审查、论证、实施、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一）推动全区农业科技体制改革和农业科技创新体系建设。指导全区农业产业技术体系和农技推广体系建设，组织开展农业领域的高新技术和应用技术研究、科技成果转化和技术推广，负责全区农业转基因生物安全监督管理和农业植物新品种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二）负责农业领域生态环境保护和节能减排工作。牵头负责农业污染源减量和废弃物资源化利用。牵头统筹协调推进农村人居环境整治。指导农业清洁生产。指导全区农产品产地环境管理，牵头管理全区外出物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（十三）统筹推进全区农业农村人才、乡土人才工作。拟订全区农业农村人才队伍建设规划并组织实施，指导农业教育和农业职业技能开发，指导新型职业农民培育、农业科技人才培养和农村实用人才培训工作。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（十四）监督指导全区农业行业安全生产工作。负责农业机械、渔政渔港和农药实用等安全监督管理工作。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五）牵头开展全区农业对外合作工作。指导全区系统开展开放型农业及农业招商引资工作。承办政府间农业涉外事务，组织开展农业贸易促进和有关国际国内交流合作，具体执行有关农业授外项目，组织有关国际公约昌江区履约和协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（十六）负责保障水资源的合理开发利用。制定水利工程有关制度并组织实施；组织编制全区水资源发展规划、确定的重要江河湖泊流域综合规划等水利规划。切实加强水资源合理利用、优化配置和节约保护。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七）负责生活、生产经营、生态环境用水的统筹兼顾和保障。实施最严格水资源管理制度，实施水资源的统一监督管理，拟定全区水中长期供求规划、水量分配方案和调度计划并监督实施。负责主要河流、区域以及调水工程的水资源调度。组织实施取水许可、水资源有偿使用、水资源论证和防洪论证制度，指导开展水资源有偿使用工作。指导水利行业供水和乡镇供水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八）按规定制定水利工程建设有关制度并组织实施，负责提出全区水利固定资产投资规模、方向、具体安排建议并组织指导实施，按区政府规定权限审批、核准全区规划内和年度计划规模内固定资产投资项目，提出全区水利资金安排并负责项目实施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（十九）指导水资源保护工作。组织编制水资源保护规划，组织编制并实施水资源保护规划。指导饮用水水源保护有关工作，指导地下水超采区综合治理。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（二十）负责节约用水工作。拟定节约用水政策，组织编制节约用水规划并监督实施，组织制定有关标准。组织实施用水总量控制等管理制度，指导和推动节水型社会建设工作。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一）指导水利设施、水域及其岸线的管理、保护与综合利用。组织指导水利基础设施网络建设。指导江河湖泊及河口的治理、开发和保护。指导河湖水生态保护与修复、河湖生态流量水量管理以及河湖水系连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二）指导监督水利工程建设与运行管理。组织实施具有控制性的和跨区域跨流域的重要水利工程建设与运行管理。组织提出并协调全区水利工程运行和后续工程建设的有关政策措施，指导监督工程安全运行，组织工程验收有关工作，督促指导辖区内配套工程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三）负责水土保持工作。拟定水土保持规划并监督实施，组织实施水土流失的综合防治、检测预报并定期公告。负责权限内开发建设项目水土保持方案的审批及建设项目水土保持监督管理工作；指导全区重点水土保持建设项目的实施，负责水土保持设施自主验收的核查工作。负责生态哦清洁型小流域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（二十四）指导农村水利工作。组织开展灌排工程建设与改造。指导农村饮水安全工程建设管理工作，指导节水灌溉有关工作。指导农村水利改革创新和社会化服务体系建设。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五）负责重大涉水违法事件的查处。协调、仲裁跨乡镇水事纠纷，指导水政监察和水行政执法。依法负责水利行业安全生产工作，组织、指导水库大坝的安全监督管理。指导水利建设市场的监督管理。组织实施水利工程建设的监督。组织开展水利行业质量监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六）开展水利科技和对外合作工作。组织开展水利行业质量监督工作。组织重要水利科学研究和技术推广。组织实施并监督水利行业技术标准、规程规范。负责水利行业对外经济、技术合作与交流。承担水利统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七）负责落实综合防灾减灾规划相关要求，组织编制洪水干旱防治规划和防护标准、重要江河湖泊和重要水工程的防御洪水抗御旱灾调度以及应急水量调度方案，按程序报批并组织实施；承担防御洪水应急抢险的技术支撑工作；承担台风防御期间重要水工程调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（二十八）负责河湖长制日常工作，组织开展河湖长制工作的全面推行、督察、督办。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（二十九）完成区委、区政府交办的其他任务。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（三十）职能转变。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1.统筹实施全区乡村振兴战略，深化农业供给侧结构性改革，提升农业发展质量，扎实推进美丽乡村建设，建立区、乡镇、村推进乡村振兴战略考核机制，推动昌江区农业全面升级、农村全面进步、农民全面发展，加快实现农业农村现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2.加强全区农产品质量安全和相关农业生产资料、农业投入品的监督管理，坚持最严谨的标准、最严格的监管、最严厉的处罚、最严肃的问责，严防、严管、严控质量安全风险，让人民群众吃得放心、安心。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3.深入推进简政放权，加强对全区行业交叉重复以及性质相同、用途相近的农业投资项目的统筹整合，最大限度缩小项目审批范围，进一步下放审批权，加强事中事后监管，切实提升国家支农政策效果和资金使用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4.切实加强水资源合理利用、优化配置和节约保护。坚持节水优先，从增加供给转向更加重视需求管理，严格控制用水总量和提高用水效率。坚持保护优先，加强水资源、水域和水利工程的管理保护，维护江河湖泊健康美丽。坚持统筹兼顾，保障合理用水需求和水资源的可持续利用，为经济社会发展提供供水安全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（三十一）与区市场监督管理局有关职责分工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1.区农业农村水利局负责食用农产品从种植养殖环节到进入批发、零售市场或生产加工企业前的质量安全监督管理。食用农产品进入批发、零售市场或生产加工企业后，由区市场监督管理局监督管理。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2.区农业农村水利局负责动植物疫病防控、畜禽屠宰环节、生鲜乳收购环节质量安全的监督管理。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3.两部门要建立食品安全产地准出、市场准入和追溯机制，加强协调配合和工作衔接，形成监管合力。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二）与区自然资源和规划部门的有关职责分工。区农业农村水利局按规定组织开展水资源、水能资源调查评价，指导开展水资源有偿使用工作，负责水资源监测工作。区自然资源和规划部门负责组织开展全区水资源调查、统一确权登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三）与区生态环境部门的有关职责分工。区农业农村水利局按规定指导饮用水水源保护、地下水资源管理保护有关工作，指导河湖水生态保护与修复工作，参与编制水功能区划和指导入河排污口设置管理工作。区生态环境部门负责编制水功能区划、排污口设置管理工作，牵头组织饮用水水源地生态环境保护工作，监督河湖水生态环境保护与修复工作，负责农业面源污染防治和农村生活污水治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50" w:lineRule="atLeast"/>
        <w:ind w:left="0" w:right="0" w:firstLine="0"/>
        <w:rPr>
          <w:rFonts w:hint="eastAsia" w:ascii="仿宋" w:hAnsi="仿宋" w:eastAsia="仿宋" w:cs="仿宋"/>
          <w:b w:val="0"/>
          <w:i w:val="0"/>
          <w:caps w:val="0"/>
          <w:color w:val="555555"/>
          <w:spacing w:val="0"/>
          <w:sz w:val="32"/>
          <w:szCs w:val="32"/>
        </w:rPr>
      </w:pPr>
      <w:r>
        <w:rPr>
          <w:rFonts w:hint="eastAsia" w:ascii="仿宋" w:hAnsi="仿宋" w:eastAsia="仿宋" w:cs="仿宋"/>
          <w:b w:val="0"/>
          <w:i w:val="0"/>
          <w:caps w:val="0"/>
          <w:color w:val="555555"/>
          <w:spacing w:val="0"/>
          <w:sz w:val="32"/>
          <w:szCs w:val="32"/>
          <w:shd w:val="clear" w:fill="FFFFFF"/>
        </w:rPr>
        <w:t>（三十四）与区应急管理局的有关职责分工。区农业农村水利局负责落实综合防灾减灾规划相关要求，组织编制洪水干旱防治规划和防护标准并指导实施；承担水情旱情检查预警工作；组织编制和实施重要江河湖泊和重要水工程的防御洪水抗御旱灾调度和应急水量调度方案，按程序报批；承担防御洪水应急抢险的技术支撑工作；承担台风防御期间重要水工程调度工作。必要时，区农业农村水利局可以提请区应急管理局，以区应急指挥机构名义部署相关防治工作。区应急管理局承担区防汛抗旱指挥部的职责，组织编制综合防灾减灾规划，指导协调相关部门水旱灾害防治工作，同相关部门建立统一的应急管理信息平台，建立监测预警和灾情报告制度，健全自然灾害信息资源获取和共享机制，依法统一发布灾情。</w:t>
      </w:r>
    </w:p>
    <w:p>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ind w:firstLine="640" w:firstLineChars="200"/>
        <w:rPr>
          <w:rFonts w:hint="default" w:ascii="仿宋" w:hAnsi="仿宋" w:eastAsia="仿宋" w:cs="宋体"/>
          <w:b w:val="0"/>
          <w:bCs w:val="0"/>
          <w:color w:val="333333"/>
          <w:kern w:val="0"/>
          <w:sz w:val="32"/>
          <w:szCs w:val="32"/>
          <w:lang w:val="en-US" w:eastAsia="zh-CN"/>
        </w:rPr>
      </w:pPr>
      <w:r>
        <w:rPr>
          <w:rFonts w:hint="eastAsia" w:ascii="仿宋_GB2312" w:hAnsi="仿宋_GB2312" w:eastAsia="仿宋_GB2312" w:cs="仿宋_GB2312"/>
          <w:b w:val="0"/>
          <w:bCs w:val="0"/>
          <w:sz w:val="32"/>
          <w:szCs w:val="32"/>
        </w:rPr>
        <w:t>纳入本套部门预算汇编范围的单位共 3个。包括：</w:t>
      </w:r>
      <w:r>
        <w:rPr>
          <w:rFonts w:hint="eastAsia" w:ascii="仿宋_GB2312" w:hAnsi="仿宋_GB2312" w:eastAsia="仿宋_GB2312" w:cs="仿宋_GB2312"/>
          <w:b w:val="0"/>
          <w:bCs w:val="0"/>
          <w:sz w:val="32"/>
          <w:szCs w:val="32"/>
          <w:lang w:eastAsia="zh-CN"/>
        </w:rPr>
        <w:t>农业农村水利局</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水政监察大队</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山田水库</w:t>
      </w:r>
      <w:r>
        <w:rPr>
          <w:rFonts w:hint="eastAsia" w:ascii="仿宋_GB2312" w:hAnsi="仿宋_GB2312" w:eastAsia="仿宋_GB2312" w:cs="仿宋_GB2312"/>
          <w:b w:val="0"/>
          <w:bCs w:val="0"/>
          <w:sz w:val="32"/>
          <w:szCs w:val="32"/>
        </w:rPr>
        <w:t>。</w:t>
      </w:r>
      <w:r>
        <w:rPr>
          <w:rFonts w:hint="eastAsia" w:ascii="仿宋" w:hAnsi="仿宋" w:eastAsia="仿宋" w:cs="宋体"/>
          <w:b w:val="0"/>
          <w:bCs w:val="0"/>
          <w:color w:val="333333"/>
          <w:kern w:val="0"/>
          <w:sz w:val="32"/>
          <w:szCs w:val="32"/>
        </w:rPr>
        <w:t>编制人数</w:t>
      </w:r>
      <w:r>
        <w:rPr>
          <w:rFonts w:hint="eastAsia" w:ascii="仿宋" w:hAnsi="仿宋" w:eastAsia="仿宋" w:cs="宋体"/>
          <w:b w:val="0"/>
          <w:bCs w:val="0"/>
          <w:color w:val="333333"/>
          <w:kern w:val="0"/>
          <w:sz w:val="32"/>
          <w:szCs w:val="32"/>
          <w:lang w:val="en-US" w:eastAsia="zh-CN"/>
        </w:rPr>
        <w:t>38</w:t>
      </w:r>
      <w:r>
        <w:rPr>
          <w:rFonts w:hint="eastAsia" w:ascii="仿宋" w:hAnsi="仿宋" w:eastAsia="仿宋" w:cs="宋体"/>
          <w:b w:val="0"/>
          <w:bCs w:val="0"/>
          <w:color w:val="333333"/>
          <w:kern w:val="0"/>
          <w:sz w:val="32"/>
          <w:szCs w:val="32"/>
        </w:rPr>
        <w:t>人，其中：行政编制</w:t>
      </w:r>
      <w:r>
        <w:rPr>
          <w:rFonts w:hint="eastAsia" w:ascii="仿宋" w:hAnsi="仿宋" w:eastAsia="仿宋" w:cs="宋体"/>
          <w:b w:val="0"/>
          <w:bCs w:val="0"/>
          <w:color w:val="333333"/>
          <w:kern w:val="0"/>
          <w:sz w:val="32"/>
          <w:szCs w:val="32"/>
          <w:lang w:val="en-US" w:eastAsia="zh-CN"/>
        </w:rPr>
        <w:t>11</w:t>
      </w:r>
      <w:r>
        <w:rPr>
          <w:rFonts w:hint="eastAsia" w:ascii="仿宋" w:hAnsi="仿宋" w:eastAsia="仿宋" w:cs="宋体"/>
          <w:b w:val="0"/>
          <w:bCs w:val="0"/>
          <w:color w:val="333333"/>
          <w:kern w:val="0"/>
          <w:sz w:val="32"/>
          <w:szCs w:val="32"/>
        </w:rPr>
        <w:t>人，全部补助事业编制</w:t>
      </w:r>
      <w:r>
        <w:rPr>
          <w:rFonts w:hint="eastAsia" w:ascii="仿宋" w:hAnsi="仿宋" w:eastAsia="仿宋" w:cs="宋体"/>
          <w:b w:val="0"/>
          <w:bCs w:val="0"/>
          <w:color w:val="333333"/>
          <w:kern w:val="0"/>
          <w:sz w:val="32"/>
          <w:szCs w:val="32"/>
          <w:lang w:val="en-US" w:eastAsia="zh-CN"/>
        </w:rPr>
        <w:t>27</w:t>
      </w:r>
      <w:r>
        <w:rPr>
          <w:rFonts w:hint="eastAsia" w:ascii="仿宋" w:hAnsi="仿宋" w:eastAsia="仿宋" w:cs="宋体"/>
          <w:b w:val="0"/>
          <w:bCs w:val="0"/>
          <w:color w:val="333333"/>
          <w:kern w:val="0"/>
          <w:sz w:val="32"/>
          <w:szCs w:val="32"/>
        </w:rPr>
        <w:t>人；实有人数</w:t>
      </w:r>
      <w:r>
        <w:rPr>
          <w:rFonts w:hint="eastAsia" w:ascii="仿宋" w:hAnsi="仿宋" w:eastAsia="仿宋" w:cs="宋体"/>
          <w:b w:val="0"/>
          <w:bCs w:val="0"/>
          <w:color w:val="333333"/>
          <w:kern w:val="0"/>
          <w:sz w:val="32"/>
          <w:szCs w:val="32"/>
          <w:lang w:val="en-US" w:eastAsia="zh-CN"/>
        </w:rPr>
        <w:t>38</w:t>
      </w:r>
      <w:r>
        <w:rPr>
          <w:rFonts w:hint="eastAsia" w:ascii="仿宋" w:hAnsi="仿宋" w:eastAsia="仿宋" w:cs="宋体"/>
          <w:b w:val="0"/>
          <w:bCs w:val="0"/>
          <w:color w:val="333333"/>
          <w:kern w:val="0"/>
          <w:sz w:val="32"/>
          <w:szCs w:val="32"/>
        </w:rPr>
        <w:t>人，其中：在职人数</w:t>
      </w:r>
      <w:r>
        <w:rPr>
          <w:rFonts w:hint="eastAsia" w:ascii="仿宋" w:hAnsi="仿宋" w:eastAsia="仿宋" w:cs="宋体"/>
          <w:b w:val="0"/>
          <w:bCs w:val="0"/>
          <w:color w:val="333333"/>
          <w:kern w:val="0"/>
          <w:sz w:val="32"/>
          <w:szCs w:val="32"/>
          <w:lang w:val="en-US" w:eastAsia="zh-CN"/>
        </w:rPr>
        <w:t>38</w:t>
      </w:r>
      <w:r>
        <w:rPr>
          <w:rFonts w:hint="eastAsia" w:ascii="仿宋" w:hAnsi="仿宋" w:eastAsia="仿宋" w:cs="宋体"/>
          <w:b w:val="0"/>
          <w:bCs w:val="0"/>
          <w:color w:val="333333"/>
          <w:kern w:val="0"/>
          <w:sz w:val="32"/>
          <w:szCs w:val="32"/>
        </w:rPr>
        <w:t>人</w:t>
      </w:r>
      <w:r>
        <w:rPr>
          <w:rFonts w:hint="eastAsia" w:ascii="仿宋" w:hAnsi="仿宋" w:eastAsia="仿宋" w:cs="宋体"/>
          <w:b w:val="0"/>
          <w:bCs w:val="0"/>
          <w:color w:val="333333"/>
          <w:kern w:val="0"/>
          <w:sz w:val="32"/>
          <w:szCs w:val="32"/>
          <w:lang w:eastAsia="zh-CN"/>
        </w:rPr>
        <w:t>，退休人员</w:t>
      </w:r>
      <w:r>
        <w:rPr>
          <w:rFonts w:hint="eastAsia" w:ascii="仿宋" w:hAnsi="仿宋" w:eastAsia="仿宋" w:cs="宋体"/>
          <w:b w:val="0"/>
          <w:bCs w:val="0"/>
          <w:color w:val="333333"/>
          <w:kern w:val="0"/>
          <w:sz w:val="32"/>
          <w:szCs w:val="32"/>
          <w:lang w:val="en-US" w:eastAsia="zh-CN"/>
        </w:rPr>
        <w:t>18人。</w:t>
      </w: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2021</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578.03</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530.6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，同比增加</w:t>
      </w:r>
      <w:r>
        <w:rPr>
          <w:rFonts w:hint="eastAsia" w:ascii="仿宋_GB2312" w:hAnsi="仿宋_GB2312" w:eastAsia="仿宋_GB2312" w:cs="仿宋_GB2312"/>
          <w:b w:val="0"/>
          <w:bCs w:val="0"/>
          <w:color w:val="333333"/>
          <w:kern w:val="0"/>
          <w:sz w:val="32"/>
          <w:szCs w:val="32"/>
          <w:lang w:val="en-US" w:eastAsia="zh-CN"/>
        </w:rPr>
        <w:t>9.05%，</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人员工资增加及</w:t>
      </w:r>
      <w:r>
        <w:rPr>
          <w:rFonts w:hint="eastAsia" w:ascii="仿宋_GB2312" w:hAnsi="仿宋_GB2312" w:eastAsia="仿宋_GB2312" w:cs="仿宋_GB2312"/>
          <w:b w:val="0"/>
          <w:bCs w:val="0"/>
          <w:color w:val="333333"/>
          <w:kern w:val="0"/>
          <w:sz w:val="32"/>
          <w:szCs w:val="32"/>
          <w:lang w:val="en-US" w:eastAsia="zh-CN"/>
        </w:rPr>
        <w:t>2021年实行零基预算。</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农业农村水利局支出</w:t>
      </w:r>
      <w:r>
        <w:rPr>
          <w:rFonts w:hint="eastAsia" w:ascii="仿宋_GB2312" w:hAnsi="仿宋_GB2312" w:eastAsia="仿宋_GB2312" w:cs="仿宋_GB2312"/>
          <w:b w:val="0"/>
          <w:bCs w:val="0"/>
          <w:color w:val="333333"/>
          <w:kern w:val="0"/>
          <w:sz w:val="32"/>
          <w:szCs w:val="32"/>
        </w:rPr>
        <w:t>预算总额为</w:t>
      </w:r>
      <w:r>
        <w:rPr>
          <w:rFonts w:hint="eastAsia" w:ascii="仿宋_GB2312" w:hAnsi="仿宋_GB2312" w:eastAsia="仿宋_GB2312" w:cs="仿宋_GB2312"/>
          <w:b w:val="0"/>
          <w:bCs w:val="0"/>
          <w:color w:val="333333"/>
          <w:kern w:val="0"/>
          <w:sz w:val="32"/>
          <w:szCs w:val="32"/>
          <w:lang w:val="en-US" w:eastAsia="zh-CN"/>
        </w:rPr>
        <w:t>578.03</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578.03</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，同比增加</w:t>
      </w:r>
      <w:r>
        <w:rPr>
          <w:rFonts w:hint="eastAsia" w:ascii="仿宋_GB2312" w:hAnsi="仿宋_GB2312" w:eastAsia="仿宋_GB2312" w:cs="仿宋_GB2312"/>
          <w:b w:val="0"/>
          <w:bCs w:val="0"/>
          <w:color w:val="333333"/>
          <w:kern w:val="0"/>
          <w:sz w:val="32"/>
          <w:szCs w:val="32"/>
          <w:lang w:val="en-US" w:eastAsia="zh-CN"/>
        </w:rPr>
        <w:t>9.05%，</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人员工资增加及</w:t>
      </w:r>
      <w:r>
        <w:rPr>
          <w:rFonts w:hint="eastAsia" w:ascii="仿宋_GB2312" w:hAnsi="仿宋_GB2312" w:eastAsia="仿宋_GB2312" w:cs="仿宋_GB2312"/>
          <w:b w:val="0"/>
          <w:bCs w:val="0"/>
          <w:color w:val="333333"/>
          <w:kern w:val="0"/>
          <w:sz w:val="32"/>
          <w:szCs w:val="32"/>
          <w:lang w:val="en-US" w:eastAsia="zh-CN"/>
        </w:rPr>
        <w:t>2021年实行零基预算。</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489.28</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426.46</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52.54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10.27万元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88.75</w:t>
      </w:r>
      <w:r>
        <w:rPr>
          <w:rFonts w:hint="eastAsia" w:ascii="仿宋_GB2312" w:hAnsi="仿宋_GB2312" w:eastAsia="仿宋_GB2312" w:cs="仿宋_GB2312"/>
          <w:b w:val="0"/>
          <w:bCs w:val="0"/>
          <w:color w:val="333333"/>
          <w:kern w:val="0"/>
          <w:sz w:val="32"/>
          <w:szCs w:val="32"/>
        </w:rPr>
        <w:t>万元。主要原因是</w:t>
      </w:r>
      <w:r>
        <w:rPr>
          <w:rFonts w:hint="eastAsia" w:ascii="仿宋_GB2312" w:hAnsi="仿宋_GB2312" w:eastAsia="仿宋_GB2312" w:cs="仿宋_GB2312"/>
          <w:b w:val="0"/>
          <w:bCs w:val="0"/>
          <w:color w:val="333333"/>
          <w:kern w:val="0"/>
          <w:sz w:val="32"/>
          <w:szCs w:val="32"/>
          <w:lang w:eastAsia="zh-CN"/>
        </w:rPr>
        <w:t>人员工资增加及</w:t>
      </w:r>
      <w:r>
        <w:rPr>
          <w:rFonts w:hint="eastAsia" w:ascii="仿宋_GB2312" w:hAnsi="仿宋_GB2312" w:eastAsia="仿宋_GB2312" w:cs="仿宋_GB2312"/>
          <w:b w:val="0"/>
          <w:bCs w:val="0"/>
          <w:color w:val="333333"/>
          <w:kern w:val="0"/>
          <w:sz w:val="32"/>
          <w:szCs w:val="32"/>
          <w:lang w:val="en-US" w:eastAsia="zh-CN"/>
        </w:rPr>
        <w:t>2021年实行零基预算。</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w:t>
      </w:r>
      <w:r>
        <w:rPr>
          <w:rFonts w:hint="eastAsia" w:ascii="仿宋_GB2312" w:hAnsi="仿宋_GB2312" w:eastAsia="仿宋_GB2312" w:cs="仿宋_GB2312"/>
          <w:b w:val="0"/>
          <w:bCs w:val="0"/>
          <w:color w:val="333333"/>
          <w:kern w:val="0"/>
          <w:sz w:val="32"/>
          <w:szCs w:val="32"/>
        </w:rPr>
        <w:t>财政拨款支出预算数</w:t>
      </w:r>
      <w:r>
        <w:rPr>
          <w:rFonts w:hint="eastAsia" w:ascii="仿宋_GB2312" w:hAnsi="仿宋_GB2312" w:eastAsia="仿宋_GB2312" w:cs="仿宋_GB2312"/>
          <w:b w:val="0"/>
          <w:bCs w:val="0"/>
          <w:color w:val="333333"/>
          <w:kern w:val="0"/>
          <w:sz w:val="32"/>
          <w:szCs w:val="32"/>
          <w:lang w:val="en-US" w:eastAsia="zh-CN"/>
        </w:rPr>
        <w:t>578.03</w:t>
      </w:r>
      <w:r>
        <w:rPr>
          <w:rFonts w:hint="eastAsia" w:ascii="仿宋_GB2312" w:hAnsi="仿宋_GB2312" w:eastAsia="仿宋_GB2312" w:cs="仿宋_GB2312"/>
          <w:b w:val="0"/>
          <w:bCs w:val="0"/>
          <w:color w:val="333333"/>
          <w:kern w:val="0"/>
          <w:sz w:val="32"/>
          <w:szCs w:val="32"/>
        </w:rPr>
        <w:t>万元。具体支出情况是：区</w:t>
      </w:r>
      <w:r>
        <w:rPr>
          <w:rFonts w:hint="eastAsia" w:ascii="仿宋_GB2312" w:hAnsi="仿宋_GB2312" w:eastAsia="仿宋_GB2312" w:cs="仿宋_GB2312"/>
          <w:b w:val="0"/>
          <w:bCs w:val="0"/>
          <w:color w:val="333333"/>
          <w:kern w:val="0"/>
          <w:sz w:val="32"/>
          <w:szCs w:val="32"/>
          <w:lang w:eastAsia="zh-CN"/>
        </w:rPr>
        <w:t>农林水</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466.27</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45.53</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40.08万元，卫生健康支出26.14万元。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52.54</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52.54</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7.40万元、印刷费4.50万元、邮电费2.60万元，差旅费4.30万元，维修（护）费2.00万元，会议费1.00万元、培训费1.5万元、公务接待费12.19万元、公务用车运行维护费2.59万元，其他交通费8.92万元、其他商品服务支出费5.55万元。</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24.60</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3.7</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家具用具</w:t>
      </w:r>
      <w:r>
        <w:rPr>
          <w:rFonts w:hint="eastAsia" w:ascii="仿宋_GB2312" w:hAnsi="仿宋_GB2312" w:eastAsia="仿宋_GB2312" w:cs="仿宋_GB2312"/>
          <w:b w:val="0"/>
          <w:bCs w:val="0"/>
          <w:color w:val="333333"/>
          <w:kern w:val="0"/>
          <w:sz w:val="32"/>
          <w:szCs w:val="32"/>
          <w:lang w:val="en-US" w:eastAsia="zh-CN"/>
        </w:rPr>
        <w:t>4.8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，空调</w:t>
      </w:r>
      <w:r>
        <w:rPr>
          <w:rFonts w:hint="eastAsia" w:ascii="仿宋_GB2312" w:hAnsi="仿宋_GB2312" w:eastAsia="仿宋_GB2312" w:cs="仿宋_GB2312"/>
          <w:b w:val="0"/>
          <w:bCs w:val="0"/>
          <w:color w:val="333333"/>
          <w:kern w:val="0"/>
          <w:sz w:val="32"/>
          <w:szCs w:val="32"/>
          <w:lang w:val="en-US" w:eastAsia="zh-CN"/>
        </w:rPr>
        <w:t>2.0万元，服务器及多功能一体机13.60万元，印刷品0.5万元</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2021</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农业农村水利局</w:t>
      </w:r>
      <w:r>
        <w:rPr>
          <w:rFonts w:hint="eastAsia" w:ascii="仿宋_GB2312" w:hAnsi="仿宋_GB2312" w:eastAsia="仿宋_GB2312" w:cs="仿宋_GB2312"/>
          <w:b w:val="0"/>
          <w:bCs w:val="0"/>
          <w:color w:val="333333"/>
          <w:kern w:val="0"/>
          <w:sz w:val="32"/>
          <w:szCs w:val="32"/>
        </w:rPr>
        <w:t xml:space="preserve"> “三公”经费年初预算安排</w:t>
      </w:r>
      <w:r>
        <w:rPr>
          <w:rFonts w:hint="eastAsia" w:ascii="仿宋_GB2312" w:hAnsi="仿宋_GB2312" w:eastAsia="仿宋_GB2312" w:cs="仿宋_GB2312"/>
          <w:b w:val="0"/>
          <w:bCs w:val="0"/>
          <w:color w:val="333333"/>
          <w:kern w:val="0"/>
          <w:sz w:val="32"/>
          <w:szCs w:val="32"/>
          <w:lang w:val="en-US" w:eastAsia="zh-CN"/>
        </w:rPr>
        <w:t>14.78</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12.19</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2.59</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w:t>
      </w:r>
      <w:r>
        <w:rPr>
          <w:rFonts w:hint="eastAsia" w:ascii="仿宋_GB2312" w:hAnsi="仿宋_GB2312" w:eastAsia="仿宋_GB2312" w:cs="仿宋_GB2312"/>
          <w:b/>
          <w:bCs/>
          <w:color w:val="333333"/>
          <w:kern w:val="0"/>
          <w:sz w:val="32"/>
          <w:szCs w:val="32"/>
          <w:lang w:eastAsia="zh-CN"/>
        </w:rPr>
        <w:t>农业农村水利局2021</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十</w:t>
      </w:r>
      <w:r>
        <w:rPr>
          <w:rFonts w:hint="eastAsia" w:ascii="仿宋_GB2312" w:hAnsi="仿宋_GB2312" w:eastAsia="仿宋_GB2312" w:cs="仿宋_GB2312"/>
          <w:b w:val="0"/>
          <w:bCs w:val="0"/>
          <w:color w:val="333333"/>
          <w:kern w:val="0"/>
          <w:sz w:val="32"/>
          <w:szCs w:val="32"/>
        </w:rPr>
        <w:t>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bookmarkStart w:id="0" w:name="_GoBack"/>
      <w:bookmarkEnd w:id="0"/>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农林水</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昌江区农业农村水利局</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农林水</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昌江区农业农村水利局未单独设置项级科目的其他项目支出。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7744A41"/>
    <w:rsid w:val="0920213A"/>
    <w:rsid w:val="0BCA397C"/>
    <w:rsid w:val="0F6065E6"/>
    <w:rsid w:val="169B4F3B"/>
    <w:rsid w:val="1C2618CE"/>
    <w:rsid w:val="1ED822F6"/>
    <w:rsid w:val="20B80505"/>
    <w:rsid w:val="25461A5F"/>
    <w:rsid w:val="29C1612C"/>
    <w:rsid w:val="34051E66"/>
    <w:rsid w:val="35011CBA"/>
    <w:rsid w:val="35856DA1"/>
    <w:rsid w:val="3E2A5748"/>
    <w:rsid w:val="42176945"/>
    <w:rsid w:val="47DA7A11"/>
    <w:rsid w:val="4B4465D2"/>
    <w:rsid w:val="4DF673D7"/>
    <w:rsid w:val="4EE1660A"/>
    <w:rsid w:val="52A64031"/>
    <w:rsid w:val="53E8275F"/>
    <w:rsid w:val="57701BA5"/>
    <w:rsid w:val="5D061CB2"/>
    <w:rsid w:val="5E693A0A"/>
    <w:rsid w:val="682C1BD1"/>
    <w:rsid w:val="6A20273A"/>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333333"/>
      <w:u w:val="none"/>
    </w:rPr>
  </w:style>
  <w:style w:type="character" w:styleId="9">
    <w:name w:val="Emphasis"/>
    <w:basedOn w:val="6"/>
    <w:qFormat/>
    <w:uiPriority w:val="20"/>
    <w:rPr>
      <w:i/>
    </w:rPr>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rPr>
      <w:i/>
    </w:rPr>
  </w:style>
  <w:style w:type="character" w:styleId="13">
    <w:name w:val="Hyperlink"/>
    <w:basedOn w:val="6"/>
    <w:unhideWhenUsed/>
    <w:qFormat/>
    <w:uiPriority w:val="99"/>
    <w:rPr>
      <w:color w:val="333333"/>
      <w:u w:val="none"/>
    </w:rPr>
  </w:style>
  <w:style w:type="character" w:styleId="14">
    <w:name w:val="HTML Code"/>
    <w:basedOn w:val="6"/>
    <w:unhideWhenUsed/>
    <w:qFormat/>
    <w:uiPriority w:val="99"/>
    <w:rPr>
      <w:rFonts w:ascii="Courier New" w:hAnsi="Courier New"/>
      <w:sz w:val="20"/>
    </w:rPr>
  </w:style>
  <w:style w:type="character" w:styleId="15">
    <w:name w:val="HTML Cite"/>
    <w:basedOn w:val="6"/>
    <w:unhideWhenUsed/>
    <w:qFormat/>
    <w:uiPriority w:val="99"/>
    <w:rPr>
      <w:i/>
    </w:rPr>
  </w:style>
  <w:style w:type="character" w:customStyle="1" w:styleId="16">
    <w:name w:val="apple-converted-space"/>
    <w:basedOn w:val="6"/>
    <w:qFormat/>
    <w:uiPriority w:val="0"/>
  </w:style>
  <w:style w:type="paragraph" w:customStyle="1" w:styleId="17">
    <w:name w:val="列出段落1"/>
    <w:basedOn w:val="1"/>
    <w:qFormat/>
    <w:uiPriority w:val="34"/>
    <w:pPr>
      <w:ind w:firstLine="420" w:firstLineChars="200"/>
    </w:pPr>
  </w:style>
  <w:style w:type="character" w:customStyle="1" w:styleId="18">
    <w:name w:val="页眉 Char"/>
    <w:basedOn w:val="6"/>
    <w:link w:val="3"/>
    <w:qFormat/>
    <w:uiPriority w:val="99"/>
    <w:rPr>
      <w:rFonts w:asciiTheme="minorHAnsi" w:hAnsiTheme="minorHAnsi" w:eastAsiaTheme="minorEastAsia" w:cstheme="minorBidi"/>
      <w:kern w:val="2"/>
      <w:sz w:val="18"/>
      <w:szCs w:val="18"/>
    </w:rPr>
  </w:style>
  <w:style w:type="character" w:customStyle="1" w:styleId="1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Words>
  <Characters>1831</Characters>
  <Lines>15</Lines>
  <Paragraphs>4</Paragraphs>
  <TotalTime>14</TotalTime>
  <ScaleCrop>false</ScaleCrop>
  <LinksUpToDate>false</LinksUpToDate>
  <CharactersWithSpaces>2148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蓝灵^_^</cp:lastModifiedBy>
  <cp:lastPrinted>2018-02-01T03:45:00Z</cp:lastPrinted>
  <dcterms:modified xsi:type="dcterms:W3CDTF">2021-04-13T12:37:46Z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4B900021A4E64E35B0974CC1D54A9DFC</vt:lpwstr>
  </property>
</Properties>
</file>