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lang w:val="en-US" w:eastAsia="zh-CN"/>
        </w:rPr>
        <w:t>昌江区委水政大队</w:t>
      </w:r>
      <w:r>
        <w:rPr>
          <w:rFonts w:hint="eastAsia" w:ascii="黑体" w:hAnsi="黑体" w:eastAsia="黑体" w:cs="黑体"/>
          <w:lang w:eastAsia="zh-CN"/>
        </w:rPr>
        <w:t>2024</w:t>
      </w:r>
      <w:r>
        <w:rPr>
          <w:rFonts w:hint="eastAsia" w:ascii="黑体" w:hAnsi="黑体" w:eastAsia="黑体" w:cs="黑体"/>
        </w:rPr>
        <w:t>年部门预算</w:t>
      </w:r>
      <w:r>
        <w:rPr>
          <w:rFonts w:hint="eastAsia" w:ascii="黑体" w:hAnsi="黑体" w:eastAsia="黑体" w:cs="黑体"/>
          <w:lang w:val="en-US" w:eastAsia="zh-CN"/>
        </w:rPr>
        <w:t>公开</w:t>
      </w:r>
    </w:p>
    <w:p>
      <w:pPr>
        <w:spacing w:before="240"/>
        <w:ind w:firstLine="3534" w:firstLineChars="1100"/>
        <w:jc w:val="both"/>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昌江区委水政大队</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昌江区委水政大队</w:t>
      </w:r>
      <w:r>
        <w:rPr>
          <w:rFonts w:hint="eastAsia" w:ascii="黑体" w:hAnsi="宋体" w:eastAsia="黑体" w:cs="黑体"/>
          <w:sz w:val="32"/>
          <w:szCs w:val="32"/>
          <w:lang w:eastAsia="zh-CN"/>
        </w:rPr>
        <w:t>2024</w:t>
      </w:r>
      <w:r>
        <w:rPr>
          <w:rFonts w:hint="eastAsia" w:ascii="黑体" w:hAnsi="宋体" w:eastAsia="黑体" w:cs="黑体"/>
          <w:sz w:val="32"/>
          <w:szCs w:val="32"/>
        </w:rPr>
        <w:t>年部门预算表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十一、《项目绩效目标表》</w:t>
      </w:r>
    </w:p>
    <w:p>
      <w:pPr>
        <w:ind w:firstLine="640" w:firstLineChars="200"/>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eastAsia="zh-CN"/>
        </w:rPr>
        <w:t>昌江区委水政大队2024</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2024</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2024</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pStyle w:val="14"/>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1600" w:firstLineChars="5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昌江区委水政大队</w:t>
      </w:r>
      <w:r>
        <w:rPr>
          <w:rFonts w:hint="eastAsia" w:ascii="黑体" w:hAnsi="宋体" w:eastAsia="黑体" w:cs="黑体"/>
          <w:sz w:val="32"/>
          <w:szCs w:val="32"/>
        </w:rPr>
        <w:t>概况</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昌江区水政大队</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6"/>
        <w:keepNext w:val="0"/>
        <w:keepLines w:val="0"/>
        <w:widowControl/>
        <w:suppressLineNumbers w:val="0"/>
        <w:shd w:val="clear" w:color="auto" w:fill="FFFFFF"/>
        <w:spacing w:line="450" w:lineRule="atLeast"/>
        <w:ind w:left="0" w:firstLine="420"/>
        <w:rPr>
          <w:rFonts w:hint="eastAsia" w:ascii="仿宋" w:hAnsi="仿宋" w:eastAsia="仿宋" w:cs="Times New Roman"/>
          <w:kern w:val="2"/>
          <w:sz w:val="30"/>
          <w:szCs w:val="30"/>
          <w:lang w:val="en-US" w:eastAsia="zh-CN" w:bidi="ar-SA"/>
        </w:rPr>
      </w:pPr>
      <w:r>
        <w:rPr>
          <w:rFonts w:hint="eastAsia" w:ascii="仿宋" w:hAnsi="仿宋" w:eastAsia="仿宋"/>
          <w:sz w:val="32"/>
          <w:szCs w:val="30"/>
        </w:rPr>
        <w:t xml:space="preserve">  </w:t>
      </w:r>
      <w:r>
        <w:rPr>
          <w:rFonts w:hint="eastAsia" w:ascii="仿宋_GB2312" w:hAnsi="Calibri" w:eastAsia="仿宋_GB2312"/>
          <w:color w:val="333333"/>
          <w:sz w:val="32"/>
          <w:szCs w:val="32"/>
          <w:shd w:val="clear" w:color="auto" w:fill="FFFFFF"/>
        </w:rPr>
        <w:t xml:space="preserve"> </w:t>
      </w:r>
      <w:r>
        <w:rPr>
          <w:rFonts w:hint="eastAsia" w:ascii="仿宋" w:hAnsi="仿宋" w:eastAsia="仿宋" w:cs="Times New Roman"/>
          <w:kern w:val="2"/>
          <w:sz w:val="30"/>
          <w:szCs w:val="30"/>
          <w:lang w:val="en-US" w:eastAsia="zh-CN" w:bidi="ar-SA"/>
        </w:rPr>
        <w:t>（一）宣传贯彻执行水行政法律法规；</w:t>
      </w:r>
    </w:p>
    <w:p>
      <w:pPr>
        <w:pStyle w:val="6"/>
        <w:keepNext w:val="0"/>
        <w:keepLines w:val="0"/>
        <w:widowControl/>
        <w:suppressLineNumbers w:val="0"/>
        <w:shd w:val="clear" w:color="auto" w:fill="FFFFFF"/>
        <w:spacing w:line="450" w:lineRule="atLeast"/>
        <w:ind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（二）保护全县水资源、水利工程、河道、防汛抗旱等有关设施；</w:t>
      </w:r>
    </w:p>
    <w:p>
      <w:pPr>
        <w:pStyle w:val="6"/>
        <w:keepNext w:val="0"/>
        <w:keepLines w:val="0"/>
        <w:widowControl/>
        <w:suppressLineNumbers w:val="0"/>
        <w:shd w:val="clear" w:color="auto" w:fill="FFFFFF"/>
        <w:spacing w:line="450" w:lineRule="atLeast"/>
        <w:ind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（三）对全县水事活动进行监督、检查、勘测、取证、调查和处理，维护正常的水事秩序；</w:t>
      </w:r>
    </w:p>
    <w:p>
      <w:pPr>
        <w:keepNext w:val="0"/>
        <w:keepLines w:val="0"/>
        <w:widowControl/>
        <w:suppressLineNumbers w:val="0"/>
        <w:shd w:val="clear" w:color="auto" w:fill="FFFFFF"/>
        <w:spacing w:before="100" w:beforeAutospacing="1" w:after="100" w:afterAutospacing="1" w:line="315" w:lineRule="atLeast"/>
        <w:ind w:right="0" w:firstLine="600" w:firstLineChars="200"/>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（四）对公民、法人或其他组织违反水法规的行为实施行政处罚或采取其他行政措施；</w:t>
      </w:r>
    </w:p>
    <w:p>
      <w:pPr>
        <w:keepNext w:val="0"/>
        <w:keepLines w:val="0"/>
        <w:widowControl/>
        <w:suppressLineNumbers w:val="0"/>
        <w:shd w:val="clear" w:color="auto" w:fill="FFFFFF"/>
        <w:spacing w:before="100" w:beforeAutospacing="1" w:after="100" w:afterAutospacing="1" w:line="315" w:lineRule="atLeast"/>
        <w:ind w:right="0" w:firstLine="600" w:firstLineChars="200"/>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（五）配合和协助公安和司法部门查处水事治安和刑事案件；</w:t>
      </w:r>
    </w:p>
    <w:p>
      <w:pPr>
        <w:keepNext w:val="0"/>
        <w:keepLines w:val="0"/>
        <w:widowControl/>
        <w:suppressLineNumbers w:val="0"/>
        <w:shd w:val="clear" w:color="auto" w:fill="FFFFFF"/>
        <w:spacing w:before="100" w:beforeAutospacing="1" w:after="100" w:afterAutospacing="1" w:line="315" w:lineRule="atLeast"/>
        <w:ind w:right="0" w:firstLine="600" w:firstLineChars="200"/>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（六）受上级部门的委托办理行政许可和征收行政事业性规费等有关事宜。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424242"/>
          <w:spacing w:val="0"/>
          <w:sz w:val="27"/>
          <w:szCs w:val="27"/>
        </w:rPr>
      </w:pPr>
    </w:p>
    <w:p>
      <w:pPr>
        <w:pStyle w:val="6"/>
        <w:shd w:val="clear" w:color="auto" w:fill="FFFFFF"/>
        <w:spacing w:before="0" w:beforeAutospacing="0" w:after="0" w:afterAutospacing="0" w:line="420" w:lineRule="atLeast"/>
        <w:ind w:firstLine="640"/>
        <w:jc w:val="both"/>
        <w:rPr>
          <w:rFonts w:hint="eastAsia" w:ascii="仿宋_GB2312" w:hAnsi="Calibri" w:eastAsia="仿宋_GB2312"/>
          <w:color w:val="333333"/>
          <w:sz w:val="32"/>
          <w:szCs w:val="32"/>
          <w:shd w:val="clear" w:color="auto" w:fill="FFFFFF"/>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w:t>
      </w:r>
      <w:r>
        <w:rPr>
          <w:rFonts w:hint="eastAsia" w:ascii="仿宋" w:hAnsi="仿宋" w:eastAsia="仿宋"/>
          <w:sz w:val="30"/>
          <w:szCs w:val="30"/>
          <w:lang w:val="en-US" w:eastAsia="zh-CN"/>
        </w:rPr>
        <w:t>单位预算</w:t>
      </w:r>
      <w:r>
        <w:rPr>
          <w:rFonts w:hint="eastAsia" w:ascii="仿宋" w:hAnsi="仿宋" w:eastAsia="仿宋"/>
          <w:sz w:val="30"/>
          <w:szCs w:val="30"/>
        </w:rPr>
        <w:t>汇编范围的单位</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eastAsia="zh-CN"/>
        </w:rPr>
        <w:t>即昌江区水政监察大队。</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w:t>
      </w:r>
      <w:r>
        <w:rPr>
          <w:rFonts w:hint="eastAsia" w:ascii="仿宋" w:hAnsi="仿宋" w:eastAsia="仿宋"/>
          <w:sz w:val="30"/>
          <w:szCs w:val="30"/>
          <w:lang w:val="en-US" w:eastAsia="zh-CN"/>
        </w:rPr>
        <w:t>4</w:t>
      </w:r>
      <w:r>
        <w:rPr>
          <w:rFonts w:hint="eastAsia" w:ascii="仿宋" w:hAnsi="仿宋" w:eastAsia="仿宋"/>
          <w:sz w:val="30"/>
          <w:szCs w:val="30"/>
        </w:rPr>
        <w:t>年编制人数</w:t>
      </w:r>
      <w:r>
        <w:rPr>
          <w:rFonts w:hint="eastAsia" w:ascii="仿宋" w:hAnsi="仿宋" w:eastAsia="仿宋"/>
          <w:sz w:val="30"/>
          <w:szCs w:val="30"/>
          <w:lang w:val="en-US" w:eastAsia="zh-CN"/>
        </w:rPr>
        <w:t>3</w:t>
      </w:r>
      <w:r>
        <w:rPr>
          <w:rFonts w:hint="eastAsia" w:ascii="仿宋" w:hAnsi="仿宋" w:eastAsia="仿宋"/>
          <w:sz w:val="30"/>
          <w:szCs w:val="30"/>
        </w:rPr>
        <w:t>人，其中行政编制</w:t>
      </w:r>
      <w:r>
        <w:rPr>
          <w:rFonts w:hint="eastAsia" w:ascii="仿宋" w:hAnsi="仿宋" w:eastAsia="仿宋"/>
          <w:sz w:val="30"/>
          <w:szCs w:val="30"/>
          <w:lang w:val="en-US" w:eastAsia="zh-CN"/>
        </w:rPr>
        <w:t>0</w:t>
      </w:r>
      <w:r>
        <w:rPr>
          <w:rFonts w:hint="eastAsia" w:ascii="仿宋" w:hAnsi="仿宋" w:eastAsia="仿宋"/>
          <w:sz w:val="30"/>
          <w:szCs w:val="30"/>
        </w:rPr>
        <w:t>人，事业编制</w:t>
      </w:r>
      <w:r>
        <w:rPr>
          <w:rFonts w:hint="eastAsia" w:ascii="仿宋" w:hAnsi="仿宋" w:eastAsia="仿宋"/>
          <w:sz w:val="30"/>
          <w:szCs w:val="30"/>
          <w:lang w:val="en-US" w:eastAsia="zh-CN"/>
        </w:rPr>
        <w:t>3</w:t>
      </w:r>
      <w:r>
        <w:rPr>
          <w:rFonts w:hint="eastAsia" w:ascii="仿宋" w:hAnsi="仿宋" w:eastAsia="仿宋"/>
          <w:sz w:val="30"/>
          <w:szCs w:val="30"/>
        </w:rPr>
        <w:t>人；年末实有人数</w:t>
      </w:r>
      <w:r>
        <w:rPr>
          <w:rFonts w:hint="eastAsia" w:ascii="仿宋" w:hAnsi="仿宋" w:eastAsia="仿宋"/>
          <w:sz w:val="30"/>
          <w:szCs w:val="30"/>
          <w:lang w:val="en-US" w:eastAsia="zh-CN"/>
        </w:rPr>
        <w:t>3</w:t>
      </w:r>
      <w:r>
        <w:rPr>
          <w:rFonts w:hint="eastAsia" w:ascii="仿宋" w:hAnsi="仿宋" w:eastAsia="仿宋"/>
          <w:sz w:val="30"/>
          <w:szCs w:val="30"/>
        </w:rPr>
        <w:t>人，其中在职人员</w:t>
      </w:r>
      <w:r>
        <w:rPr>
          <w:rFonts w:hint="eastAsia" w:ascii="仿宋" w:hAnsi="仿宋" w:eastAsia="仿宋"/>
          <w:sz w:val="30"/>
          <w:szCs w:val="30"/>
          <w:lang w:val="en-US" w:eastAsia="zh-CN"/>
        </w:rPr>
        <w:t>3</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2</w:t>
      </w:r>
      <w:r>
        <w:rPr>
          <w:rFonts w:hint="eastAsia" w:ascii="仿宋" w:hAnsi="仿宋" w:eastAsia="仿宋"/>
          <w:sz w:val="30"/>
          <w:szCs w:val="30"/>
        </w:rPr>
        <w:t>人。</w:t>
      </w:r>
    </w:p>
    <w:p>
      <w:pPr>
        <w:ind w:firstLine="570"/>
        <w:rPr>
          <w:rFonts w:hint="eastAsia" w:eastAsia="仿宋_GB2312"/>
          <w:sz w:val="32"/>
          <w:szCs w:val="32"/>
        </w:rPr>
      </w:pPr>
    </w:p>
    <w:p>
      <w:pPr>
        <w:ind w:firstLine="640" w:firstLineChars="200"/>
        <w:rPr>
          <w:rFonts w:ascii="仿宋_GB2312" w:hAnsi="宋体"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第二部分  </w:t>
      </w:r>
      <w:r>
        <w:rPr>
          <w:rFonts w:hint="eastAsia" w:ascii="黑体" w:hAnsi="宋体" w:eastAsia="黑体" w:cs="黑体"/>
          <w:sz w:val="32"/>
          <w:szCs w:val="32"/>
          <w:lang w:val="en-US" w:eastAsia="zh-CN"/>
        </w:rPr>
        <w:t>昌江区委水政大队</w:t>
      </w:r>
      <w:r>
        <w:rPr>
          <w:rFonts w:hint="eastAsia" w:ascii="方正小标宋简体" w:hAnsi="方正小标宋简体" w:eastAsia="方正小标宋简体" w:cs="方正小标宋简体"/>
          <w:b/>
          <w:sz w:val="32"/>
          <w:szCs w:val="30"/>
          <w:lang w:eastAsia="zh-CN"/>
        </w:rPr>
        <w:t>2024</w:t>
      </w:r>
      <w:r>
        <w:rPr>
          <w:rFonts w:hint="eastAsia" w:ascii="方正小标宋简体" w:hAnsi="方正小标宋简体" w:eastAsia="方正小标宋简体" w:cs="方正小标宋简体"/>
          <w:b/>
          <w:sz w:val="32"/>
          <w:szCs w:val="30"/>
        </w:rPr>
        <w:t>年部门预算表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ind w:firstLine="640" w:firstLineChars="200"/>
        <w:rPr>
          <w:rFonts w:ascii="仿宋_GB2312" w:hAnsi="宋体" w:eastAsia="仿宋_GB2312" w:cs="仿宋_GB2312"/>
          <w:sz w:val="32"/>
          <w:szCs w:val="32"/>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昌江区委水政大队</w:t>
      </w:r>
      <w:r>
        <w:rPr>
          <w:rFonts w:hint="eastAsia" w:ascii="黑体" w:hAnsi="宋体" w:eastAsia="黑体" w:cs="黑体"/>
          <w:sz w:val="32"/>
          <w:szCs w:val="32"/>
          <w:lang w:eastAsia="zh-CN"/>
        </w:rPr>
        <w:t>2024</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2024</w:t>
      </w:r>
      <w:r>
        <w:rPr>
          <w:rFonts w:hint="eastAsia" w:ascii="仿宋_GB2312" w:hAnsi="宋体" w:eastAsia="仿宋_GB2312" w:cs="仿宋_GB2312"/>
          <w:b/>
          <w:bCs/>
          <w:sz w:val="32"/>
          <w:szCs w:val="32"/>
        </w:rPr>
        <w:t>年部门预算收支情况说明</w:t>
      </w:r>
    </w:p>
    <w:p>
      <w:pPr>
        <w:ind w:firstLine="643" w:firstLineChars="200"/>
        <w:rPr>
          <w:rStyle w:val="15"/>
          <w:rFonts w:hint="eastAsia" w:ascii="楷体_GB2312" w:hAnsi="楷体_GB2312" w:eastAsia="楷体_GB2312" w:cs="楷体_GB2312"/>
          <w:b/>
          <w:bCs w:val="0"/>
          <w:sz w:val="32"/>
          <w:szCs w:val="32"/>
          <w:lang w:eastAsia="zh-CN"/>
        </w:rPr>
      </w:pPr>
      <w:r>
        <w:rPr>
          <w:rStyle w:val="15"/>
          <w:rFonts w:hint="eastAsia" w:ascii="楷体_GB2312" w:hAnsi="楷体_GB2312" w:eastAsia="楷体_GB2312" w:cs="楷体_GB2312"/>
          <w:b/>
          <w:bCs w:val="0"/>
          <w:sz w:val="32"/>
          <w:szCs w:val="32"/>
          <w:lang w:eastAsia="zh-CN"/>
        </w:rPr>
        <w:t>（一）预算收入情况</w:t>
      </w:r>
    </w:p>
    <w:p>
      <w:pPr>
        <w:widowControl/>
        <w:shd w:val="clear" w:color="auto" w:fill="FFFFFF"/>
        <w:spacing w:line="580" w:lineRule="atLeast"/>
        <w:ind w:firstLine="640"/>
        <w:jc w:val="left"/>
        <w:rPr>
          <w:rFonts w:hint="default" w:ascii="仿宋" w:hAnsi="仿宋" w:eastAsia="仿宋" w:cs="宋体"/>
          <w:b w:val="0"/>
          <w:bCs w:val="0"/>
          <w:color w:val="333333"/>
          <w:kern w:val="0"/>
          <w:sz w:val="32"/>
          <w:szCs w:val="32"/>
          <w:lang w:val="en-US" w:eastAsia="zh-CN"/>
        </w:rPr>
      </w:pPr>
      <w:r>
        <w:rPr>
          <w:rFonts w:hint="eastAsia" w:ascii="仿宋" w:hAnsi="仿宋" w:eastAsia="仿宋" w:cs="宋体"/>
          <w:b w:val="0"/>
          <w:bCs w:val="0"/>
          <w:color w:val="333333"/>
          <w:kern w:val="0"/>
          <w:sz w:val="32"/>
          <w:szCs w:val="32"/>
          <w:lang w:eastAsia="zh-CN"/>
        </w:rPr>
        <w:t>2024</w:t>
      </w:r>
      <w:r>
        <w:rPr>
          <w:rFonts w:hint="eastAsia" w:ascii="仿宋" w:hAnsi="仿宋" w:eastAsia="仿宋" w:cs="宋体"/>
          <w:b w:val="0"/>
          <w:bCs w:val="0"/>
          <w:color w:val="333333"/>
          <w:kern w:val="0"/>
          <w:sz w:val="32"/>
          <w:szCs w:val="32"/>
        </w:rPr>
        <w:t>年收入预算总额为</w:t>
      </w:r>
      <w:r>
        <w:rPr>
          <w:rFonts w:hint="eastAsia" w:ascii="仿宋" w:hAnsi="仿宋" w:eastAsia="仿宋" w:cs="宋体"/>
          <w:b w:val="0"/>
          <w:bCs w:val="0"/>
          <w:color w:val="0000FF"/>
          <w:kern w:val="0"/>
          <w:sz w:val="32"/>
          <w:szCs w:val="32"/>
          <w:lang w:val="en-US" w:eastAsia="zh-CN"/>
        </w:rPr>
        <w:t>179.71</w:t>
      </w:r>
      <w:r>
        <w:rPr>
          <w:rFonts w:hint="eastAsia" w:ascii="仿宋" w:hAnsi="仿宋" w:eastAsia="仿宋" w:cs="宋体"/>
          <w:b w:val="0"/>
          <w:bCs w:val="0"/>
          <w:color w:val="333333"/>
          <w:kern w:val="0"/>
          <w:sz w:val="32"/>
          <w:szCs w:val="32"/>
          <w:lang w:eastAsia="zh-CN"/>
        </w:rPr>
        <w:t>万元</w:t>
      </w:r>
      <w:r>
        <w:rPr>
          <w:rFonts w:hint="eastAsia" w:ascii="仿宋" w:hAnsi="仿宋" w:eastAsia="仿宋" w:cs="宋体"/>
          <w:b w:val="0"/>
          <w:bCs w:val="0"/>
          <w:color w:val="333333"/>
          <w:kern w:val="0"/>
          <w:sz w:val="32"/>
          <w:szCs w:val="32"/>
        </w:rPr>
        <w:t>，其中：经费拨款（补助）收入</w:t>
      </w:r>
      <w:r>
        <w:rPr>
          <w:rFonts w:hint="eastAsia" w:ascii="仿宋" w:hAnsi="仿宋" w:eastAsia="仿宋" w:cs="宋体"/>
          <w:b w:val="0"/>
          <w:bCs w:val="0"/>
          <w:color w:val="333333"/>
          <w:kern w:val="0"/>
          <w:sz w:val="32"/>
          <w:szCs w:val="32"/>
          <w:lang w:val="en-US" w:eastAsia="zh-CN"/>
        </w:rPr>
        <w:t>59.71</w:t>
      </w:r>
      <w:r>
        <w:rPr>
          <w:rFonts w:hint="eastAsia" w:ascii="仿宋" w:hAnsi="仿宋" w:eastAsia="仿宋" w:cs="宋体"/>
          <w:b w:val="0"/>
          <w:bCs w:val="0"/>
          <w:color w:val="333333"/>
          <w:kern w:val="0"/>
          <w:sz w:val="32"/>
          <w:szCs w:val="32"/>
          <w:lang w:eastAsia="zh-CN"/>
        </w:rPr>
        <w:t>万元</w:t>
      </w:r>
      <w:r>
        <w:rPr>
          <w:rFonts w:hint="eastAsia" w:ascii="仿宋" w:hAnsi="仿宋" w:eastAsia="仿宋" w:cs="宋体"/>
          <w:b w:val="0"/>
          <w:bCs w:val="0"/>
          <w:color w:val="333333"/>
          <w:kern w:val="0"/>
          <w:sz w:val="32"/>
          <w:szCs w:val="32"/>
        </w:rPr>
        <w:t>，占收入预算总额的</w:t>
      </w:r>
      <w:r>
        <w:rPr>
          <w:rFonts w:hint="eastAsia" w:ascii="仿宋" w:hAnsi="仿宋" w:eastAsia="仿宋" w:cs="宋体"/>
          <w:b w:val="0"/>
          <w:bCs w:val="0"/>
          <w:color w:val="333333"/>
          <w:kern w:val="0"/>
          <w:sz w:val="32"/>
          <w:szCs w:val="32"/>
          <w:lang w:val="en-US" w:eastAsia="zh-CN"/>
        </w:rPr>
        <w:t>33.2</w:t>
      </w:r>
      <w:r>
        <w:rPr>
          <w:rFonts w:hint="eastAsia" w:ascii="仿宋" w:hAnsi="仿宋" w:eastAsia="仿宋" w:cs="宋体"/>
          <w:b w:val="0"/>
          <w:bCs w:val="0"/>
          <w:color w:val="333333"/>
          <w:kern w:val="0"/>
          <w:sz w:val="32"/>
          <w:szCs w:val="32"/>
        </w:rPr>
        <w:t>%。</w:t>
      </w:r>
      <w:r>
        <w:rPr>
          <w:rFonts w:hint="eastAsia" w:ascii="仿宋" w:hAnsi="仿宋" w:eastAsia="仿宋" w:cs="宋体"/>
          <w:b w:val="0"/>
          <w:bCs w:val="0"/>
          <w:color w:val="333333"/>
          <w:kern w:val="0"/>
          <w:sz w:val="32"/>
          <w:szCs w:val="32"/>
          <w:lang w:eastAsia="zh-CN"/>
        </w:rPr>
        <w:t>其他收入</w:t>
      </w:r>
      <w:r>
        <w:rPr>
          <w:rFonts w:hint="eastAsia" w:ascii="仿宋" w:hAnsi="仿宋" w:eastAsia="仿宋" w:cs="宋体"/>
          <w:b w:val="0"/>
          <w:bCs w:val="0"/>
          <w:color w:val="333333"/>
          <w:kern w:val="0"/>
          <w:sz w:val="32"/>
          <w:szCs w:val="32"/>
          <w:lang w:val="en-US" w:eastAsia="zh-CN"/>
        </w:rPr>
        <w:t>120万元，</w:t>
      </w:r>
      <w:r>
        <w:rPr>
          <w:rFonts w:hint="eastAsia" w:ascii="仿宋" w:hAnsi="仿宋" w:eastAsia="仿宋" w:cs="宋体"/>
          <w:b w:val="0"/>
          <w:bCs w:val="0"/>
          <w:color w:val="333333"/>
          <w:kern w:val="0"/>
          <w:sz w:val="32"/>
          <w:szCs w:val="32"/>
        </w:rPr>
        <w:t>占收入预算总额的</w:t>
      </w:r>
      <w:r>
        <w:rPr>
          <w:rFonts w:hint="eastAsia" w:ascii="仿宋" w:hAnsi="仿宋" w:eastAsia="仿宋" w:cs="宋体"/>
          <w:b w:val="0"/>
          <w:bCs w:val="0"/>
          <w:color w:val="333333"/>
          <w:kern w:val="0"/>
          <w:sz w:val="32"/>
          <w:szCs w:val="32"/>
          <w:lang w:val="en-US" w:eastAsia="zh-CN"/>
        </w:rPr>
        <w:t>66.8</w:t>
      </w:r>
      <w:r>
        <w:rPr>
          <w:rFonts w:hint="eastAsia" w:ascii="仿宋" w:hAnsi="仿宋" w:eastAsia="仿宋" w:cs="宋体"/>
          <w:b w:val="0"/>
          <w:bCs w:val="0"/>
          <w:color w:val="333333"/>
          <w:kern w:val="0"/>
          <w:sz w:val="32"/>
          <w:szCs w:val="32"/>
        </w:rPr>
        <w:t>%</w:t>
      </w:r>
      <w:r>
        <w:rPr>
          <w:rFonts w:hint="eastAsia" w:ascii="仿宋" w:hAnsi="仿宋" w:eastAsia="仿宋" w:cs="宋体"/>
          <w:b w:val="0"/>
          <w:bCs w:val="0"/>
          <w:color w:val="333333"/>
          <w:kern w:val="0"/>
          <w:sz w:val="32"/>
          <w:szCs w:val="32"/>
          <w:lang w:eastAsia="zh-CN"/>
        </w:rPr>
        <w:t>。上年结转资金</w:t>
      </w:r>
      <w:r>
        <w:rPr>
          <w:rFonts w:hint="eastAsia" w:ascii="仿宋" w:hAnsi="仿宋" w:eastAsia="仿宋" w:cs="宋体"/>
          <w:b w:val="0"/>
          <w:bCs w:val="0"/>
          <w:color w:val="333333"/>
          <w:kern w:val="0"/>
          <w:sz w:val="32"/>
          <w:szCs w:val="32"/>
          <w:lang w:val="en-US" w:eastAsia="zh-CN"/>
        </w:rPr>
        <w:t>0万元，</w:t>
      </w:r>
      <w:r>
        <w:rPr>
          <w:rFonts w:hint="eastAsia" w:ascii="仿宋" w:hAnsi="仿宋" w:eastAsia="仿宋" w:cs="宋体"/>
          <w:b w:val="0"/>
          <w:bCs w:val="0"/>
          <w:color w:val="333333"/>
          <w:kern w:val="0"/>
          <w:sz w:val="32"/>
          <w:szCs w:val="32"/>
        </w:rPr>
        <w:t>占收入预算总额的</w:t>
      </w:r>
      <w:r>
        <w:rPr>
          <w:rFonts w:hint="eastAsia" w:ascii="仿宋" w:hAnsi="仿宋" w:eastAsia="仿宋" w:cs="宋体"/>
          <w:b w:val="0"/>
          <w:bCs w:val="0"/>
          <w:color w:val="333333"/>
          <w:kern w:val="0"/>
          <w:sz w:val="32"/>
          <w:szCs w:val="32"/>
          <w:lang w:val="en-US" w:eastAsia="zh-CN"/>
        </w:rPr>
        <w:t>0%。</w:t>
      </w:r>
    </w:p>
    <w:p>
      <w:pPr>
        <w:ind w:firstLine="643" w:firstLineChars="200"/>
        <w:rPr>
          <w:rStyle w:val="15"/>
          <w:rFonts w:hint="eastAsia" w:ascii="楷体_GB2312" w:hAnsi="楷体_GB2312" w:eastAsia="楷体_GB2312" w:cs="楷体_GB2312"/>
          <w:b/>
          <w:bCs w:val="0"/>
          <w:sz w:val="32"/>
          <w:szCs w:val="32"/>
          <w:lang w:eastAsia="zh-CN"/>
        </w:rPr>
      </w:pPr>
      <w:r>
        <w:rPr>
          <w:rStyle w:val="15"/>
          <w:rFonts w:hint="eastAsia" w:ascii="楷体_GB2312" w:hAnsi="楷体_GB2312" w:eastAsia="楷体_GB2312" w:cs="楷体_GB2312"/>
          <w:b/>
          <w:bCs w:val="0"/>
          <w:sz w:val="32"/>
          <w:szCs w:val="32"/>
          <w:lang w:eastAsia="zh-CN"/>
        </w:rPr>
        <w:t>（二）预算支出情况</w:t>
      </w:r>
    </w:p>
    <w:p>
      <w:pPr>
        <w:widowControl/>
        <w:shd w:val="clear" w:color="auto" w:fill="FFFFFF"/>
        <w:spacing w:line="580" w:lineRule="atLeast"/>
        <w:ind w:firstLine="640"/>
        <w:jc w:val="left"/>
        <w:rPr>
          <w:rFonts w:hint="eastAsia" w:ascii="仿宋" w:hAnsi="仿宋" w:eastAsia="仿宋" w:cs="宋体"/>
          <w:b w:val="0"/>
          <w:bCs w:val="0"/>
          <w:color w:val="333333"/>
          <w:kern w:val="0"/>
          <w:sz w:val="32"/>
          <w:szCs w:val="32"/>
          <w:lang w:val="en-US" w:eastAsia="zh-CN"/>
        </w:rPr>
      </w:pPr>
      <w:r>
        <w:rPr>
          <w:rFonts w:hint="eastAsia" w:ascii="仿宋" w:hAnsi="仿宋" w:eastAsia="仿宋" w:cs="宋体"/>
          <w:b w:val="0"/>
          <w:bCs w:val="0"/>
          <w:color w:val="333333"/>
          <w:kern w:val="0"/>
          <w:sz w:val="32"/>
          <w:szCs w:val="32"/>
          <w:lang w:val="en-US" w:eastAsia="zh-CN"/>
        </w:rPr>
        <w:t>2024年支出预算总额为179.71万元。其中：按支出项目类别划分：基本支出178.9万元，占支出预算总额的81.2</w:t>
      </w:r>
      <w:r>
        <w:rPr>
          <w:rFonts w:hint="eastAsia" w:ascii="仿宋" w:hAnsi="仿宋" w:eastAsia="仿宋" w:cs="宋体"/>
          <w:b w:val="0"/>
          <w:bCs w:val="0"/>
          <w:color w:val="333333"/>
          <w:kern w:val="0"/>
          <w:sz w:val="32"/>
          <w:szCs w:val="32"/>
        </w:rPr>
        <w:t>%</w:t>
      </w:r>
      <w:r>
        <w:rPr>
          <w:rFonts w:hint="eastAsia" w:ascii="仿宋" w:hAnsi="仿宋" w:eastAsia="仿宋" w:cs="宋体"/>
          <w:b w:val="0"/>
          <w:bCs w:val="0"/>
          <w:color w:val="333333"/>
          <w:kern w:val="0"/>
          <w:sz w:val="32"/>
          <w:szCs w:val="32"/>
          <w:lang w:val="en-US" w:eastAsia="zh-CN"/>
        </w:rPr>
        <w:t>，其中：工资福利支出55.3万元、对个人和家庭的补助0.12万元。公用经费支出2.1万元，占支出预算总额2.2%，其中：商品和服务支出6.01万元；项目支出0.81万元，占支出预算总额0.8%。</w:t>
      </w:r>
    </w:p>
    <w:p>
      <w:pPr>
        <w:widowControl/>
        <w:shd w:val="clear" w:color="auto" w:fill="FFFFFF"/>
        <w:spacing w:line="580" w:lineRule="atLeast"/>
        <w:ind w:firstLine="640"/>
        <w:jc w:val="left"/>
        <w:rPr>
          <w:rFonts w:hint="eastAsia" w:ascii="仿宋" w:hAnsi="仿宋" w:eastAsia="仿宋" w:cs="宋体"/>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rPr>
        <w:t>其中：按支出项目类别划分：</w:t>
      </w:r>
      <w:r>
        <w:rPr>
          <w:rFonts w:hint="eastAsia" w:ascii="仿宋" w:hAnsi="仿宋" w:eastAsia="仿宋" w:cs="宋体"/>
          <w:b w:val="0"/>
          <w:bCs w:val="0"/>
          <w:color w:val="333333"/>
          <w:kern w:val="0"/>
          <w:sz w:val="32"/>
          <w:szCs w:val="32"/>
          <w:lang w:val="en-US" w:eastAsia="zh-CN"/>
        </w:rPr>
        <w:t>基本支出178.9万元，占支出预算总额的81.2</w:t>
      </w:r>
      <w:r>
        <w:rPr>
          <w:rFonts w:hint="eastAsia" w:ascii="仿宋" w:hAnsi="仿宋" w:eastAsia="仿宋" w:cs="宋体"/>
          <w:b w:val="0"/>
          <w:bCs w:val="0"/>
          <w:color w:val="333333"/>
          <w:kern w:val="0"/>
          <w:sz w:val="32"/>
          <w:szCs w:val="32"/>
        </w:rPr>
        <w:t>%</w:t>
      </w:r>
      <w:r>
        <w:rPr>
          <w:rFonts w:hint="eastAsia" w:ascii="仿宋" w:hAnsi="仿宋" w:eastAsia="仿宋" w:cs="宋体"/>
          <w:b w:val="0"/>
          <w:bCs w:val="0"/>
          <w:color w:val="333333"/>
          <w:kern w:val="0"/>
          <w:sz w:val="32"/>
          <w:szCs w:val="32"/>
          <w:lang w:val="en-US" w:eastAsia="zh-CN"/>
        </w:rPr>
        <w:t>，其中：工资福利支出55.3万元、对个人和家庭的补助0.12万元。公用经费支出2.1万元，占支出预算总额2.2%，其中：商品和服务支出6.01万元；项目支出0.81万元，占支出预算总额0.8%。</w:t>
      </w:r>
    </w:p>
    <w:p>
      <w:pPr>
        <w:widowControl/>
        <w:shd w:val="clear" w:color="auto" w:fill="FFFFFF"/>
        <w:spacing w:line="580" w:lineRule="atLeast"/>
        <w:ind w:firstLine="640"/>
        <w:jc w:val="left"/>
        <w:rPr>
          <w:rFonts w:hint="eastAsia" w:ascii="仿宋" w:hAnsi="仿宋" w:eastAsia="仿宋" w:cs="宋体"/>
          <w:b w:val="0"/>
          <w:bCs w:val="0"/>
          <w:color w:val="333333"/>
          <w:kern w:val="0"/>
          <w:sz w:val="32"/>
          <w:szCs w:val="32"/>
          <w:lang w:val="en-US" w:eastAsia="zh-CN"/>
        </w:rPr>
      </w:pP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lang w:val="en-US" w:eastAsia="zh-CN"/>
        </w:rPr>
      </w:pP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社会保障和就业支出5.94万元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4.42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卫生健康支出1.98万元，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1.42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；住房保障支出3.05万元，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3.36%；农林水支出168.74万元。占支出预算总额的82.87%。</w:t>
      </w:r>
    </w:p>
    <w:p>
      <w:pPr>
        <w:widowControl/>
        <w:shd w:val="clear" w:color="auto" w:fill="FFFFFF"/>
        <w:spacing w:line="580" w:lineRule="atLeast"/>
        <w:ind w:firstLine="640"/>
        <w:jc w:val="left"/>
        <w:rPr>
          <w:rFonts w:hint="eastAsia" w:ascii="仿宋" w:hAnsi="仿宋" w:eastAsia="仿宋" w:cs="宋体"/>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rPr>
        <w:t>其中：</w:t>
      </w:r>
      <w:r>
        <w:rPr>
          <w:rFonts w:hint="eastAsia" w:ascii="仿宋" w:hAnsi="仿宋" w:eastAsia="仿宋" w:cs="宋体"/>
          <w:b w:val="0"/>
          <w:bCs w:val="0"/>
          <w:color w:val="333333"/>
          <w:kern w:val="0"/>
          <w:sz w:val="32"/>
          <w:szCs w:val="32"/>
          <w:lang w:val="en-US" w:eastAsia="zh-CN"/>
        </w:rPr>
        <w:t>按支出项目类别划分：基本支出</w:t>
      </w:r>
      <w:r>
        <w:rPr>
          <w:rFonts w:hint="eastAsia" w:ascii="仿宋" w:hAnsi="仿宋" w:eastAsia="仿宋" w:cs="宋体"/>
          <w:b w:val="0"/>
          <w:bCs w:val="0"/>
          <w:color w:val="0000FF"/>
          <w:kern w:val="0"/>
          <w:sz w:val="32"/>
          <w:szCs w:val="32"/>
          <w:lang w:val="en-US" w:eastAsia="zh-CN"/>
        </w:rPr>
        <w:t>178.9</w:t>
      </w:r>
      <w:r>
        <w:rPr>
          <w:rFonts w:hint="eastAsia" w:ascii="仿宋" w:hAnsi="仿宋" w:eastAsia="仿宋" w:cs="宋体"/>
          <w:b w:val="0"/>
          <w:bCs w:val="0"/>
          <w:color w:val="333333"/>
          <w:kern w:val="0"/>
          <w:sz w:val="32"/>
          <w:szCs w:val="32"/>
          <w:lang w:val="en-US" w:eastAsia="zh-CN"/>
        </w:rPr>
        <w:t>万元，占支出预算总额的99.5</w:t>
      </w:r>
      <w:r>
        <w:rPr>
          <w:rFonts w:hint="eastAsia" w:ascii="仿宋" w:hAnsi="仿宋" w:eastAsia="仿宋" w:cs="宋体"/>
          <w:b w:val="0"/>
          <w:bCs w:val="0"/>
          <w:color w:val="333333"/>
          <w:kern w:val="0"/>
          <w:sz w:val="32"/>
          <w:szCs w:val="32"/>
        </w:rPr>
        <w:t>%</w:t>
      </w:r>
      <w:r>
        <w:rPr>
          <w:rFonts w:hint="eastAsia" w:ascii="仿宋" w:hAnsi="仿宋" w:eastAsia="仿宋" w:cs="宋体"/>
          <w:b w:val="0"/>
          <w:bCs w:val="0"/>
          <w:color w:val="333333"/>
          <w:kern w:val="0"/>
          <w:sz w:val="32"/>
          <w:szCs w:val="32"/>
          <w:lang w:val="en-US" w:eastAsia="zh-CN"/>
        </w:rPr>
        <w:t>，其中：工资福利支出55.18万元、对个人和家庭的补助0.12万元。公用经费支出2.10万元，占支出预算总额6.1%，其中：商品和服务支出2.10万元；项目支出0.81万元，占支出预算总额0.05%。</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lang w:eastAsia="zh-CN"/>
        </w:rPr>
      </w:pPr>
      <w:r>
        <w:rPr>
          <w:rStyle w:val="15"/>
          <w:rFonts w:hint="eastAsia" w:ascii="楷体_GB2312" w:hAnsi="楷体_GB2312" w:eastAsia="楷体_GB2312" w:cs="楷体_GB2312"/>
          <w:b/>
          <w:bCs w:val="0"/>
          <w:sz w:val="32"/>
          <w:szCs w:val="32"/>
          <w:lang w:eastAsia="zh-CN"/>
        </w:rPr>
        <w:t>（三）财政拨款支出情况</w:t>
      </w:r>
    </w:p>
    <w:p>
      <w:pPr>
        <w:ind w:firstLine="640" w:firstLineChars="200"/>
        <w:rPr>
          <w:rFonts w:hint="default" w:ascii="仿宋_GB2312" w:eastAsia="仿宋_GB2312" w:cs="Times New Roman"/>
          <w:sz w:val="32"/>
          <w:szCs w:val="32"/>
          <w:lang w:val="en-US" w:eastAsia="zh-CN"/>
        </w:rPr>
      </w:pPr>
      <w:r>
        <w:rPr>
          <w:rFonts w:hint="eastAsia" w:ascii="仿宋_GB2312" w:hAnsi="仿宋_GB2312" w:eastAsia="仿宋_GB2312" w:cs="仿宋_GB2312"/>
          <w:b w:val="0"/>
          <w:bCs w:val="0"/>
          <w:color w:val="333333"/>
          <w:kern w:val="0"/>
          <w:sz w:val="32"/>
          <w:szCs w:val="32"/>
          <w:lang w:eastAsia="zh-CN"/>
        </w:rPr>
        <w:t>2024</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委水政大队</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auto"/>
          <w:kern w:val="0"/>
          <w:sz w:val="32"/>
          <w:szCs w:val="32"/>
          <w:lang w:val="en-US" w:eastAsia="zh-CN"/>
        </w:rPr>
        <w:t>179.71</w:t>
      </w:r>
      <w:r>
        <w:rPr>
          <w:rFonts w:hint="eastAsia" w:ascii="仿宋_GB2312" w:hAnsi="仿宋_GB2312" w:eastAsia="仿宋_GB2312" w:cs="仿宋_GB2312"/>
          <w:b w:val="0"/>
          <w:bCs w:val="0"/>
          <w:color w:val="auto"/>
          <w:kern w:val="0"/>
          <w:sz w:val="32"/>
          <w:szCs w:val="32"/>
        </w:rPr>
        <w:t>万</w:t>
      </w:r>
      <w:r>
        <w:rPr>
          <w:rFonts w:hint="eastAsia" w:ascii="仿宋_GB2312" w:hAnsi="仿宋_GB2312" w:eastAsia="仿宋_GB2312" w:cs="仿宋_GB2312"/>
          <w:b w:val="0"/>
          <w:bCs w:val="0"/>
          <w:color w:val="333333"/>
          <w:kern w:val="0"/>
          <w:sz w:val="32"/>
          <w:szCs w:val="32"/>
        </w:rPr>
        <w:t>元</w:t>
      </w:r>
      <w:r>
        <w:rPr>
          <w:rFonts w:hint="eastAsia" w:ascii="仿宋_GB2312" w:hAnsi="仿宋_GB2312" w:eastAsia="仿宋_GB2312" w:cs="仿宋_GB2312"/>
          <w:b w:val="0"/>
          <w:bCs w:val="0"/>
          <w:color w:val="333333"/>
          <w:kern w:val="0"/>
          <w:sz w:val="32"/>
          <w:szCs w:val="32"/>
          <w:lang w:eastAsia="zh-CN"/>
        </w:rPr>
        <w:t>，较上年</w:t>
      </w:r>
      <w:r>
        <w:rPr>
          <w:rFonts w:hint="eastAsia" w:ascii="仿宋_GB2312" w:hAnsi="仿宋_GB2312" w:eastAsia="仿宋_GB2312" w:cs="仿宋_GB2312"/>
          <w:b w:val="0"/>
          <w:bCs w:val="0"/>
          <w:color w:val="333333"/>
          <w:kern w:val="0"/>
          <w:sz w:val="32"/>
          <w:szCs w:val="32"/>
          <w:lang w:val="en-US" w:eastAsia="zh-CN"/>
        </w:rPr>
        <w:t>增长1.78%。</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宋体" w:eastAsia="仿宋_GB2312" w:cs="仿宋_GB2312"/>
          <w:sz w:val="32"/>
          <w:szCs w:val="32"/>
          <w:lang w:val="en-US" w:eastAsia="zh-CN"/>
        </w:rPr>
        <w:t>社会保障和就业支出5.94万元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3.42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卫生健康支出1.98万元，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1.42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；住房保障支出3.05万元，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3.36%；农林水支出168.74万元，85.87%。</w:t>
      </w:r>
    </w:p>
    <w:p>
      <w:pPr>
        <w:ind w:firstLine="640" w:firstLineChars="200"/>
        <w:rPr>
          <w:rFonts w:hint="default" w:ascii="仿宋_GB2312" w:eastAsia="仿宋_GB2312" w:cs="Times New Roman"/>
          <w:sz w:val="32"/>
          <w:szCs w:val="32"/>
          <w:lang w:val="en-US" w:eastAsia="zh-CN"/>
        </w:rPr>
      </w:pP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四</w:t>
      </w: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${page400644146.ds215660413_REP_BGT_T_HC1100002019_DXQ02_JBZCQKJJ}</w:instrTex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${page400644146.ds215660413_REP_BGT_T_HC1100002019_DXQ02_XMZCQKJJ}</w:instrText>
      </w:r>
      <w:r>
        <w:rPr>
          <w:rFonts w:hint="eastAsia" w:ascii="仿宋_GB2312" w:hAnsi="仿宋_GB2312" w:eastAsia="仿宋_GB2312" w:cs="仿宋_GB2312"/>
          <w:kern w:val="2"/>
          <w:sz w:val="32"/>
          <w:szCs w:val="30"/>
          <w:lang w:val="en-US" w:eastAsia="zh-CN" w:bidi="ar-SA"/>
        </w:rPr>
        <w:fldChar w:fldCharType="end"/>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rPr>
        <w:t>本部门没有使用政府性基金预算拨款安排的支出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（五）国有资本经营情况</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本部门没有使用国有资本经营预算拨款安排的支出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六</w:t>
      </w: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2024年部门机关运行费预算2.10万元，较上年预算减少1.9万元，下降7.8%。</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七</w:t>
      </w: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2024年部门所属各单位政府采购总额1万元，其中：部门集中采购1万元，分散采购0万元，政府购买服务0万元。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八</w:t>
      </w: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截至2024年12月31日，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2024年部门预算安排购置车辆0辆，安排购置单位价值200万元以上大型设备具体为：0。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5"/>
          <w:rFonts w:hint="eastAsia" w:ascii="楷体_GB2312" w:hAnsi="楷体_GB2312" w:eastAsia="楷体_GB2312" w:cs="楷体_GB2312"/>
          <w:b/>
          <w:bCs w:val="0"/>
          <w:sz w:val="32"/>
          <w:szCs w:val="32"/>
        </w:rPr>
      </w:pPr>
      <w:r>
        <w:rPr>
          <w:rStyle w:val="15"/>
          <w:rFonts w:hint="eastAsia" w:ascii="楷体_GB2312" w:hAnsi="楷体_GB2312" w:eastAsia="楷体_GB2312" w:cs="楷体_GB2312"/>
          <w:b/>
          <w:bCs w:val="0"/>
          <w:sz w:val="32"/>
          <w:szCs w:val="32"/>
        </w:rPr>
        <w:t>（九</w:t>
      </w:r>
      <w:r>
        <w:rPr>
          <w:rStyle w:val="15"/>
          <w:rFonts w:hint="eastAsia" w:ascii="楷体_GB2312" w:hAnsi="楷体_GB2312" w:eastAsia="楷体_GB2312" w:cs="楷体_GB2312"/>
          <w:b/>
          <w:bCs w:val="0"/>
          <w:sz w:val="32"/>
          <w:szCs w:val="32"/>
          <w:lang w:eastAsia="zh-CN"/>
        </w:rPr>
        <w:t>）</w:t>
      </w:r>
      <w:r>
        <w:rPr>
          <w:rStyle w:val="15"/>
          <w:rFonts w:hint="eastAsia" w:ascii="楷体_GB2312" w:hAnsi="楷体_GB2312" w:eastAsia="楷体_GB2312" w:cs="楷体_GB2312"/>
          <w:b/>
          <w:bCs w:val="0"/>
          <w:sz w:val="32"/>
          <w:szCs w:val="32"/>
          <w:lang w:val="en-US" w:eastAsia="zh-CN"/>
        </w:rPr>
        <w:t>景德镇市昌江区委水政大队</w:t>
      </w:r>
      <w:r>
        <w:rPr>
          <w:rStyle w:val="15"/>
          <w:rFonts w:hint="eastAsia" w:ascii="楷体_GB2312" w:hAnsi="楷体_GB2312" w:eastAsia="楷体_GB2312" w:cs="楷体_GB2312"/>
          <w:b/>
          <w:bCs w:val="0"/>
          <w:sz w:val="32"/>
          <w:szCs w:val="32"/>
        </w:rPr>
        <w:t>项目情况说明</w:t>
      </w:r>
    </w:p>
    <w:p>
      <w:pPr>
        <w:widowControl/>
        <w:spacing w:line="600" w:lineRule="exact"/>
        <w:ind w:firstLine="64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lang w:eastAsia="zh-CN"/>
          <w14:textFill>
            <w14:solidFill>
              <w14:schemeClr w14:val="tx1"/>
            </w14:solidFill>
          </w14:textFill>
        </w:rPr>
        <w:t>2024</w:t>
      </w:r>
      <w:r>
        <w:rPr>
          <w:rFonts w:hint="eastAsia" w:ascii="仿宋_GB2312" w:eastAsia="仿宋_GB2312"/>
          <w:color w:val="000000" w:themeColor="text1"/>
          <w:sz w:val="32"/>
          <w:szCs w:val="30"/>
          <w14:textFill>
            <w14:solidFill>
              <w14:schemeClr w14:val="tx1"/>
            </w14:solidFill>
          </w14:textFill>
        </w:rPr>
        <w:t>年实行绩效目标管理的二级项目</w:t>
      </w:r>
      <w:r>
        <w:rPr>
          <w:rFonts w:hint="eastAsia" w:ascii="仿宋_GB2312" w:eastAsia="仿宋_GB2312"/>
          <w:color w:val="000000" w:themeColor="text1"/>
          <w:sz w:val="32"/>
          <w:szCs w:val="30"/>
          <w:lang w:val="en-US" w:eastAsia="zh-CN"/>
          <w14:textFill>
            <w14:solidFill>
              <w14:schemeClr w14:val="tx1"/>
            </w14:solidFill>
          </w14:textFill>
        </w:rPr>
        <w:t>1</w:t>
      </w:r>
      <w:r>
        <w:rPr>
          <w:rFonts w:hint="eastAsia" w:ascii="仿宋_GB2312" w:eastAsia="仿宋_GB2312"/>
          <w:color w:val="000000" w:themeColor="text1"/>
          <w:sz w:val="32"/>
          <w:szCs w:val="30"/>
          <w14:textFill>
            <w14:solidFill>
              <w14:schemeClr w14:val="tx1"/>
            </w14:solidFill>
          </w14:textFill>
        </w:rPr>
        <w:t>个</w:t>
      </w:r>
      <w:r>
        <w:rPr>
          <w:rFonts w:hint="eastAsia" w:ascii="仿宋_GB2312" w:eastAsia="仿宋_GB2312"/>
          <w:color w:val="000000" w:themeColor="text1"/>
          <w:sz w:val="32"/>
          <w:szCs w:val="30"/>
          <w:lang w:eastAsia="zh-CN"/>
          <w14:textFill>
            <w14:solidFill>
              <w14:schemeClr w14:val="tx1"/>
            </w14:solidFill>
          </w14:textFill>
        </w:rPr>
        <w:t>，</w:t>
      </w:r>
      <w:r>
        <w:rPr>
          <w:rFonts w:hint="eastAsia" w:ascii="仿宋_GB2312" w:eastAsia="仿宋_GB2312"/>
          <w:color w:val="000000" w:themeColor="text1"/>
          <w:sz w:val="32"/>
          <w:szCs w:val="30"/>
          <w14:textFill>
            <w14:solidFill>
              <w14:schemeClr w14:val="tx1"/>
            </w14:solidFill>
          </w14:textFill>
        </w:rPr>
        <w:t xml:space="preserve">涉及资金     </w:t>
      </w:r>
      <w:r>
        <w:rPr>
          <w:rFonts w:hint="eastAsia" w:ascii="仿宋_GB2312" w:eastAsia="仿宋_GB2312"/>
          <w:color w:val="000000" w:themeColor="text1"/>
          <w:sz w:val="32"/>
          <w:szCs w:val="30"/>
          <w:lang w:val="en-US" w:eastAsia="zh-CN"/>
          <w14:textFill>
            <w14:solidFill>
              <w14:schemeClr w14:val="tx1"/>
            </w14:solidFill>
          </w14:textFill>
        </w:rPr>
        <w:t>0.81</w:t>
      </w:r>
      <w:r>
        <w:rPr>
          <w:rFonts w:hint="eastAsia" w:ascii="仿宋_GB2312" w:eastAsia="仿宋_GB2312"/>
          <w:color w:val="000000" w:themeColor="text1"/>
          <w:sz w:val="32"/>
          <w:szCs w:val="30"/>
          <w14:textFill>
            <w14:solidFill>
              <w14:schemeClr w14:val="tx1"/>
            </w14:solidFill>
          </w14:textFill>
        </w:rPr>
        <w:t>万元。</w:t>
      </w:r>
    </w:p>
    <w:p>
      <w:pPr>
        <w:ind w:firstLine="420" w:firstLineChars="200"/>
      </w:pPr>
    </w:p>
    <w:p>
      <w:pPr>
        <w:ind w:firstLine="420" w:firstLineChars="200"/>
      </w:pPr>
    </w:p>
    <w:p>
      <w:pPr>
        <w:ind w:firstLine="420" w:firstLineChars="200"/>
      </w:pPr>
      <w:r>
        <w:drawing>
          <wp:inline distT="0" distB="0" distL="114300" distR="114300">
            <wp:extent cx="5272405" cy="8114030"/>
            <wp:effectExtent l="0" t="0" r="4445"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72405" cy="8114030"/>
                    </a:xfrm>
                    <a:prstGeom prst="rect">
                      <a:avLst/>
                    </a:prstGeom>
                    <a:noFill/>
                    <a:ln>
                      <a:noFill/>
                    </a:ln>
                  </pic:spPr>
                </pic:pic>
              </a:graphicData>
            </a:graphic>
          </wp:inline>
        </w:drawing>
      </w:r>
      <w:bookmarkStart w:id="0" w:name="_GoBack"/>
      <w:bookmarkEnd w:id="0"/>
    </w:p>
    <w:p>
      <w:pPr>
        <w:ind w:firstLine="420" w:firstLineChars="200"/>
      </w:pPr>
    </w:p>
    <w:p>
      <w:pPr>
        <w:ind w:firstLine="420" w:firstLineChars="200"/>
      </w:pPr>
    </w:p>
    <w:p>
      <w:pPr>
        <w:ind w:firstLine="420" w:firstLineChars="200"/>
      </w:pPr>
    </w:p>
    <w:p>
      <w:pPr>
        <w:ind w:firstLine="420" w:firstLineChars="200"/>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2024</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2024年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昌江区委水政大队局</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“三公”经费财政拨款安排3万元，其中：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因公出国（境）费用0万元，比上年增加（减少）0万元，主要原因是：本年暂无因公出国（境）费用。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公务接待费0.6万元，比上年增加0万元，主要原因是：与上年安排保持一致。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公务用车购置费0万元，比上年增加0万元，主要原因是：与上年安排保持一致。</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2024</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昌江区委水政大队</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昌江区委水政大队未单独设置项级科目的其他项目支出。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YTMzYTNiNDM4N2Y0Y2JhNmU4M2QyYzY0NTFlYTgifQ=="/>
  </w:docVars>
  <w:rsids>
    <w:rsidRoot w:val="19076E1D"/>
    <w:rsid w:val="000429DB"/>
    <w:rsid w:val="00066060"/>
    <w:rsid w:val="00675E17"/>
    <w:rsid w:val="00683AC4"/>
    <w:rsid w:val="008110CC"/>
    <w:rsid w:val="00B358C5"/>
    <w:rsid w:val="00C04C9A"/>
    <w:rsid w:val="00C7175C"/>
    <w:rsid w:val="00CB427A"/>
    <w:rsid w:val="00F500B9"/>
    <w:rsid w:val="01992CBB"/>
    <w:rsid w:val="022502CD"/>
    <w:rsid w:val="05EB1609"/>
    <w:rsid w:val="06F65371"/>
    <w:rsid w:val="08EE0B31"/>
    <w:rsid w:val="0A326819"/>
    <w:rsid w:val="0CBF216E"/>
    <w:rsid w:val="0DD43F84"/>
    <w:rsid w:val="0E052343"/>
    <w:rsid w:val="0E50233D"/>
    <w:rsid w:val="0FCB58D0"/>
    <w:rsid w:val="10017665"/>
    <w:rsid w:val="11427CB1"/>
    <w:rsid w:val="139E3D52"/>
    <w:rsid w:val="162B4B72"/>
    <w:rsid w:val="17C138A5"/>
    <w:rsid w:val="18AC060B"/>
    <w:rsid w:val="19076E1D"/>
    <w:rsid w:val="1D2F3B9F"/>
    <w:rsid w:val="1DFF6A00"/>
    <w:rsid w:val="1EBD751D"/>
    <w:rsid w:val="1F117155"/>
    <w:rsid w:val="204B45CE"/>
    <w:rsid w:val="25705B71"/>
    <w:rsid w:val="28913566"/>
    <w:rsid w:val="29D76F3F"/>
    <w:rsid w:val="2C7B2CE4"/>
    <w:rsid w:val="2DBB222D"/>
    <w:rsid w:val="2E9B579A"/>
    <w:rsid w:val="31D40AAE"/>
    <w:rsid w:val="32850B4B"/>
    <w:rsid w:val="381119B2"/>
    <w:rsid w:val="3BD871B8"/>
    <w:rsid w:val="3CF55A87"/>
    <w:rsid w:val="40EF4A1C"/>
    <w:rsid w:val="429A727D"/>
    <w:rsid w:val="4322216B"/>
    <w:rsid w:val="4ABD75D1"/>
    <w:rsid w:val="4C0B38BC"/>
    <w:rsid w:val="4C0B7195"/>
    <w:rsid w:val="4D3B293C"/>
    <w:rsid w:val="51B40312"/>
    <w:rsid w:val="56552A05"/>
    <w:rsid w:val="57CC144D"/>
    <w:rsid w:val="5CD45C8F"/>
    <w:rsid w:val="62B20F12"/>
    <w:rsid w:val="63973295"/>
    <w:rsid w:val="641E7445"/>
    <w:rsid w:val="666B2DDB"/>
    <w:rsid w:val="66CE6E60"/>
    <w:rsid w:val="69581F60"/>
    <w:rsid w:val="6B857389"/>
    <w:rsid w:val="6BBA5001"/>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autoRedefine/>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autoRedefine/>
    <w:unhideWhenUsed/>
    <w:qFormat/>
    <w:locked/>
    <w:uiPriority w:val="0"/>
    <w:pPr>
      <w:keepNext/>
      <w:keepLines/>
      <w:spacing w:before="260" w:after="260" w:line="413"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autoRedefine/>
    <w:qFormat/>
    <w:uiPriority w:val="99"/>
  </w:style>
  <w:style w:type="character" w:styleId="10">
    <w:name w:val="Hyperlink"/>
    <w:basedOn w:val="8"/>
    <w:autoRedefine/>
    <w:unhideWhenUsed/>
    <w:qFormat/>
    <w:uiPriority w:val="99"/>
    <w:rPr>
      <w:color w:val="333333"/>
      <w:u w:val="none"/>
    </w:rPr>
  </w:style>
  <w:style w:type="character" w:customStyle="1" w:styleId="11">
    <w:name w:val="标题 2 Char"/>
    <w:basedOn w:val="8"/>
    <w:link w:val="2"/>
    <w:autoRedefine/>
    <w:semiHidden/>
    <w:qFormat/>
    <w:uiPriority w:val="9"/>
    <w:rPr>
      <w:rFonts w:asciiTheme="majorHAnsi" w:hAnsiTheme="majorHAnsi" w:eastAsiaTheme="majorEastAsia" w:cstheme="majorBidi"/>
      <w:b/>
      <w:bCs/>
      <w:sz w:val="32"/>
      <w:szCs w:val="32"/>
    </w:rPr>
  </w:style>
  <w:style w:type="character" w:customStyle="1" w:styleId="12">
    <w:name w:val="页脚 Char"/>
    <w:basedOn w:val="8"/>
    <w:link w:val="5"/>
    <w:autoRedefine/>
    <w:semiHidden/>
    <w:qFormat/>
    <w:uiPriority w:val="99"/>
    <w:rPr>
      <w:rFonts w:cs="Calibri"/>
      <w:sz w:val="18"/>
      <w:szCs w:val="18"/>
    </w:rPr>
  </w:style>
  <w:style w:type="character" w:customStyle="1" w:styleId="13">
    <w:name w:val="批注框文本 Char"/>
    <w:basedOn w:val="8"/>
    <w:link w:val="4"/>
    <w:autoRedefine/>
    <w:semiHidden/>
    <w:qFormat/>
    <w:uiPriority w:val="99"/>
    <w:rPr>
      <w:rFonts w:ascii="Calibri" w:hAnsi="Calibri" w:cs="Calibri"/>
      <w:kern w:val="2"/>
      <w:sz w:val="18"/>
      <w:szCs w:val="18"/>
    </w:rPr>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row_tree_level_4"/>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2435</Words>
  <Characters>2712</Characters>
  <Lines>3</Lines>
  <Paragraphs>5</Paragraphs>
  <TotalTime>24</TotalTime>
  <ScaleCrop>false</ScaleCrop>
  <LinksUpToDate>false</LinksUpToDate>
  <CharactersWithSpaces>2799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蓝灵^_^</cp:lastModifiedBy>
  <cp:lastPrinted>2021-05-26T02:23:00Z</cp:lastPrinted>
  <dcterms:modified xsi:type="dcterms:W3CDTF">2024-03-17T02:42:57Z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B91E4856E9B5447C94C9556AAE40BE4A</vt:lpwstr>
  </property>
</Properties>
</file>