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60" w:lineRule="exact"/>
        <w:rPr>
          <w:rFonts w:ascii="仿宋_GB2312" w:hAnsi="仿宋" w:eastAsia="仿宋_GB2312" w:cs="Times New Roman"/>
          <w:sz w:val="32"/>
          <w:szCs w:val="32"/>
        </w:rPr>
      </w:pPr>
      <w:r>
        <w:rPr>
          <w:rFonts w:hint="eastAsia" w:ascii="楷体_GB2312" w:hAnsi="仿宋" w:eastAsia="楷体_GB2312" w:cs="楷体_GB2312"/>
          <w:sz w:val="32"/>
          <w:szCs w:val="32"/>
        </w:rPr>
        <w:t>附件：</w:t>
      </w:r>
    </w:p>
    <w:p>
      <w:pPr>
        <w:pStyle w:val="3"/>
        <w:spacing w:before="0" w:after="0" w:line="240" w:lineRule="auto"/>
        <w:jc w:val="center"/>
        <w:rPr>
          <w:rFonts w:hint="eastAsia" w:ascii="黑体" w:hAnsi="黑体" w:eastAsia="黑体" w:cs="黑体"/>
          <w:lang w:val="en-US" w:eastAsia="zh-CN"/>
        </w:rPr>
      </w:pPr>
      <w:r>
        <w:rPr>
          <w:rFonts w:hint="eastAsia" w:ascii="黑体" w:hAnsi="黑体" w:eastAsia="黑体" w:cs="黑体"/>
          <w:lang w:val="en-US" w:eastAsia="zh-CN"/>
        </w:rPr>
        <w:t>昌江区委水政大队</w:t>
      </w:r>
      <w:r>
        <w:rPr>
          <w:rFonts w:hint="eastAsia" w:ascii="黑体" w:hAnsi="黑体" w:eastAsia="黑体" w:cs="黑体"/>
          <w:lang w:eastAsia="zh-CN"/>
        </w:rPr>
        <w:t>2024</w:t>
      </w:r>
      <w:r>
        <w:rPr>
          <w:rFonts w:hint="eastAsia" w:ascii="黑体" w:hAnsi="黑体" w:eastAsia="黑体" w:cs="黑体"/>
        </w:rPr>
        <w:t>年部门预算</w:t>
      </w:r>
      <w:r>
        <w:rPr>
          <w:rFonts w:hint="eastAsia" w:ascii="黑体" w:hAnsi="黑体" w:eastAsia="黑体" w:cs="黑体"/>
          <w:lang w:val="en-US" w:eastAsia="zh-CN"/>
        </w:rPr>
        <w:t>公开</w:t>
      </w:r>
    </w:p>
    <w:p>
      <w:pPr>
        <w:spacing w:before="240"/>
        <w:ind w:firstLine="3534" w:firstLineChars="1100"/>
        <w:jc w:val="both"/>
        <w:rPr>
          <w:rFonts w:ascii="仿宋_GB2312" w:hAnsi="仿宋" w:eastAsia="仿宋_GB2312" w:cs="Times New Roman"/>
          <w:b/>
          <w:bCs/>
          <w:sz w:val="32"/>
          <w:szCs w:val="32"/>
        </w:rPr>
      </w:pPr>
      <w:r>
        <w:rPr>
          <w:rFonts w:hint="eastAsia" w:ascii="仿宋_GB2312" w:hAnsi="仿宋" w:eastAsia="仿宋_GB2312" w:cs="仿宋_GB2312"/>
          <w:b/>
          <w:bCs/>
          <w:sz w:val="32"/>
          <w:szCs w:val="32"/>
        </w:rPr>
        <w:t>目</w:t>
      </w:r>
      <w:r>
        <w:rPr>
          <w:rFonts w:ascii="仿宋_GB2312" w:hAnsi="仿宋" w:eastAsia="仿宋_GB2312" w:cs="仿宋_GB2312"/>
          <w:b/>
          <w:bCs/>
          <w:sz w:val="32"/>
          <w:szCs w:val="32"/>
        </w:rPr>
        <w:t xml:space="preserve">   </w:t>
      </w:r>
      <w:r>
        <w:rPr>
          <w:rFonts w:hint="eastAsia" w:ascii="仿宋_GB2312" w:hAnsi="仿宋" w:eastAsia="仿宋_GB2312" w:cs="仿宋_GB2312"/>
          <w:b/>
          <w:bCs/>
          <w:sz w:val="32"/>
          <w:szCs w:val="32"/>
        </w:rPr>
        <w:t>录</w:t>
      </w:r>
    </w:p>
    <w:p>
      <w:pPr>
        <w:ind w:firstLine="640" w:firstLineChars="200"/>
        <w:rPr>
          <w:rFonts w:ascii="黑体" w:eastAsia="黑体" w:cs="Times New Roman"/>
          <w:sz w:val="32"/>
          <w:szCs w:val="32"/>
        </w:rPr>
      </w:pPr>
      <w:r>
        <w:rPr>
          <w:rFonts w:hint="eastAsia" w:ascii="黑体" w:hAnsi="宋体" w:eastAsia="黑体" w:cs="黑体"/>
          <w:sz w:val="32"/>
          <w:szCs w:val="32"/>
        </w:rPr>
        <w:t>第一部分</w:t>
      </w:r>
      <w:r>
        <w:rPr>
          <w:rFonts w:ascii="黑体" w:hAnsi="宋体" w:eastAsia="黑体" w:cs="黑体"/>
          <w:sz w:val="32"/>
          <w:szCs w:val="32"/>
        </w:rPr>
        <w:t xml:space="preserve"> </w:t>
      </w:r>
      <w:r>
        <w:rPr>
          <w:rFonts w:hint="eastAsia" w:ascii="黑体" w:hAnsi="宋体" w:eastAsia="黑体" w:cs="黑体"/>
          <w:sz w:val="32"/>
          <w:szCs w:val="32"/>
          <w:lang w:eastAsia="zh-CN"/>
        </w:rPr>
        <w:t>昌江区委水政大队</w:t>
      </w:r>
      <w:r>
        <w:rPr>
          <w:rFonts w:hint="eastAsia" w:ascii="黑体" w:hAnsi="宋体" w:eastAsia="黑体" w:cs="黑体"/>
          <w:sz w:val="32"/>
          <w:szCs w:val="32"/>
        </w:rPr>
        <w:t>概况</w:t>
      </w:r>
    </w:p>
    <w:p>
      <w:pPr>
        <w:ind w:firstLine="640" w:firstLineChars="200"/>
        <w:rPr>
          <w:rFonts w:hint="eastAsia" w:ascii="仿宋_GB2312" w:hAnsi="宋体" w:eastAsia="仿宋_GB2312" w:cs="仿宋_GB2312"/>
          <w:sz w:val="32"/>
          <w:szCs w:val="32"/>
        </w:rPr>
      </w:pP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eastAsia" w:ascii="仿宋_GB2312" w:hAnsi="宋体" w:eastAsia="仿宋_GB2312" w:cs="仿宋_GB2312"/>
          <w:sz w:val="32"/>
          <w:szCs w:val="32"/>
        </w:rPr>
        <w:t>一、部门主要职责</w:t>
      </w:r>
    </w:p>
    <w:p>
      <w:pPr>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  二、</w:t>
      </w:r>
      <w:r>
        <w:rPr>
          <w:rFonts w:hint="eastAsia" w:ascii="仿宋_GB2312" w:hAnsi="宋体" w:eastAsia="仿宋_GB2312" w:cs="仿宋_GB2312"/>
          <w:sz w:val="32"/>
          <w:szCs w:val="32"/>
          <w:lang w:eastAsia="zh-CN"/>
        </w:rPr>
        <w:t>部门</w:t>
      </w:r>
      <w:r>
        <w:rPr>
          <w:rFonts w:hint="eastAsia" w:ascii="仿宋_GB2312" w:hAnsi="宋体" w:eastAsia="仿宋_GB2312" w:cs="仿宋_GB2312"/>
          <w:sz w:val="32"/>
          <w:szCs w:val="32"/>
          <w:lang w:val="en-US" w:eastAsia="zh-CN"/>
        </w:rPr>
        <w:t>机构设置情况</w:t>
      </w:r>
    </w:p>
    <w:p>
      <w:pPr>
        <w:ind w:firstLine="640" w:firstLineChars="200"/>
        <w:rPr>
          <w:rFonts w:ascii="黑体" w:hAnsi="宋体" w:eastAsia="黑体" w:cs="Times New Roman"/>
          <w:sz w:val="32"/>
          <w:szCs w:val="32"/>
        </w:rPr>
      </w:pPr>
      <w:r>
        <w:rPr>
          <w:rFonts w:hint="eastAsia" w:ascii="黑体" w:hAnsi="宋体" w:eastAsia="黑体" w:cs="黑体"/>
          <w:sz w:val="32"/>
          <w:szCs w:val="32"/>
        </w:rPr>
        <w:t>第</w:t>
      </w:r>
      <w:r>
        <w:rPr>
          <w:rFonts w:hint="eastAsia" w:ascii="黑体" w:hAnsi="宋体" w:eastAsia="黑体" w:cs="黑体"/>
          <w:sz w:val="32"/>
          <w:szCs w:val="32"/>
          <w:lang w:val="en-US" w:eastAsia="zh-CN"/>
        </w:rPr>
        <w:t>二</w:t>
      </w:r>
      <w:r>
        <w:rPr>
          <w:rFonts w:hint="eastAsia" w:ascii="黑体" w:hAnsi="宋体" w:eastAsia="黑体" w:cs="黑体"/>
          <w:sz w:val="32"/>
          <w:szCs w:val="32"/>
        </w:rPr>
        <w:t>部分</w:t>
      </w:r>
      <w:r>
        <w:rPr>
          <w:rFonts w:ascii="黑体" w:hAnsi="宋体" w:eastAsia="黑体" w:cs="黑体"/>
          <w:sz w:val="32"/>
          <w:szCs w:val="32"/>
        </w:rPr>
        <w:t xml:space="preserve"> </w:t>
      </w:r>
      <w:r>
        <w:rPr>
          <w:rFonts w:hint="eastAsia" w:ascii="黑体" w:hAnsi="宋体" w:eastAsia="黑体" w:cs="黑体"/>
          <w:sz w:val="32"/>
          <w:szCs w:val="32"/>
          <w:lang w:val="en-US" w:eastAsia="zh-CN"/>
        </w:rPr>
        <w:t>昌江区委水政大队</w:t>
      </w:r>
      <w:r>
        <w:rPr>
          <w:rFonts w:hint="eastAsia" w:ascii="黑体" w:hAnsi="宋体" w:eastAsia="黑体" w:cs="黑体"/>
          <w:sz w:val="32"/>
          <w:szCs w:val="32"/>
          <w:lang w:eastAsia="zh-CN"/>
        </w:rPr>
        <w:t>2024</w:t>
      </w:r>
      <w:r>
        <w:rPr>
          <w:rFonts w:hint="eastAsia" w:ascii="黑体" w:hAnsi="宋体" w:eastAsia="黑体" w:cs="黑体"/>
          <w:sz w:val="32"/>
          <w:szCs w:val="32"/>
        </w:rPr>
        <w:t>年部门预算表</w:t>
      </w:r>
    </w:p>
    <w:p>
      <w:pPr>
        <w:pStyle w:val="14"/>
        <w:keepNext w:val="0"/>
        <w:keepLines w:val="0"/>
        <w:pageBreakBefore w:val="0"/>
        <w:widowControl/>
        <w:kinsoku/>
        <w:wordWrap/>
        <w:overflowPunct/>
        <w:topLinePunct w:val="0"/>
        <w:autoSpaceDE/>
        <w:autoSpaceDN/>
        <w:bidi w:val="0"/>
        <w:adjustRightInd/>
        <w:snapToGrid/>
        <w:spacing w:line="56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一、《收支预算总表》</w:t>
      </w:r>
    </w:p>
    <w:p>
      <w:pPr>
        <w:pStyle w:val="14"/>
        <w:keepNext w:val="0"/>
        <w:keepLines w:val="0"/>
        <w:pageBreakBefore w:val="0"/>
        <w:widowControl/>
        <w:kinsoku/>
        <w:wordWrap/>
        <w:overflowPunct/>
        <w:topLinePunct w:val="0"/>
        <w:autoSpaceDE/>
        <w:autoSpaceDN/>
        <w:bidi w:val="0"/>
        <w:adjustRightInd/>
        <w:snapToGrid/>
        <w:spacing w:line="56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二、《部门收入总表》</w:t>
      </w:r>
    </w:p>
    <w:p>
      <w:pPr>
        <w:pStyle w:val="14"/>
        <w:keepNext w:val="0"/>
        <w:keepLines w:val="0"/>
        <w:pageBreakBefore w:val="0"/>
        <w:widowControl/>
        <w:kinsoku/>
        <w:wordWrap/>
        <w:overflowPunct/>
        <w:topLinePunct w:val="0"/>
        <w:autoSpaceDE/>
        <w:autoSpaceDN/>
        <w:bidi w:val="0"/>
        <w:adjustRightInd/>
        <w:snapToGrid/>
        <w:spacing w:line="56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三、《部门支出总表》</w:t>
      </w:r>
    </w:p>
    <w:p>
      <w:pPr>
        <w:pStyle w:val="14"/>
        <w:keepNext w:val="0"/>
        <w:keepLines w:val="0"/>
        <w:pageBreakBefore w:val="0"/>
        <w:widowControl/>
        <w:kinsoku/>
        <w:wordWrap/>
        <w:overflowPunct/>
        <w:topLinePunct w:val="0"/>
        <w:autoSpaceDE/>
        <w:autoSpaceDN/>
        <w:bidi w:val="0"/>
        <w:adjustRightInd/>
        <w:snapToGrid/>
        <w:spacing w:line="56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四、《财政拨款收支总表》</w:t>
      </w:r>
    </w:p>
    <w:p>
      <w:pPr>
        <w:pStyle w:val="14"/>
        <w:keepNext w:val="0"/>
        <w:keepLines w:val="0"/>
        <w:pageBreakBefore w:val="0"/>
        <w:widowControl/>
        <w:kinsoku/>
        <w:wordWrap/>
        <w:overflowPunct/>
        <w:topLinePunct w:val="0"/>
        <w:autoSpaceDE/>
        <w:autoSpaceDN/>
        <w:bidi w:val="0"/>
        <w:adjustRightInd/>
        <w:snapToGrid/>
        <w:spacing w:line="56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五、《一般公共预算支出表》</w:t>
      </w:r>
    </w:p>
    <w:p>
      <w:pPr>
        <w:pStyle w:val="14"/>
        <w:keepNext w:val="0"/>
        <w:keepLines w:val="0"/>
        <w:pageBreakBefore w:val="0"/>
        <w:widowControl/>
        <w:kinsoku/>
        <w:wordWrap/>
        <w:overflowPunct/>
        <w:topLinePunct w:val="0"/>
        <w:autoSpaceDE/>
        <w:autoSpaceDN/>
        <w:bidi w:val="0"/>
        <w:adjustRightInd/>
        <w:snapToGrid/>
        <w:spacing w:line="56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六、《一般公共预算基本支出表》</w:t>
      </w:r>
    </w:p>
    <w:p>
      <w:pPr>
        <w:pStyle w:val="14"/>
        <w:keepNext w:val="0"/>
        <w:keepLines w:val="0"/>
        <w:pageBreakBefore w:val="0"/>
        <w:widowControl/>
        <w:kinsoku/>
        <w:wordWrap/>
        <w:overflowPunct/>
        <w:topLinePunct w:val="0"/>
        <w:autoSpaceDE/>
        <w:autoSpaceDN/>
        <w:bidi w:val="0"/>
        <w:adjustRightInd/>
        <w:snapToGrid/>
        <w:spacing w:line="56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七、《财政拨款“三公”经费支出表》</w:t>
      </w:r>
    </w:p>
    <w:p>
      <w:pPr>
        <w:pStyle w:val="14"/>
        <w:keepNext w:val="0"/>
        <w:keepLines w:val="0"/>
        <w:pageBreakBefore w:val="0"/>
        <w:widowControl/>
        <w:kinsoku/>
        <w:wordWrap/>
        <w:overflowPunct/>
        <w:topLinePunct w:val="0"/>
        <w:autoSpaceDE/>
        <w:autoSpaceDN/>
        <w:bidi w:val="0"/>
        <w:adjustRightInd/>
        <w:snapToGrid/>
        <w:spacing w:line="56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八、《政府性基金预算支出表》</w:t>
      </w:r>
    </w:p>
    <w:p>
      <w:pPr>
        <w:pStyle w:val="14"/>
        <w:keepNext w:val="0"/>
        <w:keepLines w:val="0"/>
        <w:pageBreakBefore w:val="0"/>
        <w:widowControl/>
        <w:kinsoku/>
        <w:wordWrap/>
        <w:overflowPunct/>
        <w:topLinePunct w:val="0"/>
        <w:autoSpaceDE/>
        <w:autoSpaceDN/>
        <w:bidi w:val="0"/>
        <w:adjustRightInd/>
        <w:snapToGrid/>
        <w:spacing w:line="56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九、《国有资本经营预算支出表》</w:t>
      </w:r>
      <w:r>
        <w:rPr>
          <w:rFonts w:hint="eastAsia" w:ascii="仿宋_GB2312" w:hAnsi="仿宋_GB2312" w:eastAsia="仿宋_GB2312" w:cs="仿宋_GB2312"/>
          <w:kern w:val="2"/>
          <w:sz w:val="32"/>
          <w:szCs w:val="30"/>
        </w:rPr>
        <w:tab/>
      </w:r>
    </w:p>
    <w:p>
      <w:pPr>
        <w:pStyle w:val="14"/>
        <w:keepNext w:val="0"/>
        <w:keepLines w:val="0"/>
        <w:pageBreakBefore w:val="0"/>
        <w:widowControl/>
        <w:kinsoku/>
        <w:wordWrap/>
        <w:overflowPunct/>
        <w:topLinePunct w:val="0"/>
        <w:autoSpaceDE/>
        <w:autoSpaceDN/>
        <w:bidi w:val="0"/>
        <w:adjustRightInd/>
        <w:snapToGrid/>
        <w:spacing w:line="56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十、《部门整体支出绩效目标表》</w:t>
      </w:r>
    </w:p>
    <w:p>
      <w:pPr>
        <w:pStyle w:val="14"/>
        <w:keepNext w:val="0"/>
        <w:keepLines w:val="0"/>
        <w:pageBreakBefore w:val="0"/>
        <w:widowControl/>
        <w:kinsoku/>
        <w:wordWrap/>
        <w:overflowPunct/>
        <w:topLinePunct w:val="0"/>
        <w:autoSpaceDE/>
        <w:autoSpaceDN/>
        <w:bidi w:val="0"/>
        <w:adjustRightInd/>
        <w:snapToGrid/>
        <w:spacing w:line="56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十一、《项目绩效目标表》</w:t>
      </w:r>
    </w:p>
    <w:p>
      <w:pPr>
        <w:ind w:firstLine="640" w:firstLineChars="200"/>
        <w:rPr>
          <w:rFonts w:ascii="黑体" w:hAnsi="宋体" w:eastAsia="黑体" w:cs="Times New Roman"/>
          <w:sz w:val="32"/>
          <w:szCs w:val="32"/>
        </w:rPr>
      </w:pPr>
      <w:r>
        <w:rPr>
          <w:rFonts w:hint="eastAsia" w:ascii="黑体" w:hAnsi="宋体" w:eastAsia="黑体" w:cs="黑体"/>
          <w:sz w:val="32"/>
          <w:szCs w:val="32"/>
        </w:rPr>
        <w:t>第</w:t>
      </w:r>
      <w:r>
        <w:rPr>
          <w:rFonts w:hint="eastAsia" w:ascii="黑体" w:hAnsi="宋体" w:eastAsia="黑体" w:cs="黑体"/>
          <w:sz w:val="32"/>
          <w:szCs w:val="32"/>
          <w:lang w:val="en-US" w:eastAsia="zh-CN"/>
        </w:rPr>
        <w:t>三</w:t>
      </w:r>
      <w:r>
        <w:rPr>
          <w:rFonts w:hint="eastAsia" w:ascii="黑体" w:hAnsi="宋体" w:eastAsia="黑体" w:cs="黑体"/>
          <w:sz w:val="32"/>
          <w:szCs w:val="32"/>
        </w:rPr>
        <w:t>部分</w:t>
      </w:r>
      <w:r>
        <w:rPr>
          <w:rFonts w:ascii="黑体" w:hAnsi="宋体" w:eastAsia="黑体" w:cs="黑体"/>
          <w:sz w:val="32"/>
          <w:szCs w:val="32"/>
        </w:rPr>
        <w:t xml:space="preserve"> </w:t>
      </w:r>
      <w:r>
        <w:rPr>
          <w:rFonts w:hint="eastAsia" w:ascii="黑体" w:hAnsi="宋体" w:eastAsia="黑体" w:cs="黑体"/>
          <w:sz w:val="32"/>
          <w:szCs w:val="32"/>
          <w:lang w:eastAsia="zh-CN"/>
        </w:rPr>
        <w:t>昌江区委水政大队2024</w:t>
      </w:r>
      <w:r>
        <w:rPr>
          <w:rFonts w:hint="eastAsia" w:ascii="黑体" w:hAnsi="宋体" w:eastAsia="黑体" w:cs="黑体"/>
          <w:sz w:val="32"/>
          <w:szCs w:val="32"/>
        </w:rPr>
        <w:t>年部门预算情况说明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default" w:ascii="仿宋_GB2312" w:hAnsi="微软雅黑" w:eastAsia="仿宋_GB2312" w:cs="仿宋_GB2312"/>
          <w:i w:val="0"/>
          <w:caps w:val="0"/>
          <w:color w:val="000000"/>
          <w:spacing w:val="0"/>
          <w:kern w:val="0"/>
          <w:sz w:val="32"/>
          <w:szCs w:val="32"/>
          <w:shd w:val="clear" w:fill="FFFFFF"/>
          <w:lang w:val="en-US" w:eastAsia="zh-CN" w:bidi="ar"/>
        </w:rPr>
        <w:t>一、</w:t>
      </w:r>
      <w:r>
        <w:rPr>
          <w:rFonts w:hint="eastAsia" w:ascii="仿宋_GB2312" w:hAnsi="微软雅黑" w:eastAsia="仿宋_GB2312" w:cs="仿宋_GB2312"/>
          <w:i w:val="0"/>
          <w:caps w:val="0"/>
          <w:color w:val="000000"/>
          <w:spacing w:val="0"/>
          <w:kern w:val="0"/>
          <w:sz w:val="32"/>
          <w:szCs w:val="32"/>
          <w:shd w:val="clear" w:fill="FFFFFF"/>
          <w:lang w:val="en-US" w:eastAsia="zh-CN" w:bidi="ar"/>
        </w:rPr>
        <w:t>2024</w:t>
      </w:r>
      <w:r>
        <w:rPr>
          <w:rFonts w:hint="default" w:ascii="仿宋_GB2312" w:hAnsi="微软雅黑" w:eastAsia="仿宋_GB2312" w:cs="仿宋_GB2312"/>
          <w:i w:val="0"/>
          <w:caps w:val="0"/>
          <w:color w:val="000000"/>
          <w:spacing w:val="0"/>
          <w:kern w:val="0"/>
          <w:sz w:val="32"/>
          <w:szCs w:val="32"/>
          <w:shd w:val="clear" w:fill="FFFFFF"/>
          <w:lang w:val="en-US" w:eastAsia="zh-CN" w:bidi="ar"/>
        </w:rPr>
        <w:t>年部门预算收支情况说明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1280" w:firstLineChars="400"/>
        <w:jc w:val="left"/>
        <w:rPr>
          <w:rFonts w:ascii="仿宋_GB2312" w:eastAsia="仿宋_GB2312" w:cs="Times New Roman"/>
          <w:sz w:val="32"/>
          <w:szCs w:val="32"/>
        </w:rPr>
      </w:pPr>
      <w:r>
        <w:rPr>
          <w:rFonts w:hint="default" w:ascii="仿宋_GB2312" w:hAnsi="微软雅黑" w:eastAsia="仿宋_GB2312" w:cs="仿宋_GB2312"/>
          <w:i w:val="0"/>
          <w:caps w:val="0"/>
          <w:color w:val="000000"/>
          <w:spacing w:val="0"/>
          <w:kern w:val="0"/>
          <w:sz w:val="32"/>
          <w:szCs w:val="32"/>
          <w:shd w:val="clear" w:fill="FFFFFF"/>
          <w:lang w:val="en-US" w:eastAsia="zh-CN" w:bidi="ar"/>
        </w:rPr>
        <w:t>二、</w:t>
      </w:r>
      <w:r>
        <w:rPr>
          <w:rFonts w:hint="eastAsia" w:ascii="仿宋_GB2312" w:hAnsi="微软雅黑" w:eastAsia="仿宋_GB2312" w:cs="仿宋_GB2312"/>
          <w:i w:val="0"/>
          <w:caps w:val="0"/>
          <w:color w:val="000000"/>
          <w:spacing w:val="0"/>
          <w:kern w:val="0"/>
          <w:sz w:val="32"/>
          <w:szCs w:val="32"/>
          <w:shd w:val="clear" w:fill="FFFFFF"/>
          <w:lang w:val="en-US" w:eastAsia="zh-CN" w:bidi="ar"/>
        </w:rPr>
        <w:t>2024</w:t>
      </w:r>
      <w:r>
        <w:rPr>
          <w:rFonts w:hint="default" w:ascii="仿宋_GB2312" w:hAnsi="微软雅黑" w:eastAsia="仿宋_GB2312" w:cs="仿宋_GB2312"/>
          <w:i w:val="0"/>
          <w:caps w:val="0"/>
          <w:color w:val="000000"/>
          <w:spacing w:val="0"/>
          <w:kern w:val="0"/>
          <w:sz w:val="32"/>
          <w:szCs w:val="32"/>
          <w:shd w:val="clear" w:fill="FFFFFF"/>
          <w:lang w:val="en-US" w:eastAsia="zh-CN" w:bidi="ar"/>
        </w:rPr>
        <w:t>年</w:t>
      </w:r>
      <w:r>
        <w:rPr>
          <w:rFonts w:hint="eastAsia" w:ascii="仿宋_GB2312" w:hAnsi="微软雅黑" w:eastAsia="仿宋_GB2312" w:cs="仿宋_GB2312"/>
          <w:i w:val="0"/>
          <w:caps w:val="0"/>
          <w:color w:val="000000"/>
          <w:spacing w:val="0"/>
          <w:kern w:val="0"/>
          <w:sz w:val="32"/>
          <w:szCs w:val="32"/>
          <w:shd w:val="clear" w:fill="FFFFFF"/>
          <w:lang w:val="en-US" w:eastAsia="zh-CN" w:bidi="ar"/>
        </w:rPr>
        <w:t>“</w:t>
      </w:r>
      <w:r>
        <w:rPr>
          <w:rFonts w:hint="default" w:ascii="仿宋_GB2312" w:hAnsi="微软雅黑" w:eastAsia="仿宋_GB2312" w:cs="仿宋_GB2312"/>
          <w:i w:val="0"/>
          <w:caps w:val="0"/>
          <w:color w:val="000000"/>
          <w:spacing w:val="0"/>
          <w:kern w:val="0"/>
          <w:sz w:val="32"/>
          <w:szCs w:val="32"/>
          <w:shd w:val="clear" w:fill="FFFFFF"/>
          <w:lang w:val="en-US" w:eastAsia="zh-CN" w:bidi="ar"/>
        </w:rPr>
        <w:t>三公</w:t>
      </w:r>
      <w:r>
        <w:rPr>
          <w:rFonts w:hint="eastAsia" w:ascii="仿宋_GB2312" w:hAnsi="微软雅黑" w:eastAsia="仿宋_GB2312" w:cs="仿宋_GB2312"/>
          <w:i w:val="0"/>
          <w:caps w:val="0"/>
          <w:color w:val="000000"/>
          <w:spacing w:val="0"/>
          <w:kern w:val="0"/>
          <w:sz w:val="32"/>
          <w:szCs w:val="32"/>
          <w:shd w:val="clear" w:fill="FFFFFF"/>
          <w:lang w:val="en-US" w:eastAsia="zh-CN" w:bidi="ar"/>
        </w:rPr>
        <w:t>”</w:t>
      </w:r>
      <w:r>
        <w:rPr>
          <w:rFonts w:hint="default" w:ascii="仿宋_GB2312" w:hAnsi="微软雅黑" w:eastAsia="仿宋_GB2312" w:cs="仿宋_GB2312"/>
          <w:i w:val="0"/>
          <w:caps w:val="0"/>
          <w:color w:val="000000"/>
          <w:spacing w:val="0"/>
          <w:kern w:val="0"/>
          <w:sz w:val="32"/>
          <w:szCs w:val="32"/>
          <w:shd w:val="clear" w:fill="FFFFFF"/>
          <w:lang w:val="en-US" w:eastAsia="zh-CN" w:bidi="ar"/>
        </w:rPr>
        <w:t>经费</w:t>
      </w:r>
      <w:r>
        <w:rPr>
          <w:rFonts w:hint="eastAsia" w:ascii="仿宋_GB2312" w:hAnsi="微软雅黑" w:eastAsia="仿宋_GB2312" w:cs="仿宋_GB2312"/>
          <w:i w:val="0"/>
          <w:caps w:val="0"/>
          <w:color w:val="000000"/>
          <w:spacing w:val="0"/>
          <w:kern w:val="0"/>
          <w:sz w:val="32"/>
          <w:szCs w:val="32"/>
          <w:shd w:val="clear" w:fill="FFFFFF"/>
          <w:lang w:val="en-US" w:eastAsia="zh-CN" w:bidi="ar"/>
        </w:rPr>
        <w:t>预算情况</w:t>
      </w:r>
      <w:r>
        <w:rPr>
          <w:rFonts w:hint="default" w:ascii="仿宋_GB2312" w:hAnsi="微软雅黑" w:eastAsia="仿宋_GB2312" w:cs="仿宋_GB2312"/>
          <w:i w:val="0"/>
          <w:caps w:val="0"/>
          <w:color w:val="000000"/>
          <w:spacing w:val="0"/>
          <w:kern w:val="0"/>
          <w:sz w:val="32"/>
          <w:szCs w:val="32"/>
          <w:shd w:val="clear" w:fill="FFFFFF"/>
          <w:lang w:val="en-US" w:eastAsia="zh-CN" w:bidi="ar"/>
        </w:rPr>
        <w:t>说明</w:t>
      </w:r>
    </w:p>
    <w:p>
      <w:pPr>
        <w:pStyle w:val="14"/>
        <w:keepNext w:val="0"/>
        <w:keepLines w:val="0"/>
        <w:pageBreakBefore w:val="0"/>
        <w:widowControl/>
        <w:kinsoku/>
        <w:wordWrap/>
        <w:overflowPunct/>
        <w:topLinePunct w:val="0"/>
        <w:autoSpaceDE/>
        <w:autoSpaceDN/>
        <w:bidi w:val="0"/>
        <w:adjustRightInd/>
        <w:snapToGrid/>
        <w:spacing w:line="560" w:lineRule="exact"/>
        <w:ind w:firstLine="1280" w:firstLineChars="400"/>
        <w:jc w:val="both"/>
        <w:textAlignment w:val="auto"/>
        <w:rPr>
          <w:rFonts w:hint="eastAsia" w:ascii="仿宋_GB2312" w:hAnsi="仿宋_GB2312" w:eastAsia="仿宋_GB2312" w:cs="仿宋_GB2312"/>
          <w:kern w:val="2"/>
          <w:sz w:val="32"/>
          <w:szCs w:val="30"/>
        </w:rPr>
      </w:pPr>
    </w:p>
    <w:p>
      <w:pPr>
        <w:rPr>
          <w:rFonts w:ascii="仿宋_GB2312" w:eastAsia="仿宋_GB2312" w:cs="Times New Roman"/>
          <w:b/>
          <w:bCs/>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第四部分</w:t>
      </w:r>
      <w:r>
        <w:rPr>
          <w:rFonts w:ascii="黑体" w:hAnsi="宋体" w:eastAsia="黑体" w:cs="黑体"/>
          <w:sz w:val="32"/>
          <w:szCs w:val="32"/>
        </w:rPr>
        <w:t xml:space="preserve"> </w:t>
      </w:r>
      <w:r>
        <w:rPr>
          <w:rFonts w:hint="eastAsia" w:ascii="黑体" w:hAnsi="宋体" w:eastAsia="黑体" w:cs="黑体"/>
          <w:sz w:val="32"/>
          <w:szCs w:val="32"/>
        </w:rPr>
        <w:t>名词解释</w:t>
      </w:r>
    </w:p>
    <w:p>
      <w:pPr>
        <w:ind w:firstLine="1600" w:firstLineChars="500"/>
        <w:rPr>
          <w:rFonts w:ascii="黑体" w:hAnsi="宋体" w:eastAsia="黑体" w:cs="Times New Roman"/>
          <w:sz w:val="32"/>
          <w:szCs w:val="32"/>
        </w:rPr>
      </w:pPr>
      <w:r>
        <w:rPr>
          <w:rFonts w:hint="eastAsia" w:ascii="黑体" w:hAnsi="宋体" w:eastAsia="黑体" w:cs="黑体"/>
          <w:sz w:val="32"/>
          <w:szCs w:val="32"/>
        </w:rPr>
        <w:t>第一部分</w:t>
      </w:r>
      <w:r>
        <w:rPr>
          <w:rFonts w:ascii="黑体" w:hAnsi="宋体" w:eastAsia="黑体" w:cs="黑体"/>
          <w:sz w:val="32"/>
          <w:szCs w:val="32"/>
        </w:rPr>
        <w:t xml:space="preserve">  </w:t>
      </w:r>
      <w:r>
        <w:rPr>
          <w:rFonts w:hint="eastAsia" w:ascii="黑体" w:hAnsi="宋体" w:eastAsia="黑体" w:cs="黑体"/>
          <w:sz w:val="32"/>
          <w:szCs w:val="32"/>
          <w:lang w:eastAsia="zh-CN"/>
        </w:rPr>
        <w:t>昌江区委水政大队</w:t>
      </w:r>
      <w:r>
        <w:rPr>
          <w:rFonts w:hint="eastAsia" w:ascii="黑体" w:hAnsi="宋体" w:eastAsia="黑体" w:cs="黑体"/>
          <w:sz w:val="32"/>
          <w:szCs w:val="32"/>
        </w:rPr>
        <w:t>概况</w:t>
      </w:r>
    </w:p>
    <w:p>
      <w:pPr>
        <w:rPr>
          <w:rFonts w:ascii="黑体" w:hAnsi="宋体" w:eastAsia="黑体" w:cs="Times New Roman"/>
          <w:sz w:val="32"/>
          <w:szCs w:val="32"/>
        </w:rPr>
      </w:pPr>
      <w:r>
        <w:rPr>
          <w:rFonts w:hint="eastAsia" w:ascii="黑体" w:hAnsi="宋体" w:eastAsia="黑体" w:cs="黑体"/>
          <w:sz w:val="32"/>
          <w:szCs w:val="32"/>
        </w:rPr>
        <w:t>第一部分</w:t>
      </w:r>
      <w:r>
        <w:rPr>
          <w:rFonts w:ascii="黑体" w:hAnsi="宋体" w:eastAsia="黑体" w:cs="黑体"/>
          <w:sz w:val="32"/>
          <w:szCs w:val="32"/>
        </w:rPr>
        <w:t xml:space="preserve">  </w:t>
      </w:r>
      <w:r>
        <w:rPr>
          <w:rFonts w:hint="eastAsia" w:ascii="黑体" w:hAnsi="宋体" w:eastAsia="黑体" w:cs="黑体"/>
          <w:sz w:val="32"/>
          <w:szCs w:val="32"/>
          <w:lang w:eastAsia="zh-CN"/>
        </w:rPr>
        <w:t>昌江区水政大队</w:t>
      </w:r>
      <w:r>
        <w:rPr>
          <w:rFonts w:hint="eastAsia" w:ascii="黑体" w:hAnsi="宋体" w:eastAsia="黑体" w:cs="黑体"/>
          <w:sz w:val="32"/>
          <w:szCs w:val="32"/>
        </w:rPr>
        <w:t>概况</w:t>
      </w:r>
    </w:p>
    <w:p>
      <w:pPr>
        <w:ind w:firstLine="630" w:firstLineChars="196"/>
        <w:rPr>
          <w:rFonts w:ascii="仿宋_GB2312" w:eastAsia="仿宋_GB2312" w:cs="Times New Roman"/>
          <w:b/>
          <w:bCs/>
          <w:sz w:val="32"/>
          <w:szCs w:val="32"/>
        </w:rPr>
      </w:pPr>
      <w:r>
        <w:rPr>
          <w:rFonts w:hint="eastAsia" w:ascii="仿宋_GB2312" w:hAnsi="宋体" w:eastAsia="仿宋_GB2312" w:cs="仿宋_GB2312"/>
          <w:b/>
          <w:bCs/>
          <w:sz w:val="32"/>
          <w:szCs w:val="32"/>
        </w:rPr>
        <w:t>一、部门主要职责</w:t>
      </w:r>
    </w:p>
    <w:p>
      <w:pPr>
        <w:pStyle w:val="6"/>
        <w:keepNext w:val="0"/>
        <w:keepLines w:val="0"/>
        <w:widowControl/>
        <w:suppressLineNumbers w:val="0"/>
        <w:shd w:val="clear" w:color="auto" w:fill="FFFFFF"/>
        <w:spacing w:line="450" w:lineRule="atLeast"/>
        <w:ind w:left="0" w:firstLine="420"/>
        <w:rPr>
          <w:rFonts w:hint="eastAsia" w:ascii="仿宋" w:hAnsi="仿宋" w:eastAsia="仿宋" w:cs="Times New Roman"/>
          <w:kern w:val="2"/>
          <w:sz w:val="30"/>
          <w:szCs w:val="30"/>
          <w:lang w:val="en-US" w:eastAsia="zh-CN" w:bidi="ar-SA"/>
        </w:rPr>
      </w:pPr>
      <w:r>
        <w:rPr>
          <w:rFonts w:hint="eastAsia" w:ascii="仿宋" w:hAnsi="仿宋" w:eastAsia="仿宋"/>
          <w:sz w:val="32"/>
          <w:szCs w:val="30"/>
        </w:rPr>
        <w:t xml:space="preserve">  </w:t>
      </w:r>
      <w:r>
        <w:rPr>
          <w:rFonts w:hint="eastAsia" w:ascii="仿宋_GB2312" w:hAnsi="Calibri" w:eastAsia="仿宋_GB2312"/>
          <w:color w:val="333333"/>
          <w:sz w:val="32"/>
          <w:szCs w:val="32"/>
          <w:shd w:val="clear" w:color="auto" w:fill="FFFFFF"/>
        </w:rPr>
        <w:t xml:space="preserve"> </w:t>
      </w:r>
      <w:r>
        <w:rPr>
          <w:rFonts w:hint="eastAsia" w:ascii="仿宋" w:hAnsi="仿宋" w:eastAsia="仿宋" w:cs="Times New Roman"/>
          <w:kern w:val="2"/>
          <w:sz w:val="30"/>
          <w:szCs w:val="30"/>
          <w:lang w:val="en-US" w:eastAsia="zh-CN" w:bidi="ar-SA"/>
        </w:rPr>
        <w:t>（一）宣传贯彻执行水行政法律法规；</w:t>
      </w:r>
    </w:p>
    <w:p>
      <w:pPr>
        <w:pStyle w:val="6"/>
        <w:keepNext w:val="0"/>
        <w:keepLines w:val="0"/>
        <w:widowControl/>
        <w:suppressLineNumbers w:val="0"/>
        <w:shd w:val="clear" w:color="auto" w:fill="FFFFFF"/>
        <w:spacing w:line="450" w:lineRule="atLeast"/>
        <w:ind w:firstLine="600" w:firstLineChars="200"/>
        <w:rPr>
          <w:rFonts w:hint="eastAsia"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（二）保护全县水资源、水利工程、河道、防汛抗旱等有关设施；</w:t>
      </w:r>
    </w:p>
    <w:p>
      <w:pPr>
        <w:pStyle w:val="6"/>
        <w:keepNext w:val="0"/>
        <w:keepLines w:val="0"/>
        <w:widowControl/>
        <w:suppressLineNumbers w:val="0"/>
        <w:shd w:val="clear" w:color="auto" w:fill="FFFFFF"/>
        <w:spacing w:line="450" w:lineRule="atLeast"/>
        <w:ind w:firstLine="600" w:firstLineChars="200"/>
        <w:rPr>
          <w:rFonts w:hint="eastAsia"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（三）对全县水事活动进行监督、检查、勘测、取证、调查和处理，维护正常的水事秩序；</w:t>
      </w:r>
    </w:p>
    <w:p>
      <w:pPr>
        <w:keepNext w:val="0"/>
        <w:keepLines w:val="0"/>
        <w:widowControl/>
        <w:suppressLineNumbers w:val="0"/>
        <w:shd w:val="clear" w:color="auto" w:fill="FFFFFF"/>
        <w:spacing w:before="100" w:beforeAutospacing="1" w:after="100" w:afterAutospacing="1" w:line="315" w:lineRule="atLeast"/>
        <w:ind w:right="0" w:firstLine="600" w:firstLineChars="200"/>
        <w:jc w:val="left"/>
        <w:rPr>
          <w:rFonts w:hint="eastAsia"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（四）对公民、法人或其他组织违反水法规的行为实施行政处罚或采取其他行政措施；</w:t>
      </w:r>
    </w:p>
    <w:p>
      <w:pPr>
        <w:keepNext w:val="0"/>
        <w:keepLines w:val="0"/>
        <w:widowControl/>
        <w:suppressLineNumbers w:val="0"/>
        <w:shd w:val="clear" w:color="auto" w:fill="FFFFFF"/>
        <w:spacing w:before="100" w:beforeAutospacing="1" w:after="100" w:afterAutospacing="1" w:line="315" w:lineRule="atLeast"/>
        <w:ind w:right="0" w:firstLine="600" w:firstLineChars="200"/>
        <w:jc w:val="left"/>
        <w:rPr>
          <w:rFonts w:hint="eastAsia"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（五）配合和协助公安和司法部门查处水事治安和刑事案件；</w:t>
      </w:r>
    </w:p>
    <w:p>
      <w:pPr>
        <w:keepNext w:val="0"/>
        <w:keepLines w:val="0"/>
        <w:widowControl/>
        <w:suppressLineNumbers w:val="0"/>
        <w:shd w:val="clear" w:color="auto" w:fill="FFFFFF"/>
        <w:spacing w:before="100" w:beforeAutospacing="1" w:after="100" w:afterAutospacing="1" w:line="315" w:lineRule="atLeast"/>
        <w:ind w:right="0" w:firstLine="600" w:firstLineChars="200"/>
        <w:jc w:val="left"/>
        <w:rPr>
          <w:rFonts w:hint="eastAsia"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（六）受上级部门的委托办理行政许可和征收行政事业性规费等有关事宜。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微软雅黑" w:hAnsi="微软雅黑" w:eastAsia="微软雅黑" w:cs="微软雅黑"/>
          <w:b w:val="0"/>
          <w:i w:val="0"/>
          <w:caps w:val="0"/>
          <w:color w:val="424242"/>
          <w:spacing w:val="0"/>
          <w:sz w:val="27"/>
          <w:szCs w:val="27"/>
        </w:rPr>
      </w:pPr>
    </w:p>
    <w:p>
      <w:pPr>
        <w:pStyle w:val="6"/>
        <w:shd w:val="clear" w:color="auto" w:fill="FFFFFF"/>
        <w:spacing w:before="0" w:beforeAutospacing="0" w:after="0" w:afterAutospacing="0" w:line="420" w:lineRule="atLeast"/>
        <w:ind w:firstLine="640"/>
        <w:jc w:val="both"/>
        <w:rPr>
          <w:rFonts w:hint="eastAsia" w:ascii="仿宋_GB2312" w:hAnsi="Calibri" w:eastAsia="仿宋_GB2312"/>
          <w:color w:val="333333"/>
          <w:sz w:val="32"/>
          <w:szCs w:val="32"/>
          <w:shd w:val="clear" w:color="auto" w:fill="FFFFFF"/>
        </w:rPr>
      </w:pPr>
    </w:p>
    <w:p>
      <w:pPr>
        <w:ind w:firstLine="630"/>
        <w:jc w:val="left"/>
        <w:rPr>
          <w:rFonts w:hint="eastAsia" w:ascii="黑体" w:hAnsi="黑体" w:eastAsia="黑体"/>
          <w:sz w:val="30"/>
          <w:szCs w:val="30"/>
        </w:rPr>
      </w:pPr>
      <w:r>
        <w:rPr>
          <w:rFonts w:hint="eastAsia" w:ascii="黑体" w:hAnsi="黑体" w:eastAsia="黑体"/>
          <w:sz w:val="30"/>
          <w:szCs w:val="30"/>
        </w:rPr>
        <w:t>二、部门基本情况</w:t>
      </w:r>
    </w:p>
    <w:p>
      <w:pPr>
        <w:ind w:firstLine="630"/>
        <w:jc w:val="left"/>
        <w:rPr>
          <w:rFonts w:hint="eastAsia" w:ascii="仿宋" w:hAnsi="仿宋" w:eastAsia="仿宋"/>
          <w:sz w:val="30"/>
          <w:szCs w:val="30"/>
        </w:rPr>
      </w:pPr>
      <w:r>
        <w:rPr>
          <w:rFonts w:hint="eastAsia" w:ascii="仿宋" w:hAnsi="仿宋" w:eastAsia="仿宋"/>
          <w:sz w:val="30"/>
          <w:szCs w:val="30"/>
        </w:rPr>
        <w:t>纳入本套</w:t>
      </w:r>
      <w:r>
        <w:rPr>
          <w:rFonts w:hint="eastAsia" w:ascii="仿宋" w:hAnsi="仿宋" w:eastAsia="仿宋"/>
          <w:sz w:val="30"/>
          <w:szCs w:val="30"/>
          <w:lang w:val="en-US" w:eastAsia="zh-CN"/>
        </w:rPr>
        <w:t>单位预算</w:t>
      </w:r>
      <w:r>
        <w:rPr>
          <w:rFonts w:hint="eastAsia" w:ascii="仿宋" w:hAnsi="仿宋" w:eastAsia="仿宋"/>
          <w:sz w:val="30"/>
          <w:szCs w:val="30"/>
        </w:rPr>
        <w:t>汇编范围的单位</w:t>
      </w:r>
      <w:r>
        <w:rPr>
          <w:rFonts w:hint="eastAsia" w:ascii="仿宋" w:hAnsi="仿宋" w:eastAsia="仿宋"/>
          <w:sz w:val="30"/>
          <w:szCs w:val="30"/>
          <w:lang w:val="en-US" w:eastAsia="zh-CN"/>
        </w:rPr>
        <w:t>1</w:t>
      </w:r>
      <w:r>
        <w:rPr>
          <w:rFonts w:hint="eastAsia" w:ascii="仿宋" w:hAnsi="仿宋" w:eastAsia="仿宋"/>
          <w:sz w:val="30"/>
          <w:szCs w:val="30"/>
        </w:rPr>
        <w:t>个，</w:t>
      </w:r>
      <w:r>
        <w:rPr>
          <w:rFonts w:hint="eastAsia" w:ascii="仿宋" w:hAnsi="仿宋" w:eastAsia="仿宋"/>
          <w:sz w:val="30"/>
          <w:szCs w:val="30"/>
          <w:lang w:eastAsia="zh-CN"/>
        </w:rPr>
        <w:t>即昌江区水政监察大队。</w:t>
      </w:r>
    </w:p>
    <w:p>
      <w:pPr>
        <w:ind w:firstLine="630"/>
        <w:jc w:val="left"/>
        <w:rPr>
          <w:rFonts w:hint="eastAsia" w:ascii="仿宋" w:hAnsi="仿宋" w:eastAsia="仿宋"/>
          <w:sz w:val="30"/>
          <w:szCs w:val="30"/>
        </w:rPr>
      </w:pPr>
      <w:r>
        <w:rPr>
          <w:rFonts w:hint="eastAsia" w:ascii="仿宋" w:hAnsi="仿宋" w:eastAsia="仿宋"/>
          <w:sz w:val="30"/>
          <w:szCs w:val="30"/>
        </w:rPr>
        <w:t>本部门</w:t>
      </w:r>
      <w:r>
        <w:rPr>
          <w:rFonts w:hint="eastAsia" w:ascii="仿宋" w:hAnsi="仿宋" w:eastAsia="仿宋"/>
          <w:sz w:val="30"/>
          <w:szCs w:val="30"/>
          <w:lang w:eastAsia="zh-CN"/>
        </w:rPr>
        <w:t>202</w:t>
      </w:r>
      <w:r>
        <w:rPr>
          <w:rFonts w:hint="eastAsia" w:ascii="仿宋" w:hAnsi="仿宋" w:eastAsia="仿宋"/>
          <w:sz w:val="30"/>
          <w:szCs w:val="30"/>
          <w:lang w:val="en-US" w:eastAsia="zh-CN"/>
        </w:rPr>
        <w:t>4</w:t>
      </w:r>
      <w:r>
        <w:rPr>
          <w:rFonts w:hint="eastAsia" w:ascii="仿宋" w:hAnsi="仿宋" w:eastAsia="仿宋"/>
          <w:sz w:val="30"/>
          <w:szCs w:val="30"/>
        </w:rPr>
        <w:t>年编制人数</w:t>
      </w:r>
      <w:r>
        <w:rPr>
          <w:rFonts w:hint="eastAsia" w:ascii="仿宋" w:hAnsi="仿宋" w:eastAsia="仿宋"/>
          <w:sz w:val="30"/>
          <w:szCs w:val="30"/>
          <w:lang w:val="en-US" w:eastAsia="zh-CN"/>
        </w:rPr>
        <w:t>3</w:t>
      </w:r>
      <w:r>
        <w:rPr>
          <w:rFonts w:hint="eastAsia" w:ascii="仿宋" w:hAnsi="仿宋" w:eastAsia="仿宋"/>
          <w:sz w:val="30"/>
          <w:szCs w:val="30"/>
        </w:rPr>
        <w:t>人，其中行政编制</w:t>
      </w:r>
      <w:r>
        <w:rPr>
          <w:rFonts w:hint="eastAsia" w:ascii="仿宋" w:hAnsi="仿宋" w:eastAsia="仿宋"/>
          <w:sz w:val="30"/>
          <w:szCs w:val="30"/>
          <w:lang w:val="en-US" w:eastAsia="zh-CN"/>
        </w:rPr>
        <w:t>0</w:t>
      </w:r>
      <w:r>
        <w:rPr>
          <w:rFonts w:hint="eastAsia" w:ascii="仿宋" w:hAnsi="仿宋" w:eastAsia="仿宋"/>
          <w:sz w:val="30"/>
          <w:szCs w:val="30"/>
        </w:rPr>
        <w:t>人，事业编制</w:t>
      </w:r>
      <w:r>
        <w:rPr>
          <w:rFonts w:hint="eastAsia" w:ascii="仿宋" w:hAnsi="仿宋" w:eastAsia="仿宋"/>
          <w:sz w:val="30"/>
          <w:szCs w:val="30"/>
          <w:lang w:val="en-US" w:eastAsia="zh-CN"/>
        </w:rPr>
        <w:t>3</w:t>
      </w:r>
      <w:r>
        <w:rPr>
          <w:rFonts w:hint="eastAsia" w:ascii="仿宋" w:hAnsi="仿宋" w:eastAsia="仿宋"/>
          <w:sz w:val="30"/>
          <w:szCs w:val="30"/>
        </w:rPr>
        <w:t>人；年末实有人数</w:t>
      </w:r>
      <w:r>
        <w:rPr>
          <w:rFonts w:hint="eastAsia" w:ascii="仿宋" w:hAnsi="仿宋" w:eastAsia="仿宋"/>
          <w:sz w:val="30"/>
          <w:szCs w:val="30"/>
          <w:lang w:val="en-US" w:eastAsia="zh-CN"/>
        </w:rPr>
        <w:t>3</w:t>
      </w:r>
      <w:r>
        <w:rPr>
          <w:rFonts w:hint="eastAsia" w:ascii="仿宋" w:hAnsi="仿宋" w:eastAsia="仿宋"/>
          <w:sz w:val="30"/>
          <w:szCs w:val="30"/>
        </w:rPr>
        <w:t>人，其中在职人员</w:t>
      </w:r>
      <w:r>
        <w:rPr>
          <w:rFonts w:hint="eastAsia" w:ascii="仿宋" w:hAnsi="仿宋" w:eastAsia="仿宋"/>
          <w:sz w:val="30"/>
          <w:szCs w:val="30"/>
          <w:lang w:val="en-US" w:eastAsia="zh-CN"/>
        </w:rPr>
        <w:t>3</w:t>
      </w:r>
      <w:r>
        <w:rPr>
          <w:rFonts w:hint="eastAsia" w:ascii="仿宋" w:hAnsi="仿宋" w:eastAsia="仿宋"/>
          <w:sz w:val="30"/>
          <w:szCs w:val="30"/>
        </w:rPr>
        <w:t>人，离休人员</w:t>
      </w:r>
      <w:r>
        <w:rPr>
          <w:rFonts w:hint="eastAsia" w:ascii="仿宋" w:hAnsi="仿宋" w:eastAsia="仿宋"/>
          <w:sz w:val="30"/>
          <w:szCs w:val="30"/>
          <w:lang w:val="en-US" w:eastAsia="zh-CN"/>
        </w:rPr>
        <w:t>0</w:t>
      </w:r>
      <w:r>
        <w:rPr>
          <w:rFonts w:hint="eastAsia" w:ascii="仿宋" w:hAnsi="仿宋" w:eastAsia="仿宋"/>
          <w:sz w:val="30"/>
          <w:szCs w:val="30"/>
        </w:rPr>
        <w:t>人，退休人员</w:t>
      </w:r>
      <w:r>
        <w:rPr>
          <w:rFonts w:hint="eastAsia" w:ascii="仿宋" w:hAnsi="仿宋" w:eastAsia="仿宋"/>
          <w:sz w:val="30"/>
          <w:szCs w:val="30"/>
          <w:lang w:val="en-US" w:eastAsia="zh-CN"/>
        </w:rPr>
        <w:t>2</w:t>
      </w:r>
      <w:r>
        <w:rPr>
          <w:rFonts w:hint="eastAsia" w:ascii="仿宋" w:hAnsi="仿宋" w:eastAsia="仿宋"/>
          <w:sz w:val="30"/>
          <w:szCs w:val="30"/>
        </w:rPr>
        <w:t>人。</w:t>
      </w:r>
    </w:p>
    <w:p>
      <w:pPr>
        <w:ind w:firstLine="570"/>
        <w:rPr>
          <w:rFonts w:hint="eastAsia" w:eastAsia="仿宋_GB2312"/>
          <w:sz w:val="32"/>
          <w:szCs w:val="32"/>
        </w:rPr>
      </w:pPr>
    </w:p>
    <w:p>
      <w:pPr>
        <w:ind w:firstLine="640" w:firstLineChars="200"/>
        <w:rPr>
          <w:rFonts w:ascii="仿宋_GB2312" w:hAnsi="宋体"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仿宋_GB2312" w:eastAsia="仿宋_GB2312"/>
          <w:b/>
          <w:sz w:val="32"/>
          <w:szCs w:val="30"/>
        </w:rPr>
      </w:pPr>
      <w:r>
        <w:rPr>
          <w:rFonts w:hint="eastAsia" w:ascii="方正小标宋简体" w:hAnsi="方正小标宋简体" w:eastAsia="方正小标宋简体" w:cs="方正小标宋简体"/>
          <w:b/>
          <w:sz w:val="32"/>
          <w:szCs w:val="30"/>
        </w:rPr>
        <w:t xml:space="preserve">第二部分  </w:t>
      </w:r>
      <w:r>
        <w:rPr>
          <w:rFonts w:hint="eastAsia" w:ascii="黑体" w:hAnsi="宋体" w:eastAsia="黑体" w:cs="黑体"/>
          <w:sz w:val="32"/>
          <w:szCs w:val="32"/>
          <w:lang w:val="en-US" w:eastAsia="zh-CN"/>
        </w:rPr>
        <w:t>昌江区委水政大队</w:t>
      </w:r>
      <w:r>
        <w:rPr>
          <w:rFonts w:hint="eastAsia" w:ascii="方正小标宋简体" w:hAnsi="方正小标宋简体" w:eastAsia="方正小标宋简体" w:cs="方正小标宋简体"/>
          <w:b/>
          <w:sz w:val="32"/>
          <w:szCs w:val="30"/>
          <w:lang w:eastAsia="zh-CN"/>
        </w:rPr>
        <w:t>2024</w:t>
      </w:r>
      <w:r>
        <w:rPr>
          <w:rFonts w:hint="eastAsia" w:ascii="方正小标宋简体" w:hAnsi="方正小标宋简体" w:eastAsia="方正小标宋简体" w:cs="方正小标宋简体"/>
          <w:b/>
          <w:sz w:val="32"/>
          <w:szCs w:val="30"/>
        </w:rPr>
        <w:t>年部门预算表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（详见附表）</w:t>
      </w:r>
    </w:p>
    <w:p>
      <w:pPr>
        <w:ind w:firstLine="640" w:firstLineChars="200"/>
        <w:rPr>
          <w:rFonts w:ascii="仿宋_GB2312" w:hAnsi="宋体" w:eastAsia="仿宋_GB2312" w:cs="仿宋_GB2312"/>
          <w:sz w:val="32"/>
          <w:szCs w:val="32"/>
        </w:rPr>
      </w:pPr>
    </w:p>
    <w:p>
      <w:pPr>
        <w:ind w:firstLine="640" w:firstLineChars="200"/>
        <w:rPr>
          <w:rFonts w:ascii="黑体" w:hAnsi="宋体" w:eastAsia="黑体" w:cs="Times New Roman"/>
          <w:sz w:val="32"/>
          <w:szCs w:val="32"/>
        </w:rPr>
      </w:pPr>
      <w:r>
        <w:rPr>
          <w:rFonts w:hint="eastAsia" w:ascii="黑体" w:hAnsi="宋体" w:eastAsia="黑体" w:cs="黑体"/>
          <w:sz w:val="32"/>
          <w:szCs w:val="32"/>
        </w:rPr>
        <w:t>第</w:t>
      </w:r>
      <w:r>
        <w:rPr>
          <w:rFonts w:hint="eastAsia" w:ascii="黑体" w:hAnsi="宋体" w:eastAsia="黑体" w:cs="黑体"/>
          <w:sz w:val="32"/>
          <w:szCs w:val="32"/>
          <w:lang w:val="en-US" w:eastAsia="zh-CN"/>
        </w:rPr>
        <w:t>三</w:t>
      </w:r>
      <w:r>
        <w:rPr>
          <w:rFonts w:hint="eastAsia" w:ascii="黑体" w:hAnsi="宋体" w:eastAsia="黑体" w:cs="黑体"/>
          <w:sz w:val="32"/>
          <w:szCs w:val="32"/>
        </w:rPr>
        <w:t>部分</w:t>
      </w:r>
      <w:r>
        <w:rPr>
          <w:rFonts w:ascii="黑体" w:hAnsi="宋体" w:eastAsia="黑体" w:cs="黑体"/>
          <w:sz w:val="32"/>
          <w:szCs w:val="32"/>
        </w:rPr>
        <w:t xml:space="preserve"> </w:t>
      </w:r>
      <w:r>
        <w:rPr>
          <w:rFonts w:hint="eastAsia" w:ascii="黑体" w:hAnsi="宋体" w:eastAsia="黑体" w:cs="黑体"/>
          <w:sz w:val="32"/>
          <w:szCs w:val="32"/>
          <w:lang w:val="en-US" w:eastAsia="zh-CN"/>
        </w:rPr>
        <w:t>昌江区委水政大队</w:t>
      </w:r>
      <w:r>
        <w:rPr>
          <w:rFonts w:hint="eastAsia" w:ascii="黑体" w:hAnsi="宋体" w:eastAsia="黑体" w:cs="黑体"/>
          <w:sz w:val="32"/>
          <w:szCs w:val="32"/>
          <w:lang w:eastAsia="zh-CN"/>
        </w:rPr>
        <w:t>2024</w:t>
      </w:r>
      <w:r>
        <w:rPr>
          <w:rFonts w:hint="eastAsia" w:ascii="黑体" w:hAnsi="宋体" w:eastAsia="黑体" w:cs="黑体"/>
          <w:sz w:val="32"/>
          <w:szCs w:val="32"/>
        </w:rPr>
        <w:t>年部门预算情况说明</w:t>
      </w:r>
    </w:p>
    <w:p>
      <w:pPr>
        <w:ind w:firstLine="643" w:firstLineChars="200"/>
        <w:rPr>
          <w:rFonts w:ascii="仿宋_GB2312" w:eastAsia="仿宋_GB2312" w:cs="Times New Roman"/>
          <w:b/>
          <w:bCs/>
          <w:sz w:val="32"/>
          <w:szCs w:val="32"/>
        </w:rPr>
      </w:pPr>
      <w:r>
        <w:rPr>
          <w:rFonts w:hint="eastAsia" w:ascii="仿宋_GB2312" w:hAnsi="宋体" w:eastAsia="仿宋_GB2312" w:cs="仿宋_GB2312"/>
          <w:b/>
          <w:bCs/>
          <w:sz w:val="32"/>
          <w:szCs w:val="32"/>
        </w:rPr>
        <w:t>一、</w:t>
      </w:r>
      <w:r>
        <w:rPr>
          <w:rFonts w:hint="eastAsia" w:ascii="仿宋_GB2312" w:hAnsi="宋体" w:eastAsia="仿宋_GB2312" w:cs="仿宋_GB2312"/>
          <w:b/>
          <w:bCs/>
          <w:sz w:val="32"/>
          <w:szCs w:val="32"/>
          <w:lang w:eastAsia="zh-CN"/>
        </w:rPr>
        <w:t>2024</w:t>
      </w:r>
      <w:r>
        <w:rPr>
          <w:rFonts w:hint="eastAsia" w:ascii="仿宋_GB2312" w:hAnsi="宋体" w:eastAsia="仿宋_GB2312" w:cs="仿宋_GB2312"/>
          <w:b/>
          <w:bCs/>
          <w:sz w:val="32"/>
          <w:szCs w:val="32"/>
        </w:rPr>
        <w:t>年部门预算收支情况说明</w:t>
      </w:r>
    </w:p>
    <w:p>
      <w:pPr>
        <w:ind w:firstLine="643" w:firstLineChars="200"/>
        <w:rPr>
          <w:rStyle w:val="15"/>
          <w:rFonts w:hint="eastAsia" w:ascii="楷体_GB2312" w:hAnsi="楷体_GB2312" w:eastAsia="楷体_GB2312" w:cs="楷体_GB2312"/>
          <w:b/>
          <w:bCs w:val="0"/>
          <w:sz w:val="32"/>
          <w:szCs w:val="32"/>
          <w:lang w:eastAsia="zh-CN"/>
        </w:rPr>
      </w:pPr>
      <w:r>
        <w:rPr>
          <w:rStyle w:val="15"/>
          <w:rFonts w:hint="eastAsia" w:ascii="楷体_GB2312" w:hAnsi="楷体_GB2312" w:eastAsia="楷体_GB2312" w:cs="楷体_GB2312"/>
          <w:b/>
          <w:bCs w:val="0"/>
          <w:sz w:val="32"/>
          <w:szCs w:val="32"/>
          <w:lang w:eastAsia="zh-CN"/>
        </w:rPr>
        <w:t>（一）预算收入情况</w:t>
      </w:r>
    </w:p>
    <w:p>
      <w:pPr>
        <w:widowControl/>
        <w:shd w:val="clear" w:color="auto" w:fill="FFFFFF"/>
        <w:spacing w:line="580" w:lineRule="atLeast"/>
        <w:ind w:firstLine="640"/>
        <w:jc w:val="left"/>
        <w:rPr>
          <w:rFonts w:hint="default" w:ascii="仿宋" w:hAnsi="仿宋" w:eastAsia="仿宋" w:cs="宋体"/>
          <w:b w:val="0"/>
          <w:bCs w:val="0"/>
          <w:color w:val="333333"/>
          <w:kern w:val="0"/>
          <w:sz w:val="32"/>
          <w:szCs w:val="32"/>
          <w:lang w:val="en-US" w:eastAsia="zh-CN"/>
        </w:rPr>
      </w:pPr>
      <w:r>
        <w:rPr>
          <w:rFonts w:hint="eastAsia" w:ascii="仿宋" w:hAnsi="仿宋" w:eastAsia="仿宋" w:cs="宋体"/>
          <w:b w:val="0"/>
          <w:bCs w:val="0"/>
          <w:color w:val="333333"/>
          <w:kern w:val="0"/>
          <w:sz w:val="32"/>
          <w:szCs w:val="32"/>
          <w:lang w:eastAsia="zh-CN"/>
        </w:rPr>
        <w:t>2024</w:t>
      </w:r>
      <w:r>
        <w:rPr>
          <w:rFonts w:hint="eastAsia" w:ascii="仿宋" w:hAnsi="仿宋" w:eastAsia="仿宋" w:cs="宋体"/>
          <w:b w:val="0"/>
          <w:bCs w:val="0"/>
          <w:color w:val="333333"/>
          <w:kern w:val="0"/>
          <w:sz w:val="32"/>
          <w:szCs w:val="32"/>
        </w:rPr>
        <w:t>年收入预算总额为</w:t>
      </w:r>
      <w:r>
        <w:rPr>
          <w:rFonts w:hint="eastAsia" w:ascii="仿宋" w:hAnsi="仿宋" w:eastAsia="仿宋" w:cs="宋体"/>
          <w:b w:val="0"/>
          <w:bCs w:val="0"/>
          <w:color w:val="0000FF"/>
          <w:kern w:val="0"/>
          <w:sz w:val="32"/>
          <w:szCs w:val="32"/>
          <w:lang w:val="en-US" w:eastAsia="zh-CN"/>
        </w:rPr>
        <w:t>179.71</w:t>
      </w:r>
      <w:r>
        <w:rPr>
          <w:rFonts w:hint="eastAsia" w:ascii="仿宋" w:hAnsi="仿宋" w:eastAsia="仿宋" w:cs="宋体"/>
          <w:b w:val="0"/>
          <w:bCs w:val="0"/>
          <w:color w:val="333333"/>
          <w:kern w:val="0"/>
          <w:sz w:val="32"/>
          <w:szCs w:val="32"/>
          <w:lang w:eastAsia="zh-CN"/>
        </w:rPr>
        <w:t>万元</w:t>
      </w:r>
      <w:r>
        <w:rPr>
          <w:rFonts w:hint="eastAsia" w:ascii="仿宋" w:hAnsi="仿宋" w:eastAsia="仿宋" w:cs="宋体"/>
          <w:b w:val="0"/>
          <w:bCs w:val="0"/>
          <w:color w:val="333333"/>
          <w:kern w:val="0"/>
          <w:sz w:val="32"/>
          <w:szCs w:val="32"/>
        </w:rPr>
        <w:t>，其中：经费拨款（补助）收入</w:t>
      </w:r>
      <w:r>
        <w:rPr>
          <w:rFonts w:hint="eastAsia" w:ascii="仿宋" w:hAnsi="仿宋" w:eastAsia="仿宋" w:cs="宋体"/>
          <w:b w:val="0"/>
          <w:bCs w:val="0"/>
          <w:color w:val="333333"/>
          <w:kern w:val="0"/>
          <w:sz w:val="32"/>
          <w:szCs w:val="32"/>
          <w:lang w:val="en-US" w:eastAsia="zh-CN"/>
        </w:rPr>
        <w:t>59.71</w:t>
      </w:r>
      <w:r>
        <w:rPr>
          <w:rFonts w:hint="eastAsia" w:ascii="仿宋" w:hAnsi="仿宋" w:eastAsia="仿宋" w:cs="宋体"/>
          <w:b w:val="0"/>
          <w:bCs w:val="0"/>
          <w:color w:val="333333"/>
          <w:kern w:val="0"/>
          <w:sz w:val="32"/>
          <w:szCs w:val="32"/>
          <w:lang w:eastAsia="zh-CN"/>
        </w:rPr>
        <w:t>万元</w:t>
      </w:r>
      <w:r>
        <w:rPr>
          <w:rFonts w:hint="eastAsia" w:ascii="仿宋" w:hAnsi="仿宋" w:eastAsia="仿宋" w:cs="宋体"/>
          <w:b w:val="0"/>
          <w:bCs w:val="0"/>
          <w:color w:val="333333"/>
          <w:kern w:val="0"/>
          <w:sz w:val="32"/>
          <w:szCs w:val="32"/>
        </w:rPr>
        <w:t>，占收入预算总额的</w:t>
      </w:r>
      <w:r>
        <w:rPr>
          <w:rFonts w:hint="eastAsia" w:ascii="仿宋" w:hAnsi="仿宋" w:eastAsia="仿宋" w:cs="宋体"/>
          <w:b w:val="0"/>
          <w:bCs w:val="0"/>
          <w:color w:val="333333"/>
          <w:kern w:val="0"/>
          <w:sz w:val="32"/>
          <w:szCs w:val="32"/>
          <w:lang w:val="en-US" w:eastAsia="zh-CN"/>
        </w:rPr>
        <w:t>33.2</w:t>
      </w:r>
      <w:r>
        <w:rPr>
          <w:rFonts w:hint="eastAsia" w:ascii="仿宋" w:hAnsi="仿宋" w:eastAsia="仿宋" w:cs="宋体"/>
          <w:b w:val="0"/>
          <w:bCs w:val="0"/>
          <w:color w:val="333333"/>
          <w:kern w:val="0"/>
          <w:sz w:val="32"/>
          <w:szCs w:val="32"/>
        </w:rPr>
        <w:t>%。</w:t>
      </w:r>
      <w:r>
        <w:rPr>
          <w:rFonts w:hint="eastAsia" w:ascii="仿宋" w:hAnsi="仿宋" w:eastAsia="仿宋" w:cs="宋体"/>
          <w:b w:val="0"/>
          <w:bCs w:val="0"/>
          <w:color w:val="333333"/>
          <w:kern w:val="0"/>
          <w:sz w:val="32"/>
          <w:szCs w:val="32"/>
          <w:lang w:eastAsia="zh-CN"/>
        </w:rPr>
        <w:t>其他收入</w:t>
      </w:r>
      <w:r>
        <w:rPr>
          <w:rFonts w:hint="eastAsia" w:ascii="仿宋" w:hAnsi="仿宋" w:eastAsia="仿宋" w:cs="宋体"/>
          <w:b w:val="0"/>
          <w:bCs w:val="0"/>
          <w:color w:val="333333"/>
          <w:kern w:val="0"/>
          <w:sz w:val="32"/>
          <w:szCs w:val="32"/>
          <w:lang w:val="en-US" w:eastAsia="zh-CN"/>
        </w:rPr>
        <w:t>120万元，</w:t>
      </w:r>
      <w:r>
        <w:rPr>
          <w:rFonts w:hint="eastAsia" w:ascii="仿宋" w:hAnsi="仿宋" w:eastAsia="仿宋" w:cs="宋体"/>
          <w:b w:val="0"/>
          <w:bCs w:val="0"/>
          <w:color w:val="333333"/>
          <w:kern w:val="0"/>
          <w:sz w:val="32"/>
          <w:szCs w:val="32"/>
        </w:rPr>
        <w:t>占收入预算总额的</w:t>
      </w:r>
      <w:r>
        <w:rPr>
          <w:rFonts w:hint="eastAsia" w:ascii="仿宋" w:hAnsi="仿宋" w:eastAsia="仿宋" w:cs="宋体"/>
          <w:b w:val="0"/>
          <w:bCs w:val="0"/>
          <w:color w:val="333333"/>
          <w:kern w:val="0"/>
          <w:sz w:val="32"/>
          <w:szCs w:val="32"/>
          <w:lang w:val="en-US" w:eastAsia="zh-CN"/>
        </w:rPr>
        <w:t>66.8</w:t>
      </w:r>
      <w:r>
        <w:rPr>
          <w:rFonts w:hint="eastAsia" w:ascii="仿宋" w:hAnsi="仿宋" w:eastAsia="仿宋" w:cs="宋体"/>
          <w:b w:val="0"/>
          <w:bCs w:val="0"/>
          <w:color w:val="333333"/>
          <w:kern w:val="0"/>
          <w:sz w:val="32"/>
          <w:szCs w:val="32"/>
        </w:rPr>
        <w:t>%</w:t>
      </w:r>
      <w:r>
        <w:rPr>
          <w:rFonts w:hint="eastAsia" w:ascii="仿宋" w:hAnsi="仿宋" w:eastAsia="仿宋" w:cs="宋体"/>
          <w:b w:val="0"/>
          <w:bCs w:val="0"/>
          <w:color w:val="333333"/>
          <w:kern w:val="0"/>
          <w:sz w:val="32"/>
          <w:szCs w:val="32"/>
          <w:lang w:eastAsia="zh-CN"/>
        </w:rPr>
        <w:t>。上年结转资金</w:t>
      </w:r>
      <w:r>
        <w:rPr>
          <w:rFonts w:hint="eastAsia" w:ascii="仿宋" w:hAnsi="仿宋" w:eastAsia="仿宋" w:cs="宋体"/>
          <w:b w:val="0"/>
          <w:bCs w:val="0"/>
          <w:color w:val="333333"/>
          <w:kern w:val="0"/>
          <w:sz w:val="32"/>
          <w:szCs w:val="32"/>
          <w:lang w:val="en-US" w:eastAsia="zh-CN"/>
        </w:rPr>
        <w:t>0万元，</w:t>
      </w:r>
      <w:r>
        <w:rPr>
          <w:rFonts w:hint="eastAsia" w:ascii="仿宋" w:hAnsi="仿宋" w:eastAsia="仿宋" w:cs="宋体"/>
          <w:b w:val="0"/>
          <w:bCs w:val="0"/>
          <w:color w:val="333333"/>
          <w:kern w:val="0"/>
          <w:sz w:val="32"/>
          <w:szCs w:val="32"/>
        </w:rPr>
        <w:t>占收入预算总额的</w:t>
      </w:r>
      <w:r>
        <w:rPr>
          <w:rFonts w:hint="eastAsia" w:ascii="仿宋" w:hAnsi="仿宋" w:eastAsia="仿宋" w:cs="宋体"/>
          <w:b w:val="0"/>
          <w:bCs w:val="0"/>
          <w:color w:val="333333"/>
          <w:kern w:val="0"/>
          <w:sz w:val="32"/>
          <w:szCs w:val="32"/>
          <w:lang w:val="en-US" w:eastAsia="zh-CN"/>
        </w:rPr>
        <w:t>0%。</w:t>
      </w:r>
    </w:p>
    <w:p>
      <w:pPr>
        <w:ind w:firstLine="643" w:firstLineChars="200"/>
        <w:rPr>
          <w:rStyle w:val="15"/>
          <w:rFonts w:hint="eastAsia" w:ascii="楷体_GB2312" w:hAnsi="楷体_GB2312" w:eastAsia="楷体_GB2312" w:cs="楷体_GB2312"/>
          <w:b/>
          <w:bCs w:val="0"/>
          <w:sz w:val="32"/>
          <w:szCs w:val="32"/>
          <w:lang w:eastAsia="zh-CN"/>
        </w:rPr>
      </w:pPr>
      <w:r>
        <w:rPr>
          <w:rStyle w:val="15"/>
          <w:rFonts w:hint="eastAsia" w:ascii="楷体_GB2312" w:hAnsi="楷体_GB2312" w:eastAsia="楷体_GB2312" w:cs="楷体_GB2312"/>
          <w:b/>
          <w:bCs w:val="0"/>
          <w:sz w:val="32"/>
          <w:szCs w:val="32"/>
          <w:lang w:eastAsia="zh-CN"/>
        </w:rPr>
        <w:t>（二）预算支出情况</w:t>
      </w:r>
    </w:p>
    <w:p>
      <w:pPr>
        <w:widowControl/>
        <w:shd w:val="clear" w:color="auto" w:fill="FFFFFF"/>
        <w:spacing w:line="580" w:lineRule="atLeast"/>
        <w:ind w:firstLine="640"/>
        <w:jc w:val="left"/>
        <w:rPr>
          <w:rFonts w:hint="eastAsia" w:ascii="仿宋" w:hAnsi="仿宋" w:eastAsia="仿宋" w:cs="宋体"/>
          <w:b w:val="0"/>
          <w:bCs w:val="0"/>
          <w:color w:val="333333"/>
          <w:kern w:val="0"/>
          <w:sz w:val="32"/>
          <w:szCs w:val="32"/>
          <w:lang w:val="en-US" w:eastAsia="zh-CN"/>
        </w:rPr>
      </w:pPr>
      <w:r>
        <w:rPr>
          <w:rFonts w:hint="eastAsia" w:ascii="仿宋" w:hAnsi="仿宋" w:eastAsia="仿宋" w:cs="宋体"/>
          <w:b w:val="0"/>
          <w:bCs w:val="0"/>
          <w:color w:val="333333"/>
          <w:kern w:val="0"/>
          <w:sz w:val="32"/>
          <w:szCs w:val="32"/>
          <w:lang w:val="en-US" w:eastAsia="zh-CN"/>
        </w:rPr>
        <w:t>2024年支出预算总额为179.71万元。其中：按支出项目类别划分：基本支出178.9万元，占支出预算总额的81.2</w:t>
      </w:r>
      <w:r>
        <w:rPr>
          <w:rFonts w:hint="eastAsia" w:ascii="仿宋" w:hAnsi="仿宋" w:eastAsia="仿宋" w:cs="宋体"/>
          <w:b w:val="0"/>
          <w:bCs w:val="0"/>
          <w:color w:val="333333"/>
          <w:kern w:val="0"/>
          <w:sz w:val="32"/>
          <w:szCs w:val="32"/>
        </w:rPr>
        <w:t>%</w:t>
      </w:r>
      <w:r>
        <w:rPr>
          <w:rFonts w:hint="eastAsia" w:ascii="仿宋" w:hAnsi="仿宋" w:eastAsia="仿宋" w:cs="宋体"/>
          <w:b w:val="0"/>
          <w:bCs w:val="0"/>
          <w:color w:val="333333"/>
          <w:kern w:val="0"/>
          <w:sz w:val="32"/>
          <w:szCs w:val="32"/>
          <w:lang w:val="en-US" w:eastAsia="zh-CN"/>
        </w:rPr>
        <w:t>，其中：工资福利支出55.3万元、对个人和家庭的补助0.12万元。公用经费支出2.1万元，占支出预算总额2.2%，其中：商品和服务支出6.01万元；项目支出0.81万元，占支出预算总额0.8%。</w:t>
      </w:r>
    </w:p>
    <w:p>
      <w:pPr>
        <w:widowControl/>
        <w:shd w:val="clear" w:color="auto" w:fill="FFFFFF"/>
        <w:spacing w:line="580" w:lineRule="atLeast"/>
        <w:ind w:firstLine="640"/>
        <w:jc w:val="left"/>
        <w:rPr>
          <w:rFonts w:hint="eastAsia" w:ascii="仿宋" w:hAnsi="仿宋" w:eastAsia="仿宋" w:cs="宋体"/>
          <w:b w:val="0"/>
          <w:bCs w:val="0"/>
          <w:color w:val="333333"/>
          <w:kern w:val="0"/>
          <w:sz w:val="32"/>
          <w:szCs w:val="32"/>
          <w:lang w:val="en-US" w:eastAsia="zh-CN"/>
        </w:rPr>
      </w:pPr>
      <w:r>
        <w:rPr>
          <w:rFonts w:hint="eastAsia" w:ascii="仿宋_GB2312" w:hAnsi="仿宋_GB2312" w:eastAsia="仿宋_GB2312" w:cs="仿宋_GB2312"/>
          <w:b w:val="0"/>
          <w:bCs w:val="0"/>
          <w:color w:val="333333"/>
          <w:kern w:val="0"/>
          <w:sz w:val="32"/>
          <w:szCs w:val="32"/>
        </w:rPr>
        <w:t>其中：按支出项目类别划分：</w:t>
      </w:r>
      <w:r>
        <w:rPr>
          <w:rFonts w:hint="eastAsia" w:ascii="仿宋" w:hAnsi="仿宋" w:eastAsia="仿宋" w:cs="宋体"/>
          <w:b w:val="0"/>
          <w:bCs w:val="0"/>
          <w:color w:val="333333"/>
          <w:kern w:val="0"/>
          <w:sz w:val="32"/>
          <w:szCs w:val="32"/>
          <w:lang w:val="en-US" w:eastAsia="zh-CN"/>
        </w:rPr>
        <w:t>基本支出178.9万元，占支出预算总额的81.2</w:t>
      </w:r>
      <w:r>
        <w:rPr>
          <w:rFonts w:hint="eastAsia" w:ascii="仿宋" w:hAnsi="仿宋" w:eastAsia="仿宋" w:cs="宋体"/>
          <w:b w:val="0"/>
          <w:bCs w:val="0"/>
          <w:color w:val="333333"/>
          <w:kern w:val="0"/>
          <w:sz w:val="32"/>
          <w:szCs w:val="32"/>
        </w:rPr>
        <w:t>%</w:t>
      </w:r>
      <w:r>
        <w:rPr>
          <w:rFonts w:hint="eastAsia" w:ascii="仿宋" w:hAnsi="仿宋" w:eastAsia="仿宋" w:cs="宋体"/>
          <w:b w:val="0"/>
          <w:bCs w:val="0"/>
          <w:color w:val="333333"/>
          <w:kern w:val="0"/>
          <w:sz w:val="32"/>
          <w:szCs w:val="32"/>
          <w:lang w:val="en-US" w:eastAsia="zh-CN"/>
        </w:rPr>
        <w:t>，其中：工资福利支出55.3万元、对个人和家庭的补助0.12万元。公用经费支出2.1万元，占支出预算总额2.2%，其中：商品和服务支出6.01万元；项目支出0.81万元，占支出预算总额0.8%。</w:t>
      </w:r>
    </w:p>
    <w:p>
      <w:pPr>
        <w:widowControl/>
        <w:shd w:val="clear" w:color="auto" w:fill="FFFFFF"/>
        <w:spacing w:line="580" w:lineRule="atLeast"/>
        <w:ind w:firstLine="640"/>
        <w:jc w:val="left"/>
        <w:rPr>
          <w:rFonts w:hint="eastAsia" w:ascii="仿宋" w:hAnsi="仿宋" w:eastAsia="仿宋" w:cs="宋体"/>
          <w:b w:val="0"/>
          <w:bCs w:val="0"/>
          <w:color w:val="333333"/>
          <w:kern w:val="0"/>
          <w:sz w:val="32"/>
          <w:szCs w:val="32"/>
          <w:lang w:val="en-US" w:eastAsia="zh-CN"/>
        </w:rPr>
      </w:pPr>
    </w:p>
    <w:p>
      <w:pPr>
        <w:widowControl/>
        <w:shd w:val="clear" w:color="auto" w:fill="FFFFFF"/>
        <w:spacing w:line="600" w:lineRule="atLeast"/>
        <w:ind w:firstLine="640"/>
        <w:jc w:val="left"/>
        <w:rPr>
          <w:rFonts w:hint="eastAsia" w:ascii="仿宋_GB2312" w:hAnsi="仿宋_GB2312" w:eastAsia="仿宋_GB2312" w:cs="仿宋_GB2312"/>
          <w:b w:val="0"/>
          <w:bCs w:val="0"/>
          <w:color w:val="333333"/>
          <w:kern w:val="0"/>
          <w:sz w:val="32"/>
          <w:szCs w:val="32"/>
          <w:lang w:val="en-US" w:eastAsia="zh-CN"/>
        </w:rPr>
      </w:pPr>
    </w:p>
    <w:p>
      <w:pPr>
        <w:ind w:firstLine="640" w:firstLineChars="200"/>
        <w:rPr>
          <w:rFonts w:hint="default" w:ascii="仿宋_GB2312" w:eastAsia="仿宋_GB2312" w:cs="Times New Roman"/>
          <w:sz w:val="32"/>
          <w:szCs w:val="32"/>
          <w:lang w:val="en-US" w:eastAsia="zh-CN"/>
        </w:rPr>
      </w:pPr>
      <w:r>
        <w:rPr>
          <w:rFonts w:hint="eastAsia" w:ascii="仿宋_GB2312" w:hAnsi="宋体" w:eastAsia="仿宋_GB2312" w:cs="仿宋_GB2312"/>
          <w:sz w:val="32"/>
          <w:szCs w:val="32"/>
        </w:rPr>
        <w:t>按支出功能项目科目划分：</w:t>
      </w:r>
      <w:r>
        <w:rPr>
          <w:rFonts w:hint="eastAsia" w:ascii="仿宋_GB2312" w:hAnsi="宋体" w:eastAsia="仿宋_GB2312" w:cs="仿宋_GB2312"/>
          <w:sz w:val="32"/>
          <w:szCs w:val="32"/>
          <w:lang w:val="en-US" w:eastAsia="zh-CN"/>
        </w:rPr>
        <w:t>社会保障和就业支出5.94万元</w:t>
      </w:r>
      <w:r>
        <w:rPr>
          <w:rFonts w:hint="eastAsia" w:ascii="仿宋_GB2312" w:hAnsi="宋体" w:eastAsia="仿宋_GB2312" w:cs="仿宋_GB2312"/>
          <w:sz w:val="32"/>
          <w:szCs w:val="32"/>
        </w:rPr>
        <w:t>，占支出预算总额的</w:t>
      </w:r>
      <w:r>
        <w:rPr>
          <w:rFonts w:hint="eastAsia" w:ascii="仿宋_GB2312" w:hAnsi="宋体" w:eastAsia="仿宋_GB2312" w:cs="仿宋_GB2312"/>
          <w:sz w:val="32"/>
          <w:szCs w:val="32"/>
          <w:lang w:val="en-US" w:eastAsia="zh-CN"/>
        </w:rPr>
        <w:t>4.42</w:t>
      </w:r>
      <w:r>
        <w:rPr>
          <w:rFonts w:ascii="仿宋_GB2312" w:hAnsi="宋体" w:eastAsia="仿宋_GB2312" w:cs="仿宋_GB2312"/>
          <w:sz w:val="32"/>
          <w:szCs w:val="32"/>
        </w:rPr>
        <w:t>%</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val="en-US" w:eastAsia="zh-CN"/>
        </w:rPr>
        <w:t>卫生健康支出1.98万元，</w:t>
      </w:r>
      <w:r>
        <w:rPr>
          <w:rFonts w:hint="eastAsia" w:ascii="仿宋_GB2312" w:hAnsi="宋体" w:eastAsia="仿宋_GB2312" w:cs="仿宋_GB2312"/>
          <w:sz w:val="32"/>
          <w:szCs w:val="32"/>
        </w:rPr>
        <w:t>占支出预算总额的</w:t>
      </w:r>
      <w:r>
        <w:rPr>
          <w:rFonts w:hint="eastAsia" w:ascii="仿宋_GB2312" w:hAnsi="宋体" w:eastAsia="仿宋_GB2312" w:cs="仿宋_GB2312"/>
          <w:sz w:val="32"/>
          <w:szCs w:val="32"/>
          <w:lang w:val="en-US" w:eastAsia="zh-CN"/>
        </w:rPr>
        <w:t>1.42</w:t>
      </w:r>
      <w:r>
        <w:rPr>
          <w:rFonts w:ascii="仿宋_GB2312" w:hAnsi="宋体" w:eastAsia="仿宋_GB2312" w:cs="仿宋_GB2312"/>
          <w:sz w:val="32"/>
          <w:szCs w:val="32"/>
        </w:rPr>
        <w:t>%</w:t>
      </w:r>
      <w:r>
        <w:rPr>
          <w:rFonts w:hint="eastAsia" w:ascii="仿宋_GB2312" w:hAnsi="宋体" w:eastAsia="仿宋_GB2312" w:cs="仿宋_GB2312"/>
          <w:sz w:val="32"/>
          <w:szCs w:val="32"/>
          <w:lang w:val="en-US" w:eastAsia="zh-CN"/>
        </w:rPr>
        <w:t>；住房保障支出3.05万元，</w:t>
      </w:r>
      <w:r>
        <w:rPr>
          <w:rFonts w:hint="eastAsia" w:ascii="仿宋_GB2312" w:hAnsi="宋体" w:eastAsia="仿宋_GB2312" w:cs="仿宋_GB2312"/>
          <w:sz w:val="32"/>
          <w:szCs w:val="32"/>
        </w:rPr>
        <w:t>占支出预算总额的</w:t>
      </w:r>
      <w:r>
        <w:rPr>
          <w:rFonts w:hint="eastAsia" w:ascii="仿宋_GB2312" w:hAnsi="宋体" w:eastAsia="仿宋_GB2312" w:cs="仿宋_GB2312"/>
          <w:sz w:val="32"/>
          <w:szCs w:val="32"/>
          <w:lang w:val="en-US" w:eastAsia="zh-CN"/>
        </w:rPr>
        <w:t>3.36%；农林水支出168.74万元。占支出预算总额的82.87%。</w:t>
      </w:r>
    </w:p>
    <w:p>
      <w:pPr>
        <w:widowControl/>
        <w:shd w:val="clear" w:color="auto" w:fill="FFFFFF"/>
        <w:spacing w:line="580" w:lineRule="atLeast"/>
        <w:ind w:firstLine="640"/>
        <w:jc w:val="left"/>
        <w:rPr>
          <w:rFonts w:hint="eastAsia" w:ascii="仿宋" w:hAnsi="仿宋" w:eastAsia="仿宋" w:cs="宋体"/>
          <w:b w:val="0"/>
          <w:bCs w:val="0"/>
          <w:color w:val="333333"/>
          <w:kern w:val="0"/>
          <w:sz w:val="32"/>
          <w:szCs w:val="32"/>
          <w:lang w:val="en-US" w:eastAsia="zh-CN"/>
        </w:rPr>
      </w:pPr>
      <w:r>
        <w:rPr>
          <w:rFonts w:hint="eastAsia" w:ascii="仿宋_GB2312" w:hAnsi="仿宋_GB2312" w:eastAsia="仿宋_GB2312" w:cs="仿宋_GB2312"/>
          <w:b w:val="0"/>
          <w:bCs w:val="0"/>
          <w:color w:val="333333"/>
          <w:kern w:val="0"/>
          <w:sz w:val="32"/>
          <w:szCs w:val="32"/>
        </w:rPr>
        <w:t>其中：</w:t>
      </w:r>
      <w:r>
        <w:rPr>
          <w:rFonts w:hint="eastAsia" w:ascii="仿宋" w:hAnsi="仿宋" w:eastAsia="仿宋" w:cs="宋体"/>
          <w:b w:val="0"/>
          <w:bCs w:val="0"/>
          <w:color w:val="333333"/>
          <w:kern w:val="0"/>
          <w:sz w:val="32"/>
          <w:szCs w:val="32"/>
          <w:lang w:val="en-US" w:eastAsia="zh-CN"/>
        </w:rPr>
        <w:t>按支出项目类别划分：基本支出</w:t>
      </w:r>
      <w:r>
        <w:rPr>
          <w:rFonts w:hint="eastAsia" w:ascii="仿宋" w:hAnsi="仿宋" w:eastAsia="仿宋" w:cs="宋体"/>
          <w:b w:val="0"/>
          <w:bCs w:val="0"/>
          <w:color w:val="0000FF"/>
          <w:kern w:val="0"/>
          <w:sz w:val="32"/>
          <w:szCs w:val="32"/>
          <w:lang w:val="en-US" w:eastAsia="zh-CN"/>
        </w:rPr>
        <w:t>178.9</w:t>
      </w:r>
      <w:r>
        <w:rPr>
          <w:rFonts w:hint="eastAsia" w:ascii="仿宋" w:hAnsi="仿宋" w:eastAsia="仿宋" w:cs="宋体"/>
          <w:b w:val="0"/>
          <w:bCs w:val="0"/>
          <w:color w:val="333333"/>
          <w:kern w:val="0"/>
          <w:sz w:val="32"/>
          <w:szCs w:val="32"/>
          <w:lang w:val="en-US" w:eastAsia="zh-CN"/>
        </w:rPr>
        <w:t>万元，占支出预算总额的99.5</w:t>
      </w:r>
      <w:r>
        <w:rPr>
          <w:rFonts w:hint="eastAsia" w:ascii="仿宋" w:hAnsi="仿宋" w:eastAsia="仿宋" w:cs="宋体"/>
          <w:b w:val="0"/>
          <w:bCs w:val="0"/>
          <w:color w:val="333333"/>
          <w:kern w:val="0"/>
          <w:sz w:val="32"/>
          <w:szCs w:val="32"/>
        </w:rPr>
        <w:t>%</w:t>
      </w:r>
      <w:r>
        <w:rPr>
          <w:rFonts w:hint="eastAsia" w:ascii="仿宋" w:hAnsi="仿宋" w:eastAsia="仿宋" w:cs="宋体"/>
          <w:b w:val="0"/>
          <w:bCs w:val="0"/>
          <w:color w:val="333333"/>
          <w:kern w:val="0"/>
          <w:sz w:val="32"/>
          <w:szCs w:val="32"/>
          <w:lang w:val="en-US" w:eastAsia="zh-CN"/>
        </w:rPr>
        <w:t>，其中：工资福利支出55.18万元、对个人和家庭的补助0.12万元。公用经费支出2.10万元，占支出预算总额6.1%，其中：商品和服务支出2.10万元；项目支出0.81万元，占支出预算总额0.05%。</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5"/>
          <w:rFonts w:hint="eastAsia" w:ascii="楷体_GB2312" w:hAnsi="楷体_GB2312" w:eastAsia="楷体_GB2312" w:cs="楷体_GB2312"/>
          <w:b/>
          <w:bCs w:val="0"/>
          <w:sz w:val="32"/>
          <w:szCs w:val="32"/>
          <w:lang w:eastAsia="zh-CN"/>
        </w:rPr>
      </w:pPr>
      <w:r>
        <w:rPr>
          <w:rStyle w:val="15"/>
          <w:rFonts w:hint="eastAsia" w:ascii="楷体_GB2312" w:hAnsi="楷体_GB2312" w:eastAsia="楷体_GB2312" w:cs="楷体_GB2312"/>
          <w:b/>
          <w:bCs w:val="0"/>
          <w:sz w:val="32"/>
          <w:szCs w:val="32"/>
          <w:lang w:eastAsia="zh-CN"/>
        </w:rPr>
        <w:t>（三）财政拨款支出情况</w:t>
      </w:r>
    </w:p>
    <w:p>
      <w:pPr>
        <w:ind w:firstLine="640" w:firstLineChars="200"/>
        <w:rPr>
          <w:rFonts w:hint="default" w:ascii="仿宋_GB2312" w:eastAsia="仿宋_GB2312" w:cs="Times New Roman"/>
          <w:sz w:val="32"/>
          <w:szCs w:val="32"/>
          <w:lang w:val="en-US" w:eastAsia="zh-CN"/>
        </w:rPr>
      </w:pPr>
      <w:r>
        <w:rPr>
          <w:rFonts w:hint="eastAsia" w:ascii="仿宋_GB2312" w:hAnsi="仿宋_GB2312" w:eastAsia="仿宋_GB2312" w:cs="仿宋_GB2312"/>
          <w:b w:val="0"/>
          <w:bCs w:val="0"/>
          <w:color w:val="333333"/>
          <w:kern w:val="0"/>
          <w:sz w:val="32"/>
          <w:szCs w:val="32"/>
          <w:lang w:eastAsia="zh-CN"/>
        </w:rPr>
        <w:t>2024</w:t>
      </w:r>
      <w:r>
        <w:rPr>
          <w:rFonts w:hint="eastAsia" w:ascii="仿宋_GB2312" w:hAnsi="仿宋_GB2312" w:eastAsia="仿宋_GB2312" w:cs="仿宋_GB2312"/>
          <w:b w:val="0"/>
          <w:bCs w:val="0"/>
          <w:color w:val="333333"/>
          <w:kern w:val="0"/>
          <w:sz w:val="32"/>
          <w:szCs w:val="32"/>
        </w:rPr>
        <w:t>年区</w:t>
      </w:r>
      <w:r>
        <w:rPr>
          <w:rFonts w:hint="eastAsia" w:ascii="仿宋_GB2312" w:hAnsi="仿宋_GB2312" w:eastAsia="仿宋_GB2312" w:cs="仿宋_GB2312"/>
          <w:b w:val="0"/>
          <w:bCs w:val="0"/>
          <w:color w:val="333333"/>
          <w:kern w:val="0"/>
          <w:sz w:val="32"/>
          <w:szCs w:val="32"/>
          <w:lang w:eastAsia="zh-CN"/>
        </w:rPr>
        <w:t>委水政大队</w:t>
      </w:r>
      <w:r>
        <w:rPr>
          <w:rFonts w:hint="eastAsia" w:ascii="仿宋_GB2312" w:hAnsi="仿宋_GB2312" w:eastAsia="仿宋_GB2312" w:cs="仿宋_GB2312"/>
          <w:b w:val="0"/>
          <w:bCs w:val="0"/>
          <w:color w:val="333333"/>
          <w:kern w:val="0"/>
          <w:sz w:val="32"/>
          <w:szCs w:val="32"/>
        </w:rPr>
        <w:t>财政拨款支出预算数总额</w:t>
      </w:r>
      <w:r>
        <w:rPr>
          <w:rFonts w:hint="eastAsia" w:ascii="仿宋_GB2312" w:hAnsi="仿宋_GB2312" w:eastAsia="仿宋_GB2312" w:cs="仿宋_GB2312"/>
          <w:b w:val="0"/>
          <w:bCs w:val="0"/>
          <w:color w:val="auto"/>
          <w:kern w:val="0"/>
          <w:sz w:val="32"/>
          <w:szCs w:val="32"/>
          <w:lang w:val="en-US" w:eastAsia="zh-CN"/>
        </w:rPr>
        <w:t>179.71</w:t>
      </w:r>
      <w:r>
        <w:rPr>
          <w:rFonts w:hint="eastAsia" w:ascii="仿宋_GB2312" w:hAnsi="仿宋_GB2312" w:eastAsia="仿宋_GB2312" w:cs="仿宋_GB2312"/>
          <w:b w:val="0"/>
          <w:bCs w:val="0"/>
          <w:color w:val="auto"/>
          <w:kern w:val="0"/>
          <w:sz w:val="32"/>
          <w:szCs w:val="32"/>
        </w:rPr>
        <w:t>万</w:t>
      </w:r>
      <w:r>
        <w:rPr>
          <w:rFonts w:hint="eastAsia" w:ascii="仿宋_GB2312" w:hAnsi="仿宋_GB2312" w:eastAsia="仿宋_GB2312" w:cs="仿宋_GB2312"/>
          <w:b w:val="0"/>
          <w:bCs w:val="0"/>
          <w:color w:val="333333"/>
          <w:kern w:val="0"/>
          <w:sz w:val="32"/>
          <w:szCs w:val="32"/>
        </w:rPr>
        <w:t>元</w:t>
      </w:r>
      <w:r>
        <w:rPr>
          <w:rFonts w:hint="eastAsia" w:ascii="仿宋_GB2312" w:hAnsi="仿宋_GB2312" w:eastAsia="仿宋_GB2312" w:cs="仿宋_GB2312"/>
          <w:b w:val="0"/>
          <w:bCs w:val="0"/>
          <w:color w:val="333333"/>
          <w:kern w:val="0"/>
          <w:sz w:val="32"/>
          <w:szCs w:val="32"/>
          <w:lang w:eastAsia="zh-CN"/>
        </w:rPr>
        <w:t>，较上年</w:t>
      </w:r>
      <w:r>
        <w:rPr>
          <w:rFonts w:hint="eastAsia" w:ascii="仿宋_GB2312" w:hAnsi="仿宋_GB2312" w:eastAsia="仿宋_GB2312" w:cs="仿宋_GB2312"/>
          <w:b w:val="0"/>
          <w:bCs w:val="0"/>
          <w:color w:val="333333"/>
          <w:kern w:val="0"/>
          <w:sz w:val="32"/>
          <w:szCs w:val="32"/>
          <w:lang w:val="en-US" w:eastAsia="zh-CN"/>
        </w:rPr>
        <w:t>增长1.78%。</w:t>
      </w:r>
      <w:r>
        <w:rPr>
          <w:rFonts w:hint="eastAsia" w:ascii="仿宋_GB2312" w:hAnsi="仿宋_GB2312" w:eastAsia="仿宋_GB2312" w:cs="仿宋_GB2312"/>
          <w:b w:val="0"/>
          <w:bCs w:val="0"/>
          <w:color w:val="333333"/>
          <w:kern w:val="0"/>
          <w:sz w:val="32"/>
          <w:szCs w:val="32"/>
        </w:rPr>
        <w:t>具体支出情况是：</w:t>
      </w:r>
      <w:r>
        <w:rPr>
          <w:rFonts w:hint="eastAsia" w:ascii="仿宋_GB2312" w:hAnsi="宋体" w:eastAsia="仿宋_GB2312" w:cs="仿宋_GB2312"/>
          <w:sz w:val="32"/>
          <w:szCs w:val="32"/>
          <w:lang w:val="en-US" w:eastAsia="zh-CN"/>
        </w:rPr>
        <w:t>社会保障和就业支出5.94万元</w:t>
      </w:r>
      <w:r>
        <w:rPr>
          <w:rFonts w:hint="eastAsia" w:ascii="仿宋_GB2312" w:hAnsi="宋体" w:eastAsia="仿宋_GB2312" w:cs="仿宋_GB2312"/>
          <w:sz w:val="32"/>
          <w:szCs w:val="32"/>
        </w:rPr>
        <w:t>，占支出预算总额的</w:t>
      </w:r>
      <w:r>
        <w:rPr>
          <w:rFonts w:hint="eastAsia" w:ascii="仿宋_GB2312" w:hAnsi="宋体" w:eastAsia="仿宋_GB2312" w:cs="仿宋_GB2312"/>
          <w:sz w:val="32"/>
          <w:szCs w:val="32"/>
          <w:lang w:val="en-US" w:eastAsia="zh-CN"/>
        </w:rPr>
        <w:t>3.42</w:t>
      </w:r>
      <w:r>
        <w:rPr>
          <w:rFonts w:ascii="仿宋_GB2312" w:hAnsi="宋体" w:eastAsia="仿宋_GB2312" w:cs="仿宋_GB2312"/>
          <w:sz w:val="32"/>
          <w:szCs w:val="32"/>
        </w:rPr>
        <w:t>%</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val="en-US" w:eastAsia="zh-CN"/>
        </w:rPr>
        <w:t>卫生健康支出1.98万元，</w:t>
      </w:r>
      <w:r>
        <w:rPr>
          <w:rFonts w:hint="eastAsia" w:ascii="仿宋_GB2312" w:hAnsi="宋体" w:eastAsia="仿宋_GB2312" w:cs="仿宋_GB2312"/>
          <w:sz w:val="32"/>
          <w:szCs w:val="32"/>
        </w:rPr>
        <w:t>占支出预算总额的</w:t>
      </w:r>
      <w:r>
        <w:rPr>
          <w:rFonts w:hint="eastAsia" w:ascii="仿宋_GB2312" w:hAnsi="宋体" w:eastAsia="仿宋_GB2312" w:cs="仿宋_GB2312"/>
          <w:sz w:val="32"/>
          <w:szCs w:val="32"/>
          <w:lang w:val="en-US" w:eastAsia="zh-CN"/>
        </w:rPr>
        <w:t>1.42</w:t>
      </w:r>
      <w:r>
        <w:rPr>
          <w:rFonts w:ascii="仿宋_GB2312" w:hAnsi="宋体" w:eastAsia="仿宋_GB2312" w:cs="仿宋_GB2312"/>
          <w:sz w:val="32"/>
          <w:szCs w:val="32"/>
        </w:rPr>
        <w:t>%</w:t>
      </w:r>
      <w:r>
        <w:rPr>
          <w:rFonts w:hint="eastAsia" w:ascii="仿宋_GB2312" w:hAnsi="宋体" w:eastAsia="仿宋_GB2312" w:cs="仿宋_GB2312"/>
          <w:sz w:val="32"/>
          <w:szCs w:val="32"/>
          <w:lang w:val="en-US" w:eastAsia="zh-CN"/>
        </w:rPr>
        <w:t>；住房保障支出3.05万元，</w:t>
      </w:r>
      <w:r>
        <w:rPr>
          <w:rFonts w:hint="eastAsia" w:ascii="仿宋_GB2312" w:hAnsi="宋体" w:eastAsia="仿宋_GB2312" w:cs="仿宋_GB2312"/>
          <w:sz w:val="32"/>
          <w:szCs w:val="32"/>
        </w:rPr>
        <w:t>占支出预算总额的</w:t>
      </w:r>
      <w:r>
        <w:rPr>
          <w:rFonts w:hint="eastAsia" w:ascii="仿宋_GB2312" w:hAnsi="宋体" w:eastAsia="仿宋_GB2312" w:cs="仿宋_GB2312"/>
          <w:sz w:val="32"/>
          <w:szCs w:val="32"/>
          <w:lang w:val="en-US" w:eastAsia="zh-CN"/>
        </w:rPr>
        <w:t>3.36%；农林水支出168.74万元，85.87%。</w:t>
      </w:r>
    </w:p>
    <w:p>
      <w:pPr>
        <w:ind w:firstLine="640" w:firstLineChars="200"/>
        <w:rPr>
          <w:rFonts w:hint="default" w:ascii="仿宋_GB2312" w:eastAsia="仿宋_GB2312" w:cs="Times New Roman"/>
          <w:sz w:val="32"/>
          <w:szCs w:val="32"/>
          <w:lang w:val="en-US" w:eastAsia="zh-CN"/>
        </w:rPr>
      </w:pPr>
    </w:p>
    <w:p>
      <w:pPr>
        <w:widowControl/>
        <w:shd w:val="clear" w:color="auto" w:fill="FFFFFF"/>
        <w:spacing w:line="600" w:lineRule="atLeast"/>
        <w:ind w:firstLine="630"/>
        <w:jc w:val="left"/>
        <w:rPr>
          <w:rFonts w:hint="default" w:ascii="仿宋_GB2312" w:hAnsi="仿宋_GB2312" w:eastAsia="仿宋_GB2312" w:cs="仿宋_GB2312"/>
          <w:b w:val="0"/>
          <w:bCs w:val="0"/>
          <w:color w:val="333333"/>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5"/>
          <w:rFonts w:hint="eastAsia" w:ascii="楷体_GB2312" w:hAnsi="楷体_GB2312" w:eastAsia="楷体_GB2312" w:cs="楷体_GB2312"/>
          <w:b/>
          <w:bCs w:val="0"/>
          <w:sz w:val="32"/>
          <w:szCs w:val="32"/>
        </w:rPr>
      </w:pPr>
      <w:r>
        <w:rPr>
          <w:rStyle w:val="15"/>
          <w:rFonts w:hint="eastAsia" w:ascii="楷体_GB2312" w:hAnsi="楷体_GB2312" w:eastAsia="楷体_GB2312" w:cs="楷体_GB2312"/>
          <w:b/>
          <w:bCs w:val="0"/>
          <w:sz w:val="32"/>
          <w:szCs w:val="32"/>
          <w:lang w:eastAsia="zh-CN"/>
        </w:rPr>
        <w:t>（</w:t>
      </w:r>
      <w:r>
        <w:rPr>
          <w:rStyle w:val="15"/>
          <w:rFonts w:hint="eastAsia" w:ascii="楷体_GB2312" w:hAnsi="楷体_GB2312" w:eastAsia="楷体_GB2312" w:cs="楷体_GB2312"/>
          <w:b/>
          <w:bCs w:val="0"/>
          <w:sz w:val="32"/>
          <w:szCs w:val="32"/>
        </w:rPr>
        <w:t>四</w:t>
      </w:r>
      <w:r>
        <w:rPr>
          <w:rStyle w:val="15"/>
          <w:rFonts w:hint="eastAsia" w:ascii="楷体_GB2312" w:hAnsi="楷体_GB2312" w:eastAsia="楷体_GB2312" w:cs="楷体_GB2312"/>
          <w:b/>
          <w:bCs w:val="0"/>
          <w:sz w:val="32"/>
          <w:szCs w:val="32"/>
          <w:lang w:eastAsia="zh-CN"/>
        </w:rPr>
        <w:t>）</w:t>
      </w:r>
      <w:r>
        <w:rPr>
          <w:rStyle w:val="15"/>
          <w:rFonts w:hint="eastAsia" w:ascii="楷体_GB2312" w:hAnsi="楷体_GB2312" w:eastAsia="楷体_GB2312" w:cs="楷体_GB2312"/>
          <w:b/>
          <w:bCs w:val="0"/>
          <w:sz w:val="32"/>
          <w:szCs w:val="32"/>
        </w:rPr>
        <w:t>政府性基金情况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${page400644146.ds215660413_REP_BGT_T_HC1100002019_DXQ02_JBZCQKJJ}</w:instrTex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${page400644146.ds215660413_REP_BGT_T_HC1100002019_DXQ02_XMZCQKJJ}</w:instrText>
      </w:r>
      <w:r>
        <w:rPr>
          <w:rFonts w:hint="eastAsia" w:ascii="仿宋_GB2312" w:hAnsi="仿宋_GB2312" w:eastAsia="仿宋_GB2312" w:cs="仿宋_GB2312"/>
          <w:kern w:val="2"/>
          <w:sz w:val="32"/>
          <w:szCs w:val="30"/>
          <w:lang w:val="en-US" w:eastAsia="zh-CN" w:bidi="ar-SA"/>
        </w:rPr>
        <w:fldChar w:fldCharType="end"/>
      </w:r>
    </w:p>
    <w:p>
      <w:pPr>
        <w:widowControl/>
        <w:shd w:val="clear" w:color="auto" w:fill="FFFFFF"/>
        <w:spacing w:line="580" w:lineRule="atLeast"/>
        <w:ind w:firstLine="640"/>
        <w:jc w:val="left"/>
        <w:rPr>
          <w:rFonts w:hint="eastAsia" w:ascii="仿宋_GB2312" w:hAnsi="仿宋_GB2312" w:eastAsia="仿宋_GB2312" w:cs="仿宋_GB2312"/>
          <w:b w:val="0"/>
          <w:bCs w:val="0"/>
          <w:color w:val="333333"/>
          <w:kern w:val="0"/>
          <w:sz w:val="32"/>
          <w:szCs w:val="32"/>
          <w:lang w:val="en-US" w:eastAsia="zh-CN"/>
        </w:rPr>
      </w:pPr>
      <w:r>
        <w:rPr>
          <w:rFonts w:hint="eastAsia" w:ascii="仿宋_GB2312" w:hAnsi="仿宋_GB2312" w:eastAsia="仿宋_GB2312" w:cs="仿宋_GB2312"/>
          <w:b w:val="0"/>
          <w:bCs w:val="0"/>
          <w:color w:val="333333"/>
          <w:kern w:val="0"/>
          <w:sz w:val="32"/>
          <w:szCs w:val="32"/>
        </w:rPr>
        <w:t>本部门没有使用政府性基金预算拨款安排的支出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5"/>
          <w:rFonts w:hint="eastAsia" w:ascii="楷体_GB2312" w:hAnsi="楷体_GB2312" w:eastAsia="楷体_GB2312" w:cs="楷体_GB2312"/>
          <w:b/>
          <w:bCs w:val="0"/>
          <w:sz w:val="32"/>
          <w:szCs w:val="32"/>
        </w:rPr>
      </w:pPr>
      <w:r>
        <w:rPr>
          <w:rStyle w:val="15"/>
          <w:rFonts w:hint="eastAsia" w:ascii="楷体_GB2312" w:hAnsi="楷体_GB2312" w:eastAsia="楷体_GB2312" w:cs="楷体_GB2312"/>
          <w:b/>
          <w:bCs w:val="0"/>
          <w:sz w:val="32"/>
          <w:szCs w:val="32"/>
        </w:rPr>
        <w:t>（五）国有资本经营情况</w:t>
      </w:r>
    </w:p>
    <w:p>
      <w:pPr>
        <w:widowControl/>
        <w:shd w:val="clear" w:color="auto" w:fill="FFFFFF"/>
        <w:spacing w:line="580" w:lineRule="atLeast"/>
        <w:ind w:firstLine="640"/>
        <w:jc w:val="left"/>
        <w:rPr>
          <w:rFonts w:hint="eastAsia" w:ascii="仿宋_GB2312" w:hAnsi="仿宋_GB2312" w:eastAsia="仿宋_GB2312" w:cs="仿宋_GB2312"/>
          <w:b w:val="0"/>
          <w:bCs w:val="0"/>
          <w:color w:val="333333"/>
          <w:kern w:val="0"/>
          <w:sz w:val="32"/>
          <w:szCs w:val="32"/>
          <w:lang w:eastAsia="zh-CN"/>
        </w:rPr>
      </w:pPr>
      <w:r>
        <w:rPr>
          <w:rFonts w:hint="eastAsia" w:ascii="仿宋_GB2312" w:hAnsi="仿宋_GB2312" w:eastAsia="仿宋_GB2312" w:cs="仿宋_GB2312"/>
          <w:b w:val="0"/>
          <w:bCs w:val="0"/>
          <w:color w:val="333333"/>
          <w:kern w:val="0"/>
          <w:sz w:val="32"/>
          <w:szCs w:val="32"/>
          <w:lang w:eastAsia="zh-CN"/>
        </w:rPr>
        <w:t>本部门没有使用国有资本经营预算拨款安排的支出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5"/>
          <w:rFonts w:hint="eastAsia" w:ascii="楷体_GB2312" w:hAnsi="楷体_GB2312" w:eastAsia="楷体_GB2312" w:cs="楷体_GB2312"/>
          <w:b/>
          <w:bCs w:val="0"/>
          <w:sz w:val="32"/>
          <w:szCs w:val="32"/>
        </w:rPr>
      </w:pPr>
      <w:r>
        <w:rPr>
          <w:rStyle w:val="15"/>
          <w:rFonts w:hint="eastAsia" w:ascii="楷体_GB2312" w:hAnsi="楷体_GB2312" w:eastAsia="楷体_GB2312" w:cs="楷体_GB2312"/>
          <w:b/>
          <w:bCs w:val="0"/>
          <w:sz w:val="32"/>
          <w:szCs w:val="32"/>
          <w:lang w:eastAsia="zh-CN"/>
        </w:rPr>
        <w:t>（</w:t>
      </w:r>
      <w:r>
        <w:rPr>
          <w:rStyle w:val="15"/>
          <w:rFonts w:hint="eastAsia" w:ascii="楷体_GB2312" w:hAnsi="楷体_GB2312" w:eastAsia="楷体_GB2312" w:cs="楷体_GB2312"/>
          <w:b/>
          <w:bCs w:val="0"/>
          <w:sz w:val="32"/>
          <w:szCs w:val="32"/>
        </w:rPr>
        <w:t>六</w:t>
      </w:r>
      <w:r>
        <w:rPr>
          <w:rStyle w:val="15"/>
          <w:rFonts w:hint="eastAsia" w:ascii="楷体_GB2312" w:hAnsi="楷体_GB2312" w:eastAsia="楷体_GB2312" w:cs="楷体_GB2312"/>
          <w:b/>
          <w:bCs w:val="0"/>
          <w:sz w:val="32"/>
          <w:szCs w:val="32"/>
          <w:lang w:eastAsia="zh-CN"/>
        </w:rPr>
        <w:t>）</w:t>
      </w:r>
      <w:r>
        <w:rPr>
          <w:rStyle w:val="15"/>
          <w:rFonts w:hint="eastAsia" w:ascii="楷体_GB2312" w:hAnsi="楷体_GB2312" w:eastAsia="楷体_GB2312" w:cs="楷体_GB2312"/>
          <w:b/>
          <w:bCs w:val="0"/>
          <w:sz w:val="32"/>
          <w:szCs w:val="32"/>
        </w:rPr>
        <w:t>机关运行经费等重要事项的说明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2024年部门机关运行费预算2.10万元，较上年预算减少1.9万元，下降7.8%。</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5"/>
          <w:rFonts w:hint="eastAsia" w:ascii="楷体_GB2312" w:hAnsi="楷体_GB2312" w:eastAsia="楷体_GB2312" w:cs="楷体_GB2312"/>
          <w:b/>
          <w:bCs w:val="0"/>
          <w:sz w:val="32"/>
          <w:szCs w:val="32"/>
        </w:rPr>
      </w:pPr>
      <w:r>
        <w:rPr>
          <w:rStyle w:val="15"/>
          <w:rFonts w:hint="eastAsia" w:ascii="楷体_GB2312" w:hAnsi="楷体_GB2312" w:eastAsia="楷体_GB2312" w:cs="楷体_GB2312"/>
          <w:b/>
          <w:bCs w:val="0"/>
          <w:sz w:val="32"/>
          <w:szCs w:val="32"/>
          <w:lang w:eastAsia="zh-CN"/>
        </w:rPr>
        <w:t>（</w:t>
      </w:r>
      <w:r>
        <w:rPr>
          <w:rStyle w:val="15"/>
          <w:rFonts w:hint="eastAsia" w:ascii="楷体_GB2312" w:hAnsi="楷体_GB2312" w:eastAsia="楷体_GB2312" w:cs="楷体_GB2312"/>
          <w:b/>
          <w:bCs w:val="0"/>
          <w:sz w:val="32"/>
          <w:szCs w:val="32"/>
        </w:rPr>
        <w:t>七</w:t>
      </w:r>
      <w:r>
        <w:rPr>
          <w:rStyle w:val="15"/>
          <w:rFonts w:hint="eastAsia" w:ascii="楷体_GB2312" w:hAnsi="楷体_GB2312" w:eastAsia="楷体_GB2312" w:cs="楷体_GB2312"/>
          <w:b/>
          <w:bCs w:val="0"/>
          <w:sz w:val="32"/>
          <w:szCs w:val="32"/>
          <w:lang w:eastAsia="zh-CN"/>
        </w:rPr>
        <w:t>）</w:t>
      </w:r>
      <w:r>
        <w:rPr>
          <w:rStyle w:val="15"/>
          <w:rFonts w:hint="eastAsia" w:ascii="楷体_GB2312" w:hAnsi="楷体_GB2312" w:eastAsia="楷体_GB2312" w:cs="楷体_GB2312"/>
          <w:b/>
          <w:bCs w:val="0"/>
          <w:sz w:val="32"/>
          <w:szCs w:val="32"/>
        </w:rPr>
        <w:t>政府采购情况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2024年部门所属各单位政府采购总额1万元，其中：部门集中采购1万元，分散采购0万元，政府购买服务0万元。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5"/>
          <w:rFonts w:hint="eastAsia" w:ascii="楷体_GB2312" w:hAnsi="楷体_GB2312" w:eastAsia="楷体_GB2312" w:cs="楷体_GB2312"/>
          <w:b/>
          <w:bCs w:val="0"/>
          <w:sz w:val="32"/>
          <w:szCs w:val="32"/>
        </w:rPr>
      </w:pPr>
      <w:r>
        <w:rPr>
          <w:rStyle w:val="15"/>
          <w:rFonts w:hint="eastAsia" w:ascii="楷体_GB2312" w:hAnsi="楷体_GB2312" w:eastAsia="楷体_GB2312" w:cs="楷体_GB2312"/>
          <w:b/>
          <w:bCs w:val="0"/>
          <w:sz w:val="32"/>
          <w:szCs w:val="32"/>
          <w:lang w:eastAsia="zh-CN"/>
        </w:rPr>
        <w:t>（</w:t>
      </w:r>
      <w:r>
        <w:rPr>
          <w:rStyle w:val="15"/>
          <w:rFonts w:hint="eastAsia" w:ascii="楷体_GB2312" w:hAnsi="楷体_GB2312" w:eastAsia="楷体_GB2312" w:cs="楷体_GB2312"/>
          <w:b/>
          <w:bCs w:val="0"/>
          <w:sz w:val="32"/>
          <w:szCs w:val="32"/>
        </w:rPr>
        <w:t>八</w:t>
      </w:r>
      <w:r>
        <w:rPr>
          <w:rStyle w:val="15"/>
          <w:rFonts w:hint="eastAsia" w:ascii="楷体_GB2312" w:hAnsi="楷体_GB2312" w:eastAsia="楷体_GB2312" w:cs="楷体_GB2312"/>
          <w:b/>
          <w:bCs w:val="0"/>
          <w:sz w:val="32"/>
          <w:szCs w:val="32"/>
          <w:lang w:eastAsia="zh-CN"/>
        </w:rPr>
        <w:t>）</w:t>
      </w:r>
      <w:r>
        <w:rPr>
          <w:rStyle w:val="15"/>
          <w:rFonts w:hint="eastAsia" w:ascii="楷体_GB2312" w:hAnsi="楷体_GB2312" w:eastAsia="楷体_GB2312" w:cs="楷体_GB2312"/>
          <w:b/>
          <w:bCs w:val="0"/>
          <w:sz w:val="32"/>
          <w:szCs w:val="32"/>
        </w:rPr>
        <w:t>国有资产占有使用情况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截至2024年12月31日，</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${page400644146.ds532982397_REP_JX_BAS_AGENCY_INFO_ZYFRS_S_CLSYS}</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部门共有车辆0辆；其中：一般业务用车实有数0辆，特殊业务用车实有数0辆，执法执勤用车实有数0辆。</w:t>
      </w:r>
      <w:r>
        <w:rPr>
          <w:rFonts w:hint="eastAsia" w:ascii="仿宋_GB2312" w:hAnsi="仿宋_GB2312" w:eastAsia="仿宋_GB2312" w:cs="仿宋_GB2312"/>
          <w:kern w:val="2"/>
          <w:sz w:val="32"/>
          <w:szCs w:val="30"/>
          <w:lang w:val="en-US" w:eastAsia="zh-CN" w:bidi="ar-SA"/>
        </w:rPr>
        <w:fldChar w:fldCharType="end"/>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2024年部门预算安排购置车辆0辆，安排购置单位价值200万元以上大型设备具体为：0。</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5"/>
          <w:rFonts w:hint="eastAsia" w:ascii="楷体_GB2312" w:hAnsi="楷体_GB2312" w:eastAsia="楷体_GB2312" w:cs="楷体_GB2312"/>
          <w:b/>
          <w:bCs w:val="0"/>
          <w:sz w:val="32"/>
          <w:szCs w:val="32"/>
        </w:rPr>
      </w:pPr>
      <w:r>
        <w:rPr>
          <w:rStyle w:val="15"/>
          <w:rFonts w:hint="eastAsia" w:ascii="楷体_GB2312" w:hAnsi="楷体_GB2312" w:eastAsia="楷体_GB2312" w:cs="楷体_GB2312"/>
          <w:b/>
          <w:bCs w:val="0"/>
          <w:sz w:val="32"/>
          <w:szCs w:val="32"/>
        </w:rPr>
        <w:t>（九</w:t>
      </w:r>
      <w:r>
        <w:rPr>
          <w:rStyle w:val="15"/>
          <w:rFonts w:hint="eastAsia" w:ascii="楷体_GB2312" w:hAnsi="楷体_GB2312" w:eastAsia="楷体_GB2312" w:cs="楷体_GB2312"/>
          <w:b/>
          <w:bCs w:val="0"/>
          <w:sz w:val="32"/>
          <w:szCs w:val="32"/>
          <w:lang w:eastAsia="zh-CN"/>
        </w:rPr>
        <w:t>）</w:t>
      </w:r>
      <w:r>
        <w:rPr>
          <w:rStyle w:val="15"/>
          <w:rFonts w:hint="eastAsia" w:ascii="楷体_GB2312" w:hAnsi="楷体_GB2312" w:eastAsia="楷体_GB2312" w:cs="楷体_GB2312"/>
          <w:b/>
          <w:bCs w:val="0"/>
          <w:sz w:val="32"/>
          <w:szCs w:val="32"/>
          <w:lang w:val="en-US" w:eastAsia="zh-CN"/>
        </w:rPr>
        <w:t>景德镇市昌江区委水政大队</w:t>
      </w:r>
      <w:r>
        <w:rPr>
          <w:rStyle w:val="15"/>
          <w:rFonts w:hint="eastAsia" w:ascii="楷体_GB2312" w:hAnsi="楷体_GB2312" w:eastAsia="楷体_GB2312" w:cs="楷体_GB2312"/>
          <w:b/>
          <w:bCs w:val="0"/>
          <w:sz w:val="32"/>
          <w:szCs w:val="32"/>
        </w:rPr>
        <w:t>项目情况说明</w:t>
      </w:r>
    </w:p>
    <w:p>
      <w:pPr>
        <w:widowControl/>
        <w:spacing w:line="600" w:lineRule="exact"/>
        <w:ind w:firstLine="640"/>
        <w:jc w:val="left"/>
        <w:rPr>
          <w:rFonts w:ascii="仿宋_GB2312" w:eastAsia="仿宋_GB2312"/>
          <w:color w:val="000000" w:themeColor="text1"/>
          <w:sz w:val="32"/>
          <w:szCs w:val="30"/>
          <w14:textFill>
            <w14:solidFill>
              <w14:schemeClr w14:val="tx1"/>
            </w14:solidFill>
          </w14:textFill>
        </w:rPr>
      </w:pPr>
      <w:r>
        <w:rPr>
          <w:rFonts w:hint="eastAsia" w:ascii="仿宋_GB2312" w:eastAsia="仿宋_GB2312"/>
          <w:color w:val="000000" w:themeColor="text1"/>
          <w:sz w:val="32"/>
          <w:szCs w:val="30"/>
          <w:lang w:eastAsia="zh-CN"/>
          <w14:textFill>
            <w14:solidFill>
              <w14:schemeClr w14:val="tx1"/>
            </w14:solidFill>
          </w14:textFill>
        </w:rPr>
        <w:t>2024</w:t>
      </w:r>
      <w:r>
        <w:rPr>
          <w:rFonts w:hint="eastAsia" w:ascii="仿宋_GB2312" w:eastAsia="仿宋_GB2312"/>
          <w:color w:val="000000" w:themeColor="text1"/>
          <w:sz w:val="32"/>
          <w:szCs w:val="30"/>
          <w14:textFill>
            <w14:solidFill>
              <w14:schemeClr w14:val="tx1"/>
            </w14:solidFill>
          </w14:textFill>
        </w:rPr>
        <w:t>年实行绩效目标管理的二级项目</w:t>
      </w:r>
      <w:r>
        <w:rPr>
          <w:rFonts w:hint="eastAsia" w:ascii="仿宋_GB2312" w:eastAsia="仿宋_GB2312"/>
          <w:color w:val="000000" w:themeColor="text1"/>
          <w:sz w:val="32"/>
          <w:szCs w:val="30"/>
          <w:lang w:val="en-US" w:eastAsia="zh-CN"/>
          <w14:textFill>
            <w14:solidFill>
              <w14:schemeClr w14:val="tx1"/>
            </w14:solidFill>
          </w14:textFill>
        </w:rPr>
        <w:t>1</w:t>
      </w:r>
      <w:r>
        <w:rPr>
          <w:rFonts w:hint="eastAsia" w:ascii="仿宋_GB2312" w:eastAsia="仿宋_GB2312"/>
          <w:color w:val="000000" w:themeColor="text1"/>
          <w:sz w:val="32"/>
          <w:szCs w:val="30"/>
          <w14:textFill>
            <w14:solidFill>
              <w14:schemeClr w14:val="tx1"/>
            </w14:solidFill>
          </w14:textFill>
        </w:rPr>
        <w:t>个</w:t>
      </w:r>
      <w:r>
        <w:rPr>
          <w:rFonts w:hint="eastAsia" w:ascii="仿宋_GB2312" w:eastAsia="仿宋_GB2312"/>
          <w:color w:val="000000" w:themeColor="text1"/>
          <w:sz w:val="32"/>
          <w:szCs w:val="30"/>
          <w:lang w:eastAsia="zh-CN"/>
          <w14:textFill>
            <w14:solidFill>
              <w14:schemeClr w14:val="tx1"/>
            </w14:solidFill>
          </w14:textFill>
        </w:rPr>
        <w:t>，</w:t>
      </w:r>
      <w:r>
        <w:rPr>
          <w:rFonts w:hint="eastAsia" w:ascii="仿宋_GB2312" w:eastAsia="仿宋_GB2312"/>
          <w:color w:val="000000" w:themeColor="text1"/>
          <w:sz w:val="32"/>
          <w:szCs w:val="30"/>
          <w14:textFill>
            <w14:solidFill>
              <w14:schemeClr w14:val="tx1"/>
            </w14:solidFill>
          </w14:textFill>
        </w:rPr>
        <w:t xml:space="preserve">涉及资金     </w:t>
      </w:r>
      <w:r>
        <w:rPr>
          <w:rFonts w:hint="eastAsia" w:ascii="仿宋_GB2312" w:eastAsia="仿宋_GB2312"/>
          <w:color w:val="000000" w:themeColor="text1"/>
          <w:sz w:val="32"/>
          <w:szCs w:val="30"/>
          <w:lang w:val="en-US" w:eastAsia="zh-CN"/>
          <w14:textFill>
            <w14:solidFill>
              <w14:schemeClr w14:val="tx1"/>
            </w14:solidFill>
          </w14:textFill>
        </w:rPr>
        <w:t>0.81</w:t>
      </w:r>
      <w:r>
        <w:rPr>
          <w:rFonts w:hint="eastAsia" w:ascii="仿宋_GB2312" w:eastAsia="仿宋_GB2312"/>
          <w:color w:val="000000" w:themeColor="text1"/>
          <w:sz w:val="32"/>
          <w:szCs w:val="30"/>
          <w14:textFill>
            <w14:solidFill>
              <w14:schemeClr w14:val="tx1"/>
            </w14:solidFill>
          </w14:textFill>
        </w:rPr>
        <w:t>万元。</w:t>
      </w:r>
    </w:p>
    <w:p>
      <w:pPr>
        <w:ind w:firstLine="420" w:firstLineChars="200"/>
      </w:pPr>
    </w:p>
    <w:p>
      <w:pPr>
        <w:ind w:firstLine="420" w:firstLineChars="200"/>
      </w:pPr>
    </w:p>
    <w:p>
      <w:pPr>
        <w:ind w:firstLine="420" w:firstLineChars="200"/>
      </w:pPr>
      <w:r>
        <w:drawing>
          <wp:inline distT="0" distB="0" distL="114300" distR="114300">
            <wp:extent cx="5272405" cy="8114030"/>
            <wp:effectExtent l="0" t="0" r="4445" b="127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5"/>
                    <a:stretch>
                      <a:fillRect/>
                    </a:stretch>
                  </pic:blipFill>
                  <pic:spPr>
                    <a:xfrm>
                      <a:off x="0" y="0"/>
                      <a:ext cx="5272405" cy="8114030"/>
                    </a:xfrm>
                    <a:prstGeom prst="rect">
                      <a:avLst/>
                    </a:prstGeom>
                    <a:noFill/>
                    <a:ln>
                      <a:noFill/>
                    </a:ln>
                  </pic:spPr>
                </pic:pic>
              </a:graphicData>
            </a:graphic>
          </wp:inline>
        </w:drawing>
      </w:r>
      <w:bookmarkStart w:id="0" w:name="_GoBack"/>
      <w:bookmarkEnd w:id="0"/>
    </w:p>
    <w:p>
      <w:pPr>
        <w:ind w:firstLine="420" w:firstLineChars="200"/>
      </w:pPr>
    </w:p>
    <w:p>
      <w:pPr>
        <w:ind w:firstLine="420" w:firstLineChars="200"/>
      </w:pPr>
    </w:p>
    <w:p>
      <w:pPr>
        <w:ind w:firstLine="420" w:firstLineChars="200"/>
      </w:pPr>
    </w:p>
    <w:p>
      <w:pPr>
        <w:ind w:firstLine="420" w:firstLineChars="200"/>
      </w:pP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楷体_GB2312" w:eastAsia="楷体_GB2312"/>
          <w:b/>
          <w:sz w:val="32"/>
          <w:szCs w:val="30"/>
        </w:rPr>
      </w:pPr>
      <w:r>
        <w:rPr>
          <w:rFonts w:hint="eastAsia" w:ascii="黑体" w:hAnsi="黑体" w:eastAsia="黑体" w:cs="黑体"/>
          <w:b/>
          <w:sz w:val="32"/>
          <w:szCs w:val="32"/>
        </w:rPr>
        <w:t>二、</w:t>
      </w:r>
      <w:r>
        <w:rPr>
          <w:rFonts w:hint="eastAsia" w:ascii="黑体" w:hAnsi="黑体" w:eastAsia="黑体" w:cs="黑体"/>
          <w:b/>
          <w:sz w:val="32"/>
          <w:szCs w:val="32"/>
          <w:lang w:eastAsia="zh-CN"/>
        </w:rPr>
        <w:t>2024</w:t>
      </w:r>
      <w:r>
        <w:rPr>
          <w:rFonts w:hint="eastAsia" w:ascii="黑体" w:hAnsi="黑体" w:eastAsia="黑体" w:cs="黑体"/>
          <w:b/>
          <w:sz w:val="32"/>
          <w:szCs w:val="32"/>
        </w:rPr>
        <w:t>年</w:t>
      </w:r>
      <w:r>
        <w:rPr>
          <w:rFonts w:hint="eastAsia" w:ascii="黑体" w:hAnsi="黑体" w:eastAsia="黑体" w:cs="黑体"/>
          <w:b/>
          <w:sz w:val="32"/>
          <w:szCs w:val="32"/>
          <w:lang w:eastAsia="zh-CN"/>
        </w:rPr>
        <w:t>“</w:t>
      </w:r>
      <w:r>
        <w:rPr>
          <w:rFonts w:hint="eastAsia" w:ascii="黑体" w:hAnsi="黑体" w:eastAsia="黑体" w:cs="黑体"/>
          <w:b/>
          <w:sz w:val="32"/>
          <w:szCs w:val="32"/>
        </w:rPr>
        <w:t>三公</w:t>
      </w:r>
      <w:r>
        <w:rPr>
          <w:rFonts w:hint="eastAsia" w:ascii="黑体" w:hAnsi="黑体" w:eastAsia="黑体" w:cs="黑体"/>
          <w:b/>
          <w:sz w:val="32"/>
          <w:szCs w:val="32"/>
          <w:lang w:eastAsia="zh-CN"/>
        </w:rPr>
        <w:t>”</w:t>
      </w:r>
      <w:r>
        <w:rPr>
          <w:rFonts w:hint="eastAsia" w:ascii="黑体" w:hAnsi="黑体" w:eastAsia="黑体" w:cs="黑体"/>
          <w:b/>
          <w:sz w:val="32"/>
          <w:szCs w:val="32"/>
        </w:rPr>
        <w:t>经费预算情况说明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2024年</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${page400644146.ds215660413_REP_JXJC_AGENCY_WZR_NAME}</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昌江区委水政大队局</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t>“三公”经费财政拨款安排3万元，其中：</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因公出国（境）费用0万元，比上年增加（减少）0万元，主要原因是：本年暂无因公出国（境）费用。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公务接待费0.6万元，比上年增加0万元，主要原因是：与上年安排保持一致。</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公务用车运行维护费0万元，比上年增加0万元，主要原因是：与上年安排保持一致。</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公务用车购置费0万元，比上年增加0万元，主要原因是：与上年安排保持一致。</w:t>
      </w:r>
    </w:p>
    <w:p>
      <w:pPr>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br w:type="page"/>
      </w:r>
    </w:p>
    <w:p>
      <w:pPr>
        <w:rPr>
          <w:rFonts w:ascii="仿宋_GB2312" w:hAnsi="宋体" w:eastAsia="仿宋_GB2312" w:cs="仿宋_GB2312"/>
          <w:sz w:val="32"/>
          <w:szCs w:val="32"/>
          <w:shd w:val="clear" w:color="FFFFFF" w:fill="D9D9D9"/>
        </w:rPr>
      </w:pPr>
    </w:p>
    <w:p>
      <w:pPr>
        <w:rPr>
          <w:rFonts w:ascii="仿宋_GB2312" w:eastAsia="仿宋_GB2312" w:cs="Times New Roman"/>
          <w:b/>
          <w:bCs/>
          <w:sz w:val="32"/>
          <w:szCs w:val="32"/>
        </w:rPr>
      </w:pPr>
      <w:r>
        <w:rPr>
          <w:rFonts w:hint="eastAsia" w:ascii="黑体" w:hAnsi="宋体" w:eastAsia="黑体" w:cs="黑体"/>
          <w:sz w:val="32"/>
          <w:szCs w:val="32"/>
        </w:rPr>
        <w:t>第四部分</w:t>
      </w:r>
      <w:r>
        <w:rPr>
          <w:rFonts w:ascii="黑体" w:hAnsi="宋体" w:eastAsia="黑体" w:cs="黑体"/>
          <w:sz w:val="32"/>
          <w:szCs w:val="32"/>
        </w:rPr>
        <w:t xml:space="preserve">  </w:t>
      </w:r>
      <w:r>
        <w:rPr>
          <w:rFonts w:hint="eastAsia" w:ascii="黑体" w:hAnsi="宋体" w:eastAsia="黑体" w:cs="黑体"/>
          <w:sz w:val="32"/>
          <w:szCs w:val="32"/>
        </w:rPr>
        <w:t>名词解释</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一、收入科目</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各部门结合实际进行解释。</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（一）财政拨款：指</w:t>
      </w:r>
      <w:r>
        <w:rPr>
          <w:rFonts w:hint="eastAsia" w:ascii="仿宋_GB2312" w:eastAsia="仿宋_GB2312"/>
          <w:color w:val="000000"/>
          <w:sz w:val="32"/>
          <w:szCs w:val="30"/>
          <w:lang w:eastAsia="zh-CN"/>
        </w:rPr>
        <w:t>区</w:t>
      </w:r>
      <w:r>
        <w:rPr>
          <w:rFonts w:hint="eastAsia" w:ascii="仿宋_GB2312" w:eastAsia="仿宋_GB2312"/>
          <w:color w:val="000000"/>
          <w:sz w:val="32"/>
          <w:szCs w:val="30"/>
        </w:rPr>
        <w:t>级财政当年拨付的资金。</w:t>
      </w:r>
    </w:p>
    <w:p>
      <w:pPr>
        <w:widowControl/>
        <w:spacing w:line="600" w:lineRule="exact"/>
        <w:ind w:firstLine="636"/>
        <w:jc w:val="left"/>
        <w:rPr>
          <w:rFonts w:ascii="仿宋_GB2312" w:eastAsia="仿宋_GB2312"/>
          <w:color w:val="000000"/>
          <w:sz w:val="32"/>
          <w:szCs w:val="30"/>
        </w:rPr>
      </w:pPr>
      <w:r>
        <w:rPr>
          <w:rFonts w:hint="eastAsia" w:ascii="仿宋_GB2312" w:eastAsia="仿宋_GB2312"/>
          <w:color w:val="000000"/>
          <w:sz w:val="32"/>
          <w:szCs w:val="30"/>
        </w:rPr>
        <w:t>（二）事业收入：指事业单位开展专业业务活动及辅助活动取得的收入。</w:t>
      </w:r>
    </w:p>
    <w:p>
      <w:pPr>
        <w:widowControl/>
        <w:spacing w:line="600" w:lineRule="exact"/>
        <w:ind w:firstLine="636"/>
        <w:jc w:val="left"/>
        <w:rPr>
          <w:rFonts w:ascii="仿宋_GB2312" w:eastAsia="仿宋_GB2312"/>
          <w:color w:val="000000"/>
          <w:sz w:val="32"/>
          <w:szCs w:val="30"/>
        </w:rPr>
      </w:pPr>
      <w:r>
        <w:rPr>
          <w:rFonts w:hint="eastAsia" w:ascii="仿宋_GB2312" w:eastAsia="仿宋_GB2312"/>
          <w:color w:val="000000"/>
          <w:sz w:val="32"/>
          <w:szCs w:val="30"/>
        </w:rPr>
        <w:t>（三）事业单位经营收入：指事业单位在专业业务活动及辅助活动之外开展非独立核算经营活动取得的收入。</w:t>
      </w:r>
    </w:p>
    <w:p>
      <w:pPr>
        <w:widowControl/>
        <w:spacing w:line="600" w:lineRule="exact"/>
        <w:ind w:firstLine="636"/>
        <w:jc w:val="left"/>
        <w:rPr>
          <w:rFonts w:ascii="仿宋_GB2312" w:eastAsia="仿宋_GB2312"/>
          <w:color w:val="000000"/>
          <w:sz w:val="32"/>
          <w:szCs w:val="30"/>
        </w:rPr>
      </w:pPr>
      <w:r>
        <w:rPr>
          <w:rFonts w:hint="eastAsia" w:ascii="仿宋_GB2312" w:eastAsia="仿宋_GB2312"/>
          <w:color w:val="000000"/>
          <w:sz w:val="32"/>
          <w:szCs w:val="30"/>
        </w:rPr>
        <w:t>（四）其他收入：指除财政拨款、事业收入、事业单位经营收入等以外的各项收入。</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（五）附属单位上缴收入：反映事业单位附属的独立核算单位按规定标准或比例缴纳的各项收入。包括附属的事业单位上缴的收入和附属的企业上缴的利润等。</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（六）上级补助收入：反映事业单位从主管部门和上级单位取得的非财政补助收入。</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（七）用事业基金弥补收支差额：填列事业单位用事业基金弥补</w:t>
      </w:r>
      <w:r>
        <w:rPr>
          <w:rFonts w:hint="eastAsia" w:ascii="仿宋_GB2312" w:eastAsia="仿宋_GB2312"/>
          <w:color w:val="000000"/>
          <w:sz w:val="32"/>
          <w:szCs w:val="30"/>
          <w:lang w:eastAsia="zh-CN"/>
        </w:rPr>
        <w:t>2024</w:t>
      </w:r>
      <w:r>
        <w:rPr>
          <w:rFonts w:hint="eastAsia" w:ascii="仿宋_GB2312" w:eastAsia="仿宋_GB2312"/>
          <w:color w:val="000000"/>
          <w:sz w:val="32"/>
          <w:szCs w:val="30"/>
        </w:rPr>
        <w:t>年收支差额的数额。</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（八）上年结转和结余：填列202</w:t>
      </w:r>
      <w:r>
        <w:rPr>
          <w:rFonts w:hint="eastAsia" w:ascii="仿宋_GB2312" w:eastAsia="仿宋_GB2312"/>
          <w:color w:val="000000"/>
          <w:sz w:val="32"/>
          <w:szCs w:val="30"/>
          <w:lang w:val="en-US" w:eastAsia="zh-CN"/>
        </w:rPr>
        <w:t>3</w:t>
      </w:r>
      <w:r>
        <w:rPr>
          <w:rFonts w:hint="eastAsia" w:ascii="仿宋_GB2312" w:eastAsia="仿宋_GB2312"/>
          <w:color w:val="000000"/>
          <w:sz w:val="32"/>
          <w:szCs w:val="30"/>
        </w:rPr>
        <w:t>年全部结转和结余的资金数，包括当年结转结余资金和历年滚存结转结余资金。</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二、支出科目</w:t>
      </w:r>
    </w:p>
    <w:p>
      <w:pPr>
        <w:widowControl/>
        <w:shd w:val="clear" w:color="auto" w:fill="FFFFFF"/>
        <w:spacing w:line="580" w:lineRule="atLeast"/>
        <w:ind w:firstLine="640" w:firstLineChars="20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lang w:eastAsia="zh-CN"/>
        </w:rPr>
        <w:t>一般行政管理事务</w:t>
      </w:r>
      <w:r>
        <w:rPr>
          <w:rFonts w:hint="eastAsia" w:ascii="仿宋_GB2312" w:hAnsi="仿宋_GB2312" w:eastAsia="仿宋_GB2312" w:cs="仿宋_GB2312"/>
          <w:b w:val="0"/>
          <w:bCs w:val="0"/>
          <w:color w:val="333333"/>
          <w:kern w:val="0"/>
          <w:sz w:val="32"/>
          <w:szCs w:val="32"/>
        </w:rPr>
        <w:t>支出：（</w:t>
      </w:r>
      <w:r>
        <w:rPr>
          <w:rFonts w:hint="eastAsia" w:ascii="仿宋_GB2312" w:hAnsi="仿宋_GB2312" w:eastAsia="仿宋_GB2312" w:cs="仿宋_GB2312"/>
          <w:b w:val="0"/>
          <w:bCs w:val="0"/>
          <w:color w:val="333333"/>
          <w:kern w:val="0"/>
          <w:sz w:val="32"/>
          <w:szCs w:val="32"/>
          <w:lang w:eastAsia="zh-CN"/>
        </w:rPr>
        <w:t>行政运行</w:t>
      </w:r>
      <w:r>
        <w:rPr>
          <w:rFonts w:hint="eastAsia" w:ascii="仿宋_GB2312" w:hAnsi="仿宋_GB2312" w:eastAsia="仿宋_GB2312" w:cs="仿宋_GB2312"/>
          <w:b w:val="0"/>
          <w:bCs w:val="0"/>
          <w:color w:val="333333"/>
          <w:kern w:val="0"/>
          <w:sz w:val="32"/>
          <w:szCs w:val="32"/>
        </w:rPr>
        <w:t>）：反应</w:t>
      </w:r>
      <w:r>
        <w:rPr>
          <w:rFonts w:hint="eastAsia" w:ascii="仿宋_GB2312" w:hAnsi="仿宋_GB2312" w:eastAsia="仿宋_GB2312" w:cs="仿宋_GB2312"/>
          <w:b w:val="0"/>
          <w:bCs w:val="0"/>
          <w:color w:val="333333"/>
          <w:kern w:val="0"/>
          <w:sz w:val="32"/>
          <w:szCs w:val="32"/>
          <w:lang w:eastAsia="zh-CN"/>
        </w:rPr>
        <w:t>昌江区委水政大队</w:t>
      </w:r>
      <w:r>
        <w:rPr>
          <w:rFonts w:hint="eastAsia" w:ascii="仿宋_GB2312" w:hAnsi="仿宋_GB2312" w:eastAsia="仿宋_GB2312" w:cs="仿宋_GB2312"/>
          <w:b w:val="0"/>
          <w:bCs w:val="0"/>
          <w:color w:val="333333"/>
          <w:kern w:val="0"/>
          <w:sz w:val="32"/>
          <w:szCs w:val="32"/>
        </w:rPr>
        <w:t>的基本支出。</w:t>
      </w:r>
    </w:p>
    <w:p>
      <w:pPr>
        <w:widowControl/>
        <w:shd w:val="clear" w:color="auto" w:fill="FFFFFF"/>
        <w:spacing w:line="580" w:lineRule="atLeast"/>
        <w:ind w:firstLine="640" w:firstLineChars="200"/>
        <w:jc w:val="left"/>
        <w:rPr>
          <w:rFonts w:hint="eastAsia" w:ascii="仿宋_GB2312" w:hAnsi="仿宋_GB2312" w:eastAsia="仿宋_GB2312" w:cs="仿宋_GB2312"/>
          <w:b w:val="0"/>
          <w:bCs w:val="0"/>
          <w:color w:val="333333"/>
          <w:kern w:val="0"/>
          <w:sz w:val="32"/>
          <w:szCs w:val="32"/>
          <w:lang w:eastAsia="zh-CN"/>
        </w:rPr>
      </w:pPr>
      <w:r>
        <w:rPr>
          <w:rFonts w:hint="eastAsia" w:ascii="仿宋_GB2312" w:hAnsi="仿宋_GB2312" w:eastAsia="仿宋_GB2312" w:cs="仿宋_GB2312"/>
          <w:b w:val="0"/>
          <w:bCs w:val="0"/>
          <w:color w:val="333333"/>
          <w:kern w:val="0"/>
          <w:sz w:val="32"/>
          <w:szCs w:val="32"/>
          <w:lang w:eastAsia="zh-CN"/>
        </w:rPr>
        <w:t>一般行政管理事务</w:t>
      </w:r>
      <w:r>
        <w:rPr>
          <w:rFonts w:hint="eastAsia" w:ascii="仿宋_GB2312" w:hAnsi="仿宋_GB2312" w:eastAsia="仿宋_GB2312" w:cs="仿宋_GB2312"/>
          <w:b w:val="0"/>
          <w:bCs w:val="0"/>
          <w:color w:val="333333"/>
          <w:kern w:val="0"/>
          <w:sz w:val="32"/>
          <w:szCs w:val="32"/>
        </w:rPr>
        <w:t>支出：（</w:t>
      </w:r>
      <w:r>
        <w:rPr>
          <w:rFonts w:hint="eastAsia" w:ascii="仿宋_GB2312" w:hAnsi="仿宋_GB2312" w:eastAsia="仿宋_GB2312" w:cs="仿宋_GB2312"/>
          <w:b w:val="0"/>
          <w:bCs w:val="0"/>
          <w:color w:val="333333"/>
          <w:kern w:val="0"/>
          <w:sz w:val="32"/>
          <w:szCs w:val="32"/>
          <w:lang w:eastAsia="zh-CN"/>
        </w:rPr>
        <w:t>一般行政管理事务</w:t>
      </w:r>
      <w:r>
        <w:rPr>
          <w:rFonts w:hint="eastAsia" w:ascii="仿宋_GB2312" w:hAnsi="仿宋_GB2312" w:eastAsia="仿宋_GB2312" w:cs="仿宋_GB2312"/>
          <w:b w:val="0"/>
          <w:bCs w:val="0"/>
          <w:color w:val="333333"/>
          <w:kern w:val="0"/>
          <w:sz w:val="32"/>
          <w:szCs w:val="32"/>
        </w:rPr>
        <w:t>）：反应</w:t>
      </w:r>
      <w:r>
        <w:rPr>
          <w:rFonts w:hint="eastAsia" w:ascii="仿宋_GB2312" w:hAnsi="仿宋_GB2312" w:eastAsia="仿宋_GB2312" w:cs="仿宋_GB2312"/>
          <w:b w:val="0"/>
          <w:bCs w:val="0"/>
          <w:color w:val="333333"/>
          <w:kern w:val="0"/>
          <w:sz w:val="32"/>
          <w:szCs w:val="32"/>
          <w:lang w:eastAsia="zh-CN"/>
        </w:rPr>
        <w:t>昌江区委水政大队未单独设置项级科目的其他项目支出。</w:t>
      </w:r>
    </w:p>
    <w:p>
      <w:pPr>
        <w:widowControl/>
        <w:spacing w:line="580" w:lineRule="exact"/>
        <w:ind w:firstLine="640"/>
        <w:jc w:val="left"/>
        <w:rPr>
          <w:rFonts w:ascii="仿宋_GB2312" w:eastAsia="仿宋_GB2312"/>
          <w:b w:val="0"/>
          <w:bCs w:val="0"/>
          <w:sz w:val="32"/>
          <w:szCs w:val="30"/>
        </w:rPr>
      </w:pPr>
      <w:r>
        <w:rPr>
          <w:rFonts w:hint="eastAsia" w:ascii="仿宋_GB2312" w:eastAsia="仿宋_GB2312"/>
          <w:b w:val="0"/>
          <w:bCs w:val="0"/>
          <w:sz w:val="32"/>
          <w:szCs w:val="30"/>
        </w:rPr>
        <w:t>医疗卫生与计划生育支出（类）行政事业单位医疗（款）行政单位医疗（项）：反映财政部门集中安排的行政单位基本医疗保险缴费经费，未参加医疗保险的行政单位的公费医疗经费，按照国家规定享受离休人员待遇的医疗经费。</w:t>
      </w:r>
    </w:p>
    <w:p>
      <w:pPr>
        <w:widowControl/>
        <w:spacing w:line="580" w:lineRule="exact"/>
        <w:ind w:firstLine="640"/>
        <w:jc w:val="left"/>
        <w:rPr>
          <w:b w:val="0"/>
          <w:bCs w:val="0"/>
        </w:rPr>
      </w:pPr>
      <w:r>
        <w:rPr>
          <w:rFonts w:hint="eastAsia" w:ascii="仿宋_GB2312" w:eastAsia="仿宋_GB2312"/>
          <w:b w:val="0"/>
          <w:bCs w:val="0"/>
          <w:sz w:val="32"/>
          <w:szCs w:val="30"/>
        </w:rPr>
        <w:t>住房保障支出（类）住房改革支出（款）住房公积金（项）：反映行政事业单位按人力资源和社会保障部、财政部规定的基本工资和津贴补贴以及规定比例为职工缴纳的住房公积金。</w:t>
      </w:r>
    </w:p>
    <w:p>
      <w:pPr>
        <w:widowControl/>
        <w:shd w:val="clear" w:color="auto" w:fill="FFFFFF"/>
        <w:spacing w:line="580" w:lineRule="atLeast"/>
        <w:jc w:val="left"/>
        <w:rPr>
          <w:rFonts w:hint="default" w:ascii="仿宋_GB2312" w:hAnsi="仿宋_GB2312" w:eastAsia="仿宋_GB2312" w:cs="仿宋_GB2312"/>
          <w:b w:val="0"/>
          <w:bCs w:val="0"/>
          <w:color w:val="333333"/>
          <w:kern w:val="0"/>
          <w:sz w:val="32"/>
          <w:szCs w:val="32"/>
          <w:lang w:val="en-US" w:eastAsia="zh-CN"/>
        </w:rPr>
      </w:pPr>
      <w:r>
        <w:rPr>
          <w:rFonts w:hint="eastAsia" w:ascii="仿宋_GB2312" w:hAnsi="仿宋_GB2312" w:eastAsia="仿宋_GB2312" w:cs="仿宋_GB2312"/>
          <w:b w:val="0"/>
          <w:bCs w:val="0"/>
          <w:color w:val="333333"/>
          <w:kern w:val="0"/>
          <w:sz w:val="32"/>
          <w:szCs w:val="32"/>
          <w:lang w:val="en-US" w:eastAsia="zh-CN"/>
        </w:rPr>
        <w:t xml:space="preserve">    社会保障和就业支出（类）财政对其他社会保险基金的补助（款）其他财政对社会保险基金的补助（项）：反映其他财政对社会保险基金的补助支出。</w:t>
      </w:r>
    </w:p>
    <w:p>
      <w:pPr>
        <w:rPr>
          <w:rFonts w:ascii="仿宋_GB2312" w:eastAsia="仿宋_GB2312" w:cs="Times New Roman"/>
          <w:sz w:val="32"/>
          <w:szCs w:val="32"/>
        </w:rPr>
      </w:pPr>
    </w:p>
    <w:p>
      <w:pPr>
        <w:rPr>
          <w:rFonts w:ascii="仿宋_GB2312" w:eastAsia="仿宋_GB2312" w:cs="Times New Roman"/>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Fonts w:cs="Times New Roman"/>
      </w:rPr>
    </w:pPr>
    <w:r>
      <w:rPr>
        <w:rStyle w:val="9"/>
      </w:rPr>
      <w:fldChar w:fldCharType="begin"/>
    </w:r>
    <w:r>
      <w:rPr>
        <w:rStyle w:val="9"/>
      </w:rPr>
      <w:instrText xml:space="preserve">PAGE  </w:instrText>
    </w:r>
    <w:r>
      <w:rPr>
        <w:rStyle w:val="9"/>
      </w:rPr>
      <w:fldChar w:fldCharType="separate"/>
    </w:r>
    <w:r>
      <w:rPr>
        <w:rStyle w:val="9"/>
      </w:rPr>
      <w:t>8</w:t>
    </w:r>
    <w:r>
      <w:rPr>
        <w:rStyle w:val="9"/>
      </w:rPr>
      <w:fldChar w:fldCharType="end"/>
    </w:r>
  </w:p>
  <w:p>
    <w:pPr>
      <w:pStyle w:val="5"/>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4YTMzYTNiNDM4N2Y0Y2JhNmU4M2QyYzY0NTFlYTgifQ=="/>
  </w:docVars>
  <w:rsids>
    <w:rsidRoot w:val="19076E1D"/>
    <w:rsid w:val="000429DB"/>
    <w:rsid w:val="00066060"/>
    <w:rsid w:val="00675E17"/>
    <w:rsid w:val="00683AC4"/>
    <w:rsid w:val="008110CC"/>
    <w:rsid w:val="00B358C5"/>
    <w:rsid w:val="00C04C9A"/>
    <w:rsid w:val="00C7175C"/>
    <w:rsid w:val="00CB427A"/>
    <w:rsid w:val="00F500B9"/>
    <w:rsid w:val="01992CBB"/>
    <w:rsid w:val="022502CD"/>
    <w:rsid w:val="05EB1609"/>
    <w:rsid w:val="06F65371"/>
    <w:rsid w:val="08EE0B31"/>
    <w:rsid w:val="0A326819"/>
    <w:rsid w:val="0CBF216E"/>
    <w:rsid w:val="0DD43F84"/>
    <w:rsid w:val="0E052343"/>
    <w:rsid w:val="0E50233D"/>
    <w:rsid w:val="0FCB58D0"/>
    <w:rsid w:val="10017665"/>
    <w:rsid w:val="11427CB1"/>
    <w:rsid w:val="139E3D52"/>
    <w:rsid w:val="162B4B72"/>
    <w:rsid w:val="17C138A5"/>
    <w:rsid w:val="18AC060B"/>
    <w:rsid w:val="19076E1D"/>
    <w:rsid w:val="1D2F3B9F"/>
    <w:rsid w:val="1DFF6A00"/>
    <w:rsid w:val="1EBD751D"/>
    <w:rsid w:val="1F117155"/>
    <w:rsid w:val="204B45CE"/>
    <w:rsid w:val="25705B71"/>
    <w:rsid w:val="28913566"/>
    <w:rsid w:val="29D76F3F"/>
    <w:rsid w:val="2C7B2CE4"/>
    <w:rsid w:val="2DBB222D"/>
    <w:rsid w:val="2E9B579A"/>
    <w:rsid w:val="31D40AAE"/>
    <w:rsid w:val="32850B4B"/>
    <w:rsid w:val="381119B2"/>
    <w:rsid w:val="3BD871B8"/>
    <w:rsid w:val="3CF55A87"/>
    <w:rsid w:val="40EF4A1C"/>
    <w:rsid w:val="429A727D"/>
    <w:rsid w:val="4322216B"/>
    <w:rsid w:val="4ABD75D1"/>
    <w:rsid w:val="4C0B38BC"/>
    <w:rsid w:val="4C0B7195"/>
    <w:rsid w:val="4D3B293C"/>
    <w:rsid w:val="51B40312"/>
    <w:rsid w:val="56552A05"/>
    <w:rsid w:val="57CC144D"/>
    <w:rsid w:val="5CD45C8F"/>
    <w:rsid w:val="62B20F12"/>
    <w:rsid w:val="63973295"/>
    <w:rsid w:val="641E7445"/>
    <w:rsid w:val="666B2DDB"/>
    <w:rsid w:val="66CE6E60"/>
    <w:rsid w:val="69581F60"/>
    <w:rsid w:val="6B857389"/>
    <w:rsid w:val="6BBA5001"/>
    <w:rsid w:val="71452C49"/>
    <w:rsid w:val="73224148"/>
    <w:rsid w:val="772860B1"/>
    <w:rsid w:val="7B4102B0"/>
    <w:rsid w:val="7F0C59E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11"/>
    <w:autoRedefine/>
    <w:qFormat/>
    <w:uiPriority w:val="99"/>
    <w:pPr>
      <w:keepNext/>
      <w:keepLines/>
      <w:spacing w:line="416" w:lineRule="auto"/>
      <w:outlineLvl w:val="1"/>
    </w:pPr>
    <w:rPr>
      <w:rFonts w:ascii="Arial" w:hAnsi="Arial" w:eastAsia="黑体" w:cs="Arial"/>
      <w:b/>
      <w:bCs/>
      <w:sz w:val="32"/>
      <w:szCs w:val="32"/>
    </w:rPr>
  </w:style>
  <w:style w:type="paragraph" w:styleId="3">
    <w:name w:val="heading 3"/>
    <w:basedOn w:val="1"/>
    <w:next w:val="1"/>
    <w:autoRedefine/>
    <w:unhideWhenUsed/>
    <w:qFormat/>
    <w:locked/>
    <w:uiPriority w:val="0"/>
    <w:pPr>
      <w:keepNext/>
      <w:keepLines/>
      <w:spacing w:before="260" w:after="260" w:line="413" w:lineRule="auto"/>
      <w:outlineLvl w:val="2"/>
    </w:pPr>
    <w:rPr>
      <w:b/>
      <w:sz w:val="32"/>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Balloon Text"/>
    <w:basedOn w:val="1"/>
    <w:link w:val="13"/>
    <w:autoRedefine/>
    <w:semiHidden/>
    <w:unhideWhenUsed/>
    <w:qFormat/>
    <w:uiPriority w:val="99"/>
    <w:rPr>
      <w:sz w:val="18"/>
      <w:szCs w:val="18"/>
    </w:rPr>
  </w:style>
  <w:style w:type="paragraph" w:styleId="5">
    <w:name w:val="footer"/>
    <w:basedOn w:val="1"/>
    <w:link w:val="12"/>
    <w:autoRedefine/>
    <w:qFormat/>
    <w:uiPriority w:val="99"/>
    <w:pPr>
      <w:tabs>
        <w:tab w:val="center" w:pos="4153"/>
        <w:tab w:val="right" w:pos="8306"/>
      </w:tabs>
      <w:snapToGrid w:val="0"/>
      <w:jc w:val="left"/>
    </w:pPr>
    <w:rPr>
      <w:sz w:val="18"/>
      <w:szCs w:val="18"/>
    </w:rPr>
  </w:style>
  <w:style w:type="paragraph" w:styleId="6">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character" w:styleId="9">
    <w:name w:val="page number"/>
    <w:basedOn w:val="8"/>
    <w:autoRedefine/>
    <w:qFormat/>
    <w:uiPriority w:val="99"/>
  </w:style>
  <w:style w:type="character" w:styleId="10">
    <w:name w:val="Hyperlink"/>
    <w:basedOn w:val="8"/>
    <w:autoRedefine/>
    <w:unhideWhenUsed/>
    <w:qFormat/>
    <w:uiPriority w:val="99"/>
    <w:rPr>
      <w:color w:val="333333"/>
      <w:u w:val="none"/>
    </w:rPr>
  </w:style>
  <w:style w:type="character" w:customStyle="1" w:styleId="11">
    <w:name w:val="标题 2 Char"/>
    <w:basedOn w:val="8"/>
    <w:link w:val="2"/>
    <w:autoRedefine/>
    <w:semiHidden/>
    <w:qFormat/>
    <w:uiPriority w:val="9"/>
    <w:rPr>
      <w:rFonts w:asciiTheme="majorHAnsi" w:hAnsiTheme="majorHAnsi" w:eastAsiaTheme="majorEastAsia" w:cstheme="majorBidi"/>
      <w:b/>
      <w:bCs/>
      <w:sz w:val="32"/>
      <w:szCs w:val="32"/>
    </w:rPr>
  </w:style>
  <w:style w:type="character" w:customStyle="1" w:styleId="12">
    <w:name w:val="页脚 Char"/>
    <w:basedOn w:val="8"/>
    <w:link w:val="5"/>
    <w:autoRedefine/>
    <w:semiHidden/>
    <w:qFormat/>
    <w:uiPriority w:val="99"/>
    <w:rPr>
      <w:rFonts w:cs="Calibri"/>
      <w:sz w:val="18"/>
      <w:szCs w:val="18"/>
    </w:rPr>
  </w:style>
  <w:style w:type="character" w:customStyle="1" w:styleId="13">
    <w:name w:val="批注框文本 Char"/>
    <w:basedOn w:val="8"/>
    <w:link w:val="4"/>
    <w:autoRedefine/>
    <w:semiHidden/>
    <w:qFormat/>
    <w:uiPriority w:val="99"/>
    <w:rPr>
      <w:rFonts w:ascii="Calibri" w:hAnsi="Calibri" w:cs="Calibri"/>
      <w:kern w:val="2"/>
      <w:sz w:val="18"/>
      <w:szCs w:val="18"/>
    </w:rPr>
  </w:style>
  <w:style w:type="paragraph" w:customStyle="1" w:styleId="14">
    <w:name w:val="p0"/>
    <w:basedOn w:val="1"/>
    <w:autoRedefine/>
    <w:qFormat/>
    <w:uiPriority w:val="0"/>
    <w:pPr>
      <w:widowControl/>
    </w:pPr>
    <w:rPr>
      <w:rFonts w:ascii="Times New Roman" w:hAnsi="Times New Roman" w:eastAsia="宋体" w:cs="Times New Roman"/>
      <w:kern w:val="0"/>
      <w:szCs w:val="21"/>
    </w:rPr>
  </w:style>
  <w:style w:type="character" w:customStyle="1" w:styleId="15">
    <w:name w:val="row_tree_level_4"/>
    <w:basedOn w:val="8"/>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7</Pages>
  <Words>2435</Words>
  <Characters>2712</Characters>
  <Lines>3</Lines>
  <Paragraphs>5</Paragraphs>
  <TotalTime>24</TotalTime>
  <ScaleCrop>false</ScaleCrop>
  <LinksUpToDate>false</LinksUpToDate>
  <CharactersWithSpaces>2799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2018-01-17T02:36:00Z</dcterms:created>
  <dc:creator>Administrator</dc:creator>
  <cp:lastModifiedBy>蓝灵^_^</cp:lastModifiedBy>
  <cp:lastPrinted>2021-05-26T02:23:00Z</cp:lastPrinted>
  <dcterms:modified xsi:type="dcterms:W3CDTF">2024-03-17T02:42:57Z</dcterms:modified>
  <dc:title>附件2：2018年市级部门预算说明和预算公开表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B91E4856E9B5447C94C9556AAE40BE4A</vt:lpwstr>
  </property>
</Properties>
</file>