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bookmarkStart w:id="0" w:name="_GoBack"/>
      <w:r>
        <w:rPr>
          <w:rFonts w:hint="eastAsia" w:ascii="黑体" w:eastAsia="黑体"/>
          <w:sz w:val="44"/>
          <w:szCs w:val="36"/>
          <w:lang w:eastAsia="zh-CN"/>
        </w:rPr>
        <w:t>景德镇市昌江区市场监督管理局</w:t>
      </w:r>
      <w:r>
        <w:rPr>
          <w:rFonts w:hint="eastAsia" w:ascii="黑体" w:eastAsia="黑体"/>
          <w:sz w:val="44"/>
          <w:szCs w:val="36"/>
        </w:rPr>
        <w:t xml:space="preserve"> 20</w:t>
      </w:r>
      <w:r>
        <w:rPr>
          <w:rFonts w:hint="eastAsia" w:ascii="黑体" w:eastAsia="黑体"/>
          <w:sz w:val="44"/>
          <w:szCs w:val="36"/>
          <w:lang w:val="en-US" w:eastAsia="zh-CN"/>
        </w:rPr>
        <w:t>21</w:t>
      </w:r>
      <w:r>
        <w:rPr>
          <w:rFonts w:hint="eastAsia" w:ascii="黑体" w:eastAsia="黑体"/>
          <w:sz w:val="44"/>
          <w:szCs w:val="36"/>
        </w:rPr>
        <w:t>年部门预算</w:t>
      </w:r>
    </w:p>
    <w:bookmarkEnd w:id="0"/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第一部分  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第三部分  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 xml:space="preserve">第一部分  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1、贯彻执行国家、省、市、区有关食品药品监督管理、工商行政管理、质量技术监督等方面的法律、法规和政策；拟订相关规范性文件和政策、措施，经批准后监督实施。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2、拟订并组织实施市场监督管理事业发展规划和技术机构建设规划；组织推进质量发展工作；组织实施商标战略和名牌战略；指导广告业发展；参与制定商品交易市场发展规划。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3、负责涉及食品药品监督管理、工商行政管理、质量技术监督的各类行政审批和行政许可并监督管理。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4、组织指导查处违反食品药品监督管理、工商行政管理、质量技术监督法律、法规、规章的行为。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组织拟订并协调推进食品安全规划；依法承担食品安全综合协调工作；推动食品安全应急体系和隐患排查治理机制建设，按规定负责食品安全事故和突发事件的应对处置；依法统一发布重大食品安全信息；依法承担食品生产、食品流通及餐饮服务的安全监督管理职责；承担酒类、保健食品和化妆品市场监管职责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6、依法承担对各类市场经营秩序监管责任；负责市场交易行为和网络交易行为及有关服务行为监管职责，维护公平竞争的市场经营秩序；依法负责个体工商户、私营企业经营行为的监督管理；组织开展企业信用体系建设，推进政府企业信用、行业信用建设，实施信用分类管理；依法监督管理经纪人、经纪机构及经纪活动；依法监督管理直销企业和直销人员及其直销行为，依法查处违法直销和传销案件；负责各类广告活动的监督管理工作。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7、依法管理和指导质量工作，负责质量宏观管理和产品（商品）质量监督检查工作；组织产品（商品）质量预警、监测工作；受委托组织协调较大产品（商品）质量事故的调查处理；组织实施质量奖励制度和缺陷产品（商品）召回制度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eastAsia="仿宋_GB2312"/>
          <w:sz w:val="30"/>
          <w:szCs w:val="30"/>
        </w:rPr>
        <w:t>本部门共有预算单位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eastAsia="仿宋_GB2312"/>
          <w:sz w:val="30"/>
          <w:szCs w:val="30"/>
        </w:rPr>
        <w:t>个，</w:t>
      </w:r>
      <w:r>
        <w:rPr>
          <w:rFonts w:eastAsia="仿宋_GB2312"/>
          <w:sz w:val="32"/>
          <w:szCs w:val="32"/>
        </w:rPr>
        <w:t>编制人数</w:t>
      </w:r>
      <w:r>
        <w:rPr>
          <w:rFonts w:hint="eastAsia" w:eastAsia="仿宋_GB2312"/>
          <w:sz w:val="32"/>
          <w:szCs w:val="32"/>
          <w:lang w:val="en-US" w:eastAsia="zh-CN"/>
        </w:rPr>
        <w:t>42</w:t>
      </w:r>
      <w:r>
        <w:rPr>
          <w:rFonts w:eastAsia="仿宋_GB2312"/>
          <w:sz w:val="32"/>
          <w:szCs w:val="32"/>
        </w:rPr>
        <w:t>人，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其中：行政编制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人，全部补助事业编制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人；实有人数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人，其中：在职人数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人，退休人员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人。</w:t>
      </w:r>
    </w:p>
    <w:p>
      <w:pPr>
        <w:ind w:firstLine="570"/>
        <w:rPr>
          <w:rFonts w:hint="eastAsia" w:ascii="仿宋_GB2312" w:eastAsia="仿宋_GB2312"/>
          <w:sz w:val="32"/>
          <w:szCs w:val="30"/>
          <w:lang w:eastAsia="zh-CN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年收入预算总额为</w:t>
      </w:r>
      <w:r>
        <w:rPr>
          <w:rFonts w:hint="eastAsia" w:eastAsia="仿宋_GB2312"/>
          <w:sz w:val="30"/>
          <w:szCs w:val="30"/>
          <w:lang w:val="en-US" w:eastAsia="zh-CN"/>
        </w:rPr>
        <w:t>593.85万</w:t>
      </w:r>
      <w:r>
        <w:rPr>
          <w:rFonts w:eastAsia="仿宋_GB2312"/>
          <w:sz w:val="30"/>
          <w:szCs w:val="30"/>
        </w:rPr>
        <w:t>元，其中：经费拨款（补助）收入</w:t>
      </w:r>
      <w:r>
        <w:rPr>
          <w:rFonts w:hint="eastAsia" w:eastAsia="仿宋_GB2312"/>
          <w:sz w:val="30"/>
          <w:szCs w:val="30"/>
          <w:lang w:val="en-US" w:eastAsia="zh-CN"/>
        </w:rPr>
        <w:t>593.85万</w:t>
      </w:r>
      <w:r>
        <w:rPr>
          <w:rFonts w:eastAsia="仿宋_GB2312"/>
          <w:sz w:val="30"/>
          <w:szCs w:val="30"/>
        </w:rPr>
        <w:t>元，占收入预算总额的100%。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年支出预算总额为</w:t>
      </w:r>
      <w:r>
        <w:rPr>
          <w:rFonts w:hint="eastAsia" w:eastAsia="仿宋_GB2312"/>
          <w:sz w:val="30"/>
          <w:szCs w:val="30"/>
          <w:lang w:val="en-US" w:eastAsia="zh-CN"/>
        </w:rPr>
        <w:t>593.85万</w:t>
      </w:r>
      <w:r>
        <w:rPr>
          <w:rFonts w:eastAsia="仿宋_GB2312"/>
          <w:sz w:val="30"/>
          <w:szCs w:val="30"/>
        </w:rPr>
        <w:t>。其中：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按支出项目类别划分：基本支出</w:t>
      </w:r>
      <w:r>
        <w:rPr>
          <w:rFonts w:hint="eastAsia" w:eastAsia="仿宋_GB2312"/>
          <w:sz w:val="30"/>
          <w:szCs w:val="30"/>
          <w:lang w:val="en-US" w:eastAsia="zh-CN"/>
        </w:rPr>
        <w:t>500.85万</w:t>
      </w:r>
      <w:r>
        <w:rPr>
          <w:rFonts w:eastAsia="仿宋_GB2312"/>
          <w:sz w:val="30"/>
          <w:szCs w:val="30"/>
        </w:rPr>
        <w:t>元，占支出预算总额的</w:t>
      </w:r>
      <w:r>
        <w:rPr>
          <w:rFonts w:hint="eastAsia" w:eastAsia="仿宋_GB2312"/>
          <w:sz w:val="30"/>
          <w:szCs w:val="30"/>
          <w:lang w:val="en-US" w:eastAsia="zh-CN"/>
        </w:rPr>
        <w:t>84.34</w:t>
      </w:r>
      <w:r>
        <w:rPr>
          <w:rFonts w:eastAsia="仿宋_GB2312"/>
          <w:sz w:val="30"/>
          <w:szCs w:val="30"/>
        </w:rPr>
        <w:t>%，其中工资福利支出</w:t>
      </w:r>
      <w:r>
        <w:rPr>
          <w:rFonts w:hint="eastAsia" w:eastAsia="仿宋_GB2312"/>
          <w:sz w:val="30"/>
          <w:szCs w:val="30"/>
          <w:lang w:val="en-US" w:eastAsia="zh-CN"/>
        </w:rPr>
        <w:t>425.19万</w:t>
      </w:r>
      <w:r>
        <w:rPr>
          <w:rFonts w:eastAsia="仿宋_GB2312"/>
          <w:sz w:val="30"/>
          <w:szCs w:val="30"/>
        </w:rPr>
        <w:t>元、商品和服务支出</w:t>
      </w:r>
      <w:r>
        <w:rPr>
          <w:rFonts w:hint="eastAsia" w:eastAsia="仿宋_GB2312"/>
          <w:sz w:val="30"/>
          <w:szCs w:val="30"/>
          <w:lang w:val="en-US" w:eastAsia="zh-CN"/>
        </w:rPr>
        <w:t>68.45万</w:t>
      </w:r>
      <w:r>
        <w:rPr>
          <w:rFonts w:eastAsia="仿宋_GB2312"/>
          <w:sz w:val="30"/>
          <w:szCs w:val="30"/>
        </w:rPr>
        <w:t>元、对个人和家庭的补助</w:t>
      </w:r>
      <w:r>
        <w:rPr>
          <w:rFonts w:hint="eastAsia" w:eastAsia="仿宋_GB2312"/>
          <w:sz w:val="30"/>
          <w:szCs w:val="30"/>
          <w:lang w:val="en-US" w:eastAsia="zh-CN"/>
        </w:rPr>
        <w:t>7.21万</w:t>
      </w:r>
      <w:r>
        <w:rPr>
          <w:rFonts w:eastAsia="仿宋_GB2312"/>
          <w:sz w:val="30"/>
          <w:szCs w:val="30"/>
        </w:rPr>
        <w:t>元、其他资本性支出0元；项目支出</w:t>
      </w:r>
      <w:r>
        <w:rPr>
          <w:rFonts w:hint="eastAsia" w:eastAsia="仿宋_GB2312"/>
          <w:sz w:val="30"/>
          <w:szCs w:val="30"/>
          <w:lang w:val="en-US" w:eastAsia="zh-CN"/>
        </w:rPr>
        <w:t>93万</w:t>
      </w:r>
      <w:r>
        <w:rPr>
          <w:rFonts w:eastAsia="仿宋_GB2312"/>
          <w:sz w:val="30"/>
          <w:szCs w:val="30"/>
        </w:rPr>
        <w:t>元，占支出预算总额</w:t>
      </w:r>
      <w:r>
        <w:rPr>
          <w:rFonts w:hint="eastAsia" w:eastAsia="仿宋_GB2312"/>
          <w:sz w:val="30"/>
          <w:szCs w:val="30"/>
          <w:lang w:val="en-US" w:eastAsia="zh-CN"/>
        </w:rPr>
        <w:t>15.66</w:t>
      </w:r>
      <w:r>
        <w:rPr>
          <w:rFonts w:eastAsia="仿宋_GB2312"/>
          <w:sz w:val="30"/>
          <w:szCs w:val="30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年经费拨款（补助）支出预算</w:t>
      </w:r>
      <w:r>
        <w:rPr>
          <w:rFonts w:hint="eastAsia" w:eastAsia="仿宋_GB2312"/>
          <w:sz w:val="30"/>
          <w:szCs w:val="30"/>
          <w:lang w:val="en-US" w:eastAsia="zh-CN"/>
        </w:rPr>
        <w:t>593.85万</w:t>
      </w:r>
      <w:r>
        <w:rPr>
          <w:rFonts w:eastAsia="仿宋_GB2312"/>
          <w:sz w:val="30"/>
          <w:szCs w:val="30"/>
        </w:rPr>
        <w:t>元，占支出预算总额的100%。</w:t>
      </w:r>
      <w:r>
        <w:rPr>
          <w:rFonts w:hint="eastAsia" w:eastAsia="仿宋_GB2312"/>
          <w:sz w:val="32"/>
          <w:szCs w:val="32"/>
        </w:rPr>
        <w:t>具体支出情况是：</w:t>
      </w:r>
      <w:r>
        <w:rPr>
          <w:rFonts w:hint="eastAsia" w:eastAsia="仿宋_GB2312"/>
          <w:sz w:val="32"/>
          <w:szCs w:val="32"/>
          <w:lang w:eastAsia="zh-CN"/>
        </w:rPr>
        <w:t>一般公共服务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490.53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37.04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23.92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42.36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321" w:firstLineChars="1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sz w:val="32"/>
          <w:szCs w:val="30"/>
        </w:rPr>
        <w:t>无政府性基金预算拨款安排的支出，较上年无变化。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年部门机关运行费用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68.45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办公费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10.00</w:t>
      </w:r>
      <w:r>
        <w:rPr>
          <w:rFonts w:hint="eastAsia" w:ascii="仿宋_GB2312" w:eastAsia="仿宋_GB2312"/>
          <w:sz w:val="32"/>
          <w:szCs w:val="30"/>
        </w:rPr>
        <w:t>万元，印刷费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10.00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水费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0.20万元，电费0.80万元，</w:t>
      </w:r>
      <w:r>
        <w:rPr>
          <w:rFonts w:hint="eastAsia" w:ascii="仿宋_GB2312" w:eastAsia="仿宋_GB2312"/>
          <w:sz w:val="32"/>
          <w:szCs w:val="30"/>
        </w:rPr>
        <w:t>邮电费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1.00</w:t>
      </w:r>
      <w:r>
        <w:rPr>
          <w:rFonts w:hint="eastAsia" w:ascii="仿宋_GB2312" w:eastAsia="仿宋_GB2312"/>
          <w:sz w:val="32"/>
          <w:szCs w:val="30"/>
        </w:rPr>
        <w:t>万元，差旅费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1.80</w:t>
      </w:r>
      <w:r>
        <w:rPr>
          <w:rFonts w:hint="eastAsia" w:ascii="仿宋_GB2312" w:eastAsia="仿宋_GB2312"/>
          <w:sz w:val="32"/>
          <w:szCs w:val="30"/>
        </w:rPr>
        <w:t>万元，维修（护）费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3.00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培训费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3.00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5.00万元，公务用车运行维护费15.54万元，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其他交通费用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12.95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万元，其他商品和服务支出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2.96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750" w:firstLineChars="250"/>
        <w:jc w:val="left"/>
        <w:rPr>
          <w:rFonts w:ascii="仿宋_GB2312" w:eastAsia="仿宋_GB2312"/>
          <w:sz w:val="32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21</w:t>
      </w:r>
      <w:r>
        <w:rPr>
          <w:rFonts w:eastAsia="仿宋_GB2312"/>
          <w:sz w:val="30"/>
          <w:szCs w:val="30"/>
        </w:rPr>
        <w:t>年政府采购预算为</w:t>
      </w:r>
      <w:r>
        <w:rPr>
          <w:rFonts w:hint="eastAsia" w:eastAsia="仿宋_GB2312"/>
          <w:sz w:val="30"/>
          <w:szCs w:val="30"/>
          <w:lang w:val="en-US" w:eastAsia="zh-CN"/>
        </w:rPr>
        <w:t>60.00万</w:t>
      </w:r>
      <w:r>
        <w:rPr>
          <w:rFonts w:eastAsia="仿宋_GB2312"/>
          <w:sz w:val="30"/>
          <w:szCs w:val="30"/>
        </w:rPr>
        <w:t>元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1280" w:firstLineChars="4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sz w:val="32"/>
          <w:szCs w:val="30"/>
        </w:rPr>
        <w:t>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17.74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因公出国（境）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万元，主要原因是：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本部门没有安排相关预算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2.20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与上年比无变化。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15.54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</w:t>
      </w:r>
      <w:r>
        <w:rPr>
          <w:rFonts w:hint="eastAsia" w:eastAsia="仿宋_GB2312"/>
          <w:sz w:val="32"/>
          <w:szCs w:val="32"/>
          <w:lang w:eastAsia="zh-CN"/>
        </w:rPr>
        <w:t>持平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公务用车购置费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ascii="仿宋_GB2312" w:eastAsia="仿宋_GB2312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第三部分  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景德镇市昌江区市场监督管理局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（一）收入科目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财政拨款：指财政当年拨付的资金。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（二）支出科目</w:t>
      </w:r>
    </w:p>
    <w:p>
      <w:pPr>
        <w:widowControl/>
        <w:shd w:val="clear" w:color="auto" w:fill="FFFFFF"/>
        <w:spacing w:line="510" w:lineRule="atLeast"/>
        <w:jc w:val="left"/>
        <w:rPr>
          <w:color w:val="FF000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一般公共服务（类）财政事务（款）行政运行（项）：指财政部门行政单位及参照公务员管理的事业单位，用于保障机构正常运行，开展日常工作的基本支出。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一般公共服务（类）财政事务（款）行政运行（项）：指行政单位及参照公务员法管理的事业单位，用于保障机构正常运行、开展日常工作的基本支出。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6C42818"/>
    <w:rsid w:val="0A1A103F"/>
    <w:rsid w:val="0E051D04"/>
    <w:rsid w:val="0FFD0F72"/>
    <w:rsid w:val="1765454B"/>
    <w:rsid w:val="27F31DF1"/>
    <w:rsid w:val="28AD2040"/>
    <w:rsid w:val="37D83446"/>
    <w:rsid w:val="43F00DC7"/>
    <w:rsid w:val="5C36365C"/>
    <w:rsid w:val="5FB31D1C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20</TotalTime>
  <ScaleCrop>false</ScaleCrop>
  <LinksUpToDate>false</LinksUpToDate>
  <CharactersWithSpaces>1289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欧阳浩祺</cp:lastModifiedBy>
  <cp:lastPrinted>2016-11-21T09:06:00Z</cp:lastPrinted>
  <dcterms:modified xsi:type="dcterms:W3CDTF">2021-05-11T07:40:35Z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5BDEADF9D16E45CE9E2A6987533E5677</vt:lpwstr>
  </property>
</Properties>
</file>