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sz w:val="32"/>
          <w:szCs w:val="32"/>
        </w:rPr>
      </w:pPr>
      <w:bookmarkStart w:id="0" w:name="_GoBack"/>
      <w:bookmarkEnd w:id="0"/>
    </w:p>
    <w:p>
      <w:pPr>
        <w:pStyle w:val="3"/>
        <w:spacing w:before="0" w:after="0" w:line="240" w:lineRule="auto"/>
        <w:jc w:val="center"/>
        <w:rPr>
          <w:rFonts w:hint="eastAsia" w:ascii="黑体" w:hAnsi="黑体" w:eastAsia="黑体" w:cs="黑体"/>
          <w:lang w:val="en-US" w:eastAsia="zh-CN"/>
        </w:rPr>
      </w:pPr>
      <w:r>
        <w:rPr>
          <w:rFonts w:hint="eastAsia" w:ascii="黑体" w:hAnsi="黑体" w:eastAsia="黑体" w:cs="黑体"/>
          <w:lang w:val="en-US" w:eastAsia="zh-CN"/>
        </w:rPr>
        <w:t>昌江区市场监督管理局</w:t>
      </w:r>
      <w:r>
        <w:rPr>
          <w:rFonts w:hint="eastAsia" w:ascii="黑体" w:hAnsi="黑体" w:eastAsia="黑体" w:cs="黑体"/>
          <w:lang w:eastAsia="zh-CN"/>
        </w:rPr>
        <w:t>202</w:t>
      </w:r>
      <w:r>
        <w:rPr>
          <w:rFonts w:hint="eastAsia" w:ascii="黑体" w:hAnsi="黑体" w:eastAsia="黑体" w:cs="黑体"/>
          <w:lang w:val="en-US" w:eastAsia="zh-CN"/>
        </w:rPr>
        <w:t>3</w:t>
      </w:r>
      <w:r>
        <w:rPr>
          <w:rFonts w:hint="eastAsia" w:ascii="黑体" w:hAnsi="黑体" w:eastAsia="黑体" w:cs="黑体"/>
        </w:rPr>
        <w:t>年部门预算</w:t>
      </w:r>
      <w:r>
        <w:rPr>
          <w:rFonts w:hint="eastAsia" w:ascii="黑体" w:hAnsi="黑体" w:eastAsia="黑体" w:cs="黑体"/>
          <w:lang w:val="en-US" w:eastAsia="zh-CN"/>
        </w:rPr>
        <w:t>公开</w:t>
      </w:r>
    </w:p>
    <w:p>
      <w:pPr>
        <w:pStyle w:val="3"/>
        <w:spacing w:before="0" w:after="0" w:line="240" w:lineRule="auto"/>
        <w:jc w:val="center"/>
        <w:rPr>
          <w:rFonts w:ascii="黑体" w:hAnsi="黑体" w:eastAsia="黑体" w:cs="黑体"/>
        </w:rPr>
      </w:pP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eastAsia="zh-CN"/>
        </w:rPr>
        <w:t>昌江区市场监督管理局</w:t>
      </w:r>
      <w:r>
        <w:rPr>
          <w:rFonts w:hint="eastAsia" w:ascii="黑体" w:hAnsi="宋体" w:eastAsia="黑体" w:cs="黑体"/>
          <w:sz w:val="32"/>
          <w:szCs w:val="32"/>
        </w:rPr>
        <w:t>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eastAsia="zh-CN"/>
        </w:rPr>
        <w:t>昌江区市场监督管理局202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2023</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2023</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eastAsia="zh-CN"/>
        </w:rPr>
        <w:t>昌江区市场监督管理局202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lang w:val="en-US" w:eastAsia="zh-CN"/>
        </w:rPr>
        <w:t>二</w:t>
      </w:r>
      <w:r>
        <w:rPr>
          <w:rFonts w:hint="eastAsia" w:ascii="仿宋_GB2312" w:hAnsi="宋体" w:eastAsia="仿宋_GB2312" w:cs="仿宋_GB2312"/>
          <w:sz w:val="32"/>
          <w:szCs w:val="32"/>
        </w:rPr>
        <w:t>级项目绩效目标表》</w:t>
      </w:r>
    </w:p>
    <w:p>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eastAsia="zh-CN"/>
        </w:rPr>
        <w:t>昌江区市场监督管理局</w:t>
      </w:r>
      <w:r>
        <w:rPr>
          <w:rFonts w:hint="eastAsia" w:ascii="黑体" w:hAnsi="宋体" w:eastAsia="黑体" w:cs="黑体"/>
          <w:sz w:val="32"/>
          <w:szCs w:val="32"/>
        </w:rPr>
        <w:t>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ind w:firstLine="630"/>
        <w:jc w:val="left"/>
        <w:rPr>
          <w:rFonts w:ascii="仿宋" w:hAnsi="仿宋" w:eastAsia="仿宋"/>
          <w:sz w:val="32"/>
          <w:szCs w:val="32"/>
        </w:rPr>
      </w:pPr>
      <w:r>
        <w:rPr>
          <w:rFonts w:hint="eastAsia" w:ascii="仿宋" w:hAnsi="仿宋" w:eastAsia="仿宋"/>
          <w:sz w:val="32"/>
          <w:szCs w:val="32"/>
        </w:rPr>
        <w:t>1、贯彻执行国家、省、市、区有关食品药品监督管理、工商行政管理、质量技术监督等方面的法律、法规和政策；拟订相关规范性文件和政策、措施，经批准后监督实施。</w:t>
      </w:r>
    </w:p>
    <w:p>
      <w:pPr>
        <w:ind w:firstLine="630"/>
        <w:jc w:val="left"/>
        <w:rPr>
          <w:rFonts w:ascii="仿宋" w:hAnsi="仿宋" w:eastAsia="仿宋"/>
          <w:sz w:val="32"/>
          <w:szCs w:val="32"/>
        </w:rPr>
      </w:pPr>
      <w:r>
        <w:rPr>
          <w:rFonts w:hint="eastAsia" w:ascii="仿宋" w:hAnsi="仿宋" w:eastAsia="仿宋"/>
          <w:sz w:val="32"/>
          <w:szCs w:val="32"/>
        </w:rPr>
        <w:t>2、拟订并组织实施市场监督管理事业发展规划和技术机构建设规划；组织推进质量发展工作；组织实施商标战略和名牌战略；指导广告业发展；参与制定商品交易市场发展规划。</w:t>
      </w:r>
    </w:p>
    <w:p>
      <w:pPr>
        <w:ind w:firstLine="630"/>
        <w:jc w:val="left"/>
        <w:rPr>
          <w:rFonts w:ascii="仿宋" w:hAnsi="仿宋" w:eastAsia="仿宋"/>
          <w:sz w:val="32"/>
          <w:szCs w:val="32"/>
        </w:rPr>
      </w:pPr>
      <w:r>
        <w:rPr>
          <w:rFonts w:hint="eastAsia" w:ascii="仿宋" w:hAnsi="仿宋" w:eastAsia="仿宋"/>
          <w:sz w:val="32"/>
          <w:szCs w:val="32"/>
        </w:rPr>
        <w:t>3、负责涉及食品药品监督管理、工商行政管理、质量技术监督的各类行政审批和行政许可并监督管理。</w:t>
      </w:r>
    </w:p>
    <w:p>
      <w:pPr>
        <w:ind w:firstLine="630"/>
        <w:jc w:val="left"/>
        <w:rPr>
          <w:rFonts w:ascii="仿宋" w:hAnsi="仿宋" w:eastAsia="仿宋"/>
          <w:sz w:val="32"/>
          <w:szCs w:val="32"/>
        </w:rPr>
      </w:pPr>
      <w:r>
        <w:rPr>
          <w:rFonts w:hint="eastAsia" w:ascii="仿宋" w:hAnsi="仿宋" w:eastAsia="仿宋"/>
          <w:sz w:val="32"/>
          <w:szCs w:val="32"/>
        </w:rPr>
        <w:t>4、组织指导查处违反食品药品监督管理、工商行政管理、质量技术监督法律、法规、规章的行为。</w:t>
      </w:r>
    </w:p>
    <w:p>
      <w:pPr>
        <w:ind w:firstLine="630"/>
        <w:jc w:val="left"/>
        <w:rPr>
          <w:rFonts w:ascii="仿宋" w:hAnsi="仿宋" w:eastAsia="仿宋"/>
          <w:sz w:val="32"/>
          <w:szCs w:val="32"/>
        </w:rPr>
      </w:pPr>
      <w:r>
        <w:rPr>
          <w:rFonts w:hint="eastAsia" w:ascii="仿宋" w:hAnsi="仿宋" w:eastAsia="仿宋"/>
          <w:sz w:val="32"/>
          <w:szCs w:val="32"/>
        </w:rPr>
        <w:t>5、组织拟订并协调推进食品安全规划；依法承担食品安全综合协调工作；推动食品安全应急体系和隐患排查治理机制建设，按规定负责食品安全事故和突发事件的应对处置；依法统一发布重大食品安全信息；依法承担食品生产、食品流通及餐饮服务的安全监督管理职责；承担酒类、保健食品和化妆品市场监管职责。</w:t>
      </w:r>
    </w:p>
    <w:p>
      <w:pPr>
        <w:ind w:firstLine="630"/>
        <w:jc w:val="left"/>
        <w:rPr>
          <w:rFonts w:ascii="仿宋" w:hAnsi="仿宋" w:eastAsia="仿宋"/>
          <w:sz w:val="32"/>
          <w:szCs w:val="32"/>
        </w:rPr>
      </w:pPr>
      <w:r>
        <w:rPr>
          <w:rFonts w:hint="eastAsia" w:ascii="仿宋" w:hAnsi="仿宋" w:eastAsia="仿宋"/>
          <w:sz w:val="32"/>
          <w:szCs w:val="32"/>
        </w:rPr>
        <w:t xml:space="preserve"> 6、依法承担对各类市场经营秩序监管责任；负责市场交易行为和网络交易行为及有关服务行为监管职责，维护公平竞争的市场经营秩序；依法负责个体工商户、私营企业经营行为的监督管理；组织开展企业信用体系建设，推进政府企业信用、行业信用建设，实施信用分类管理；依法监督管理经纪人、经纪机构及经纪活动；依法监督管理直销企业和直销人员及其直销行为，依法查处违法直销和传销案件；负责各类广告活动的监督管理工作。</w:t>
      </w:r>
    </w:p>
    <w:p>
      <w:pPr>
        <w:ind w:firstLine="630"/>
        <w:jc w:val="left"/>
        <w:rPr>
          <w:rFonts w:ascii="仿宋" w:hAnsi="仿宋" w:eastAsia="仿宋"/>
          <w:sz w:val="32"/>
          <w:szCs w:val="32"/>
        </w:rPr>
      </w:pPr>
      <w:r>
        <w:rPr>
          <w:rFonts w:hint="eastAsia" w:ascii="仿宋" w:hAnsi="仿宋" w:eastAsia="仿宋"/>
          <w:sz w:val="32"/>
          <w:szCs w:val="32"/>
        </w:rPr>
        <w:t xml:space="preserve"> 7、依法管理和指导质量工作，负责质量宏观管理和产品（商品）质量监督检查工作；组织产品（商品）质量预警、监测工作；受委托组织协调较大产品（商品）质量事故的调查处理；组织实施质量奖励制度和缺陷产品（商品）召回制度。</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ind w:firstLine="570"/>
        <w:rPr>
          <w:rFonts w:hint="default" w:ascii="仿宋_GB2312" w:eastAsia="仿宋_GB2312"/>
          <w:sz w:val="32"/>
          <w:szCs w:val="30"/>
          <w:lang w:val="en-US" w:eastAsia="zh-CN"/>
        </w:rPr>
      </w:pPr>
      <w:r>
        <w:rPr>
          <w:rFonts w:eastAsia="仿宋_GB2312"/>
          <w:sz w:val="30"/>
          <w:szCs w:val="30"/>
        </w:rPr>
        <w:t>本部门共有预算单位</w:t>
      </w:r>
      <w:r>
        <w:rPr>
          <w:rFonts w:hint="eastAsia" w:eastAsia="仿宋_GB2312"/>
          <w:sz w:val="30"/>
          <w:szCs w:val="30"/>
          <w:lang w:val="en-US" w:eastAsia="zh-CN"/>
        </w:rPr>
        <w:t>1</w:t>
      </w:r>
      <w:r>
        <w:rPr>
          <w:rFonts w:eastAsia="仿宋_GB2312"/>
          <w:sz w:val="30"/>
          <w:szCs w:val="30"/>
        </w:rPr>
        <w:t>个，编制人数</w:t>
      </w:r>
      <w:r>
        <w:rPr>
          <w:rFonts w:hint="eastAsia" w:eastAsia="仿宋_GB2312"/>
          <w:sz w:val="30"/>
          <w:szCs w:val="30"/>
          <w:lang w:val="en-US" w:eastAsia="zh-CN"/>
        </w:rPr>
        <w:t>43</w:t>
      </w:r>
      <w:r>
        <w:rPr>
          <w:rFonts w:eastAsia="仿宋_GB2312"/>
          <w:sz w:val="30"/>
          <w:szCs w:val="30"/>
        </w:rPr>
        <w:t>人，</w:t>
      </w:r>
      <w:r>
        <w:rPr>
          <w:rFonts w:hint="eastAsia" w:eastAsia="仿宋_GB2312"/>
          <w:sz w:val="30"/>
          <w:szCs w:val="30"/>
          <w:lang w:eastAsia="zh-CN"/>
        </w:rPr>
        <w:t>行政编制</w:t>
      </w:r>
      <w:r>
        <w:rPr>
          <w:rFonts w:hint="eastAsia" w:eastAsia="仿宋_GB2312"/>
          <w:sz w:val="30"/>
          <w:szCs w:val="30"/>
          <w:lang w:val="en-US" w:eastAsia="zh-CN"/>
        </w:rPr>
        <w:t>23人，在职人员16人，事业编制20人，在职人员21人。实有人数60人，其中：在职人员37人，退休人员23人。</w:t>
      </w: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eastAsia="zh-CN"/>
        </w:rPr>
        <w:t>昌江区市场监督管理局202</w:t>
      </w:r>
      <w:r>
        <w:rPr>
          <w:rFonts w:hint="eastAsia" w:ascii="黑体" w:hAnsi="宋体" w:eastAsia="黑体" w:cs="黑体"/>
          <w:sz w:val="32"/>
          <w:szCs w:val="32"/>
          <w:lang w:val="en-US" w:eastAsia="zh-CN"/>
        </w:rPr>
        <w:t>3</w:t>
      </w:r>
      <w:r>
        <w:rPr>
          <w:rFonts w:hint="eastAsia" w:ascii="黑体" w:hAnsi="宋体" w:eastAsia="黑体" w:cs="黑体"/>
          <w:sz w:val="32"/>
          <w:szCs w:val="32"/>
        </w:rPr>
        <w:t>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202</w:t>
      </w:r>
      <w:r>
        <w:rPr>
          <w:rFonts w:hint="eastAsia" w:ascii="仿宋_GB2312" w:hAnsi="宋体" w:eastAsia="仿宋_GB2312" w:cs="仿宋_GB2312"/>
          <w:b/>
          <w:bCs/>
          <w:sz w:val="32"/>
          <w:szCs w:val="32"/>
          <w:lang w:val="en-US" w:eastAsia="zh-CN"/>
        </w:rPr>
        <w:t>3</w:t>
      </w:r>
      <w:r>
        <w:rPr>
          <w:rFonts w:hint="eastAsia" w:ascii="仿宋_GB2312" w:hAnsi="宋体" w:eastAsia="仿宋_GB2312" w:cs="仿宋_GB2312"/>
          <w:b/>
          <w:bCs/>
          <w:sz w:val="32"/>
          <w:szCs w:val="32"/>
        </w:rPr>
        <w:t>年部门预算收支情况说明</w:t>
      </w:r>
    </w:p>
    <w:p>
      <w:pPr>
        <w:ind w:firstLine="482" w:firstLineChars="150"/>
        <w:rPr>
          <w:rFonts w:ascii="仿宋_GB2312" w:eastAsia="仿宋_GB2312" w:cs="Times New Roman"/>
          <w:sz w:val="32"/>
          <w:szCs w:val="32"/>
        </w:rPr>
      </w:pPr>
      <w:r>
        <w:rPr>
          <w:rFonts w:hint="eastAsia" w:ascii="仿宋_GB2312" w:hAnsi="宋体" w:eastAsia="仿宋_GB2312" w:cs="仿宋_GB2312"/>
          <w:b/>
          <w:bCs/>
          <w:sz w:val="32"/>
          <w:szCs w:val="32"/>
        </w:rPr>
        <w:t>（一）预算收入情况</w:t>
      </w:r>
    </w:p>
    <w:p>
      <w:pPr>
        <w:ind w:firstLine="1232" w:firstLineChars="385"/>
        <w:rPr>
          <w:rFonts w:ascii="仿宋_GB2312" w:eastAsia="仿宋_GB2312" w:cs="Times New Roman"/>
          <w:sz w:val="32"/>
          <w:szCs w:val="32"/>
        </w:rPr>
      </w:pPr>
      <w:r>
        <w:rPr>
          <w:rFonts w:hint="eastAsia" w:ascii="仿宋_GB2312" w:hAnsi="宋体" w:eastAsia="仿宋_GB2312" w:cs="仿宋_GB2312"/>
          <w:sz w:val="32"/>
          <w:szCs w:val="32"/>
          <w:lang w:eastAsia="zh-CN"/>
        </w:rPr>
        <w:t>202</w:t>
      </w: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昌江区市场监督管理局</w:t>
      </w:r>
      <w:r>
        <w:rPr>
          <w:rFonts w:hint="eastAsia" w:ascii="仿宋_GB2312" w:hAnsi="宋体" w:eastAsia="仿宋_GB2312" w:cs="仿宋_GB2312"/>
          <w:sz w:val="32"/>
          <w:szCs w:val="32"/>
        </w:rPr>
        <w:t>收入预算总额为</w:t>
      </w:r>
      <w:r>
        <w:rPr>
          <w:rFonts w:hint="eastAsia" w:ascii="仿宋_GB2312" w:hAnsi="宋体" w:eastAsia="仿宋_GB2312" w:cs="仿宋_GB2312"/>
          <w:sz w:val="32"/>
          <w:szCs w:val="32"/>
          <w:lang w:val="en-US" w:eastAsia="zh-CN"/>
        </w:rPr>
        <w:t>1109.58</w:t>
      </w:r>
      <w:r>
        <w:rPr>
          <w:rFonts w:hint="eastAsia" w:ascii="仿宋_GB2312" w:hAnsi="宋体" w:eastAsia="仿宋_GB2312" w:cs="仿宋_GB2312"/>
          <w:sz w:val="32"/>
          <w:szCs w:val="32"/>
        </w:rPr>
        <w:t>万元，与上年预算相比增</w:t>
      </w:r>
      <w:r>
        <w:rPr>
          <w:rFonts w:hint="eastAsia" w:ascii="仿宋_GB2312" w:hAnsi="宋体" w:eastAsia="仿宋_GB2312" w:cs="仿宋_GB2312"/>
          <w:sz w:val="32"/>
          <w:szCs w:val="32"/>
          <w:lang w:eastAsia="zh-CN"/>
        </w:rPr>
        <w:t>加了</w:t>
      </w:r>
      <w:r>
        <w:rPr>
          <w:rFonts w:hint="eastAsia" w:ascii="仿宋_GB2312" w:hAnsi="宋体" w:eastAsia="仿宋_GB2312" w:cs="仿宋_GB2312"/>
          <w:sz w:val="32"/>
          <w:szCs w:val="32"/>
          <w:lang w:val="en-US" w:eastAsia="zh-CN"/>
        </w:rPr>
        <w:t>821万元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主要原因是其他收入增加</w:t>
      </w:r>
      <w:r>
        <w:rPr>
          <w:rFonts w:hint="eastAsia" w:ascii="仿宋_GB2312" w:hAnsi="宋体" w:eastAsia="仿宋_GB2312" w:cs="仿宋_GB2312"/>
          <w:sz w:val="32"/>
          <w:szCs w:val="32"/>
        </w:rPr>
        <w:t>。其中：当年财政拨款收入</w:t>
      </w:r>
      <w:r>
        <w:rPr>
          <w:rFonts w:hint="eastAsia" w:ascii="仿宋_GB2312" w:hAnsi="宋体" w:eastAsia="仿宋_GB2312" w:cs="仿宋_GB2312"/>
          <w:sz w:val="32"/>
          <w:szCs w:val="32"/>
          <w:lang w:val="en-US" w:eastAsia="zh-CN"/>
        </w:rPr>
        <w:t>726.50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65.48</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；事业单位经营收入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；当年其他各项收入</w:t>
      </w:r>
      <w:r>
        <w:rPr>
          <w:rFonts w:hint="eastAsia" w:ascii="仿宋_GB2312" w:hAnsi="宋体" w:eastAsia="仿宋_GB2312" w:cs="仿宋_GB2312"/>
          <w:sz w:val="32"/>
          <w:szCs w:val="32"/>
          <w:lang w:val="en-US" w:eastAsia="zh-CN"/>
        </w:rPr>
        <w:t>380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34.25</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w:t>
      </w:r>
      <w:r>
        <w:rPr>
          <w:rFonts w:hint="eastAsia" w:ascii="仿宋_GB2312" w:hAnsi="宋体" w:eastAsia="仿宋_GB2312" w:cs="仿宋_GB2312"/>
          <w:sz w:val="32"/>
          <w:szCs w:val="32"/>
          <w:lang w:val="en-US" w:eastAsia="zh-CN"/>
        </w:rPr>
        <w:t>3.09</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0.27</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ind w:firstLine="640" w:firstLineChars="200"/>
        <w:rPr>
          <w:rFonts w:hint="eastAsia" w:ascii="仿宋_GB2312" w:eastAsia="仿宋_GB2312" w:cs="Times New Roman"/>
          <w:sz w:val="32"/>
          <w:szCs w:val="32"/>
          <w:lang w:eastAsia="zh-CN"/>
        </w:rPr>
      </w:pPr>
      <w:r>
        <w:rPr>
          <w:rFonts w:hint="eastAsia" w:ascii="仿宋_GB2312" w:hAnsi="宋体" w:eastAsia="仿宋_GB2312" w:cs="仿宋_GB2312"/>
          <w:sz w:val="32"/>
          <w:szCs w:val="32"/>
          <w:lang w:eastAsia="zh-CN"/>
        </w:rPr>
        <w:t>2023</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昌江区市场监督管理局</w:t>
      </w:r>
      <w:r>
        <w:rPr>
          <w:rFonts w:hint="eastAsia" w:ascii="仿宋_GB2312" w:hAnsi="宋体" w:eastAsia="仿宋_GB2312" w:cs="仿宋_GB2312"/>
          <w:sz w:val="32"/>
          <w:szCs w:val="32"/>
        </w:rPr>
        <w:t>支出预算总额为</w:t>
      </w:r>
      <w:r>
        <w:rPr>
          <w:rFonts w:hint="eastAsia" w:ascii="仿宋_GB2312" w:hAnsi="宋体" w:eastAsia="仿宋_GB2312" w:cs="仿宋_GB2312"/>
          <w:sz w:val="32"/>
          <w:szCs w:val="32"/>
          <w:lang w:val="en-US" w:eastAsia="zh-CN"/>
        </w:rPr>
        <w:t>1109.58</w:t>
      </w:r>
      <w:r>
        <w:rPr>
          <w:rFonts w:hint="eastAsia" w:ascii="仿宋_GB2312" w:hAnsi="宋体" w:eastAsia="仿宋_GB2312" w:cs="仿宋_GB2312"/>
          <w:sz w:val="32"/>
          <w:szCs w:val="32"/>
        </w:rPr>
        <w:t>万元，与上年预算相比增</w:t>
      </w:r>
      <w:r>
        <w:rPr>
          <w:rFonts w:hint="eastAsia" w:ascii="仿宋_GB2312" w:hAnsi="宋体" w:eastAsia="仿宋_GB2312" w:cs="仿宋_GB2312"/>
          <w:sz w:val="32"/>
          <w:szCs w:val="32"/>
          <w:lang w:eastAsia="zh-CN"/>
        </w:rPr>
        <w:t>加</w:t>
      </w:r>
      <w:r>
        <w:rPr>
          <w:rFonts w:hint="eastAsia" w:ascii="仿宋_GB2312" w:hAnsi="宋体" w:eastAsia="仿宋_GB2312" w:cs="仿宋_GB2312"/>
          <w:sz w:val="32"/>
          <w:szCs w:val="32"/>
          <w:lang w:val="en-US" w:eastAsia="zh-CN"/>
        </w:rPr>
        <w:t>821万元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主要原因是增加了商品和服务支出经费和项目支出</w:t>
      </w:r>
      <w:r>
        <w:rPr>
          <w:rFonts w:hint="eastAsia" w:ascii="仿宋_GB2312" w:hAnsi="宋体" w:eastAsia="仿宋_GB2312" w:cs="仿宋_GB2312"/>
          <w:sz w:val="32"/>
          <w:szCs w:val="32"/>
        </w:rPr>
        <w:t>。其中：按支出项目类别划分：基本支出</w:t>
      </w:r>
      <w:r>
        <w:rPr>
          <w:rFonts w:hint="eastAsia" w:ascii="仿宋_GB2312" w:hAnsi="宋体" w:eastAsia="仿宋_GB2312" w:cs="仿宋_GB2312"/>
          <w:sz w:val="32"/>
          <w:szCs w:val="32"/>
          <w:lang w:val="en-US" w:eastAsia="zh-CN"/>
        </w:rPr>
        <w:t>997.78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89.92</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533.71</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451.64</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10.93</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1.50</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111.81</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10.08</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18.72</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93.09</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万元、债务利息支出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万元、基本建设支出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万元、其他相关支出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万元；事业经营支出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；对附属单位补助支出的</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；上缴上级支出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ind w:firstLine="640" w:firstLineChars="200"/>
        <w:rPr>
          <w:rFonts w:hint="eastAsia" w:ascii="仿宋_GB2312" w:eastAsia="仿宋_GB2312" w:cs="Times New Roman"/>
          <w:sz w:val="32"/>
          <w:szCs w:val="32"/>
          <w:lang w:eastAsia="zh-CN"/>
        </w:rPr>
      </w:pPr>
      <w:r>
        <w:rPr>
          <w:rFonts w:hint="eastAsia" w:ascii="仿宋_GB2312" w:hAnsi="宋体" w:eastAsia="仿宋_GB2312" w:cs="仿宋_GB2312"/>
          <w:sz w:val="32"/>
          <w:szCs w:val="32"/>
        </w:rPr>
        <w:t>按支出功能项目科目划分：</w:t>
      </w:r>
      <w:r>
        <w:rPr>
          <w:rFonts w:hint="eastAsia" w:ascii="仿宋_GB2312" w:hAnsi="宋体" w:eastAsia="仿宋_GB2312" w:cs="仿宋_GB2312"/>
          <w:sz w:val="32"/>
          <w:szCs w:val="32"/>
          <w:lang w:eastAsia="zh-CN"/>
        </w:rPr>
        <w:t>一般公共服务支出</w:t>
      </w:r>
      <w:r>
        <w:rPr>
          <w:rFonts w:hint="eastAsia" w:ascii="仿宋_GB2312" w:hAnsi="宋体" w:eastAsia="仿宋_GB2312" w:cs="仿宋_GB2312"/>
          <w:sz w:val="32"/>
          <w:szCs w:val="32"/>
          <w:lang w:val="en-US" w:eastAsia="zh-CN"/>
        </w:rPr>
        <w:t>1004.18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90.50</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社会保障和就业</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43.01</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3.88</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卫生健康支出</w:t>
      </w:r>
      <w:r>
        <w:rPr>
          <w:rFonts w:hint="eastAsia" w:ascii="仿宋_GB2312" w:hAnsi="宋体" w:eastAsia="仿宋_GB2312" w:cs="仿宋_GB2312"/>
          <w:sz w:val="32"/>
          <w:szCs w:val="32"/>
          <w:lang w:val="en-US" w:eastAsia="zh-CN"/>
        </w:rPr>
        <w:t>18.51万元，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1.67</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住房保障支出</w:t>
      </w:r>
      <w:r>
        <w:rPr>
          <w:rFonts w:hint="eastAsia" w:ascii="仿宋_GB2312" w:hAnsi="宋体" w:eastAsia="仿宋_GB2312" w:cs="仿宋_GB2312"/>
          <w:sz w:val="32"/>
          <w:szCs w:val="32"/>
          <w:lang w:val="en-US" w:eastAsia="zh-CN"/>
        </w:rPr>
        <w:t>43.89万元，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3.95</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ind w:firstLine="640" w:firstLineChars="200"/>
        <w:rPr>
          <w:rFonts w:hint="eastAsia" w:ascii="仿宋_GB2312" w:eastAsia="仿宋_GB2312" w:cs="Times New Roman"/>
          <w:sz w:val="32"/>
          <w:szCs w:val="32"/>
          <w:lang w:val="en-US" w:eastAsia="zh-CN"/>
        </w:rPr>
      </w:pPr>
      <w:r>
        <w:rPr>
          <w:rFonts w:hint="eastAsia" w:ascii="仿宋_GB2312" w:hAnsi="宋体" w:eastAsia="仿宋_GB2312" w:cs="仿宋_GB2312"/>
          <w:sz w:val="32"/>
          <w:szCs w:val="32"/>
        </w:rPr>
        <w:t>按支出经济分类划分：工资福利支出</w:t>
      </w:r>
      <w:r>
        <w:rPr>
          <w:rFonts w:hint="eastAsia" w:ascii="仿宋_GB2312" w:hAnsi="宋体" w:eastAsia="仿宋_GB2312" w:cs="仿宋_GB2312"/>
          <w:sz w:val="32"/>
          <w:szCs w:val="32"/>
          <w:lang w:val="en-US" w:eastAsia="zh-CN"/>
        </w:rPr>
        <w:t>552.43</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49.79</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544.73</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49.09</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对个人和家庭的补助</w:t>
      </w:r>
      <w:r>
        <w:rPr>
          <w:rFonts w:hint="eastAsia" w:ascii="仿宋_GB2312" w:hAnsi="宋体" w:eastAsia="仿宋_GB2312" w:cs="仿宋_GB2312"/>
          <w:sz w:val="32"/>
          <w:szCs w:val="32"/>
          <w:lang w:val="en-US" w:eastAsia="zh-CN"/>
        </w:rPr>
        <w:t>10.93万元，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0.98</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；资本性支出</w:t>
      </w:r>
      <w:r>
        <w:rPr>
          <w:rFonts w:hint="eastAsia" w:ascii="仿宋_GB2312" w:hAnsi="宋体" w:eastAsia="仿宋_GB2312" w:cs="仿宋_GB2312"/>
          <w:sz w:val="32"/>
          <w:szCs w:val="32"/>
          <w:lang w:val="en-US" w:eastAsia="zh-CN"/>
        </w:rPr>
        <w:t>1.50万元，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0.14</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widowControl/>
        <w:spacing w:line="600" w:lineRule="exact"/>
        <w:ind w:firstLine="640"/>
        <w:jc w:val="left"/>
        <w:rPr>
          <w:rFonts w:ascii="仿宋_GB2312" w:eastAsia="仿宋_GB2312" w:cs="Times New Roman"/>
          <w:b/>
          <w:bCs/>
          <w:sz w:val="32"/>
          <w:szCs w:val="32"/>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2023</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昌江区市场监督管理局</w:t>
      </w:r>
      <w:r>
        <w:rPr>
          <w:rFonts w:hint="eastAsia" w:ascii="仿宋_GB2312" w:hAnsi="宋体" w:eastAsia="仿宋_GB2312" w:cs="仿宋_GB2312"/>
          <w:sz w:val="32"/>
          <w:szCs w:val="32"/>
        </w:rPr>
        <w:t>财政拨款支出预算</w:t>
      </w:r>
      <w:r>
        <w:rPr>
          <w:rFonts w:hint="eastAsia" w:ascii="仿宋_GB2312" w:hAnsi="宋体" w:eastAsia="仿宋_GB2312" w:cs="仿宋_GB2312"/>
          <w:sz w:val="32"/>
          <w:szCs w:val="32"/>
          <w:lang w:val="en-US" w:eastAsia="zh-CN"/>
        </w:rPr>
        <w:t>1109.58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，与上年预算相比增</w:t>
      </w:r>
      <w:r>
        <w:rPr>
          <w:rFonts w:hint="eastAsia" w:ascii="仿宋_GB2312" w:hAnsi="宋体" w:eastAsia="仿宋_GB2312" w:cs="仿宋_GB2312"/>
          <w:sz w:val="32"/>
          <w:szCs w:val="32"/>
          <w:lang w:eastAsia="zh-CN"/>
        </w:rPr>
        <w:t>加</w:t>
      </w:r>
      <w:r>
        <w:rPr>
          <w:rFonts w:hint="eastAsia" w:ascii="仿宋_GB2312" w:hAnsi="宋体" w:eastAsia="仿宋_GB2312" w:cs="仿宋_GB2312"/>
          <w:sz w:val="32"/>
          <w:szCs w:val="32"/>
          <w:lang w:val="en-US" w:eastAsia="zh-CN"/>
        </w:rPr>
        <w:t>821万元</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主要原因是增加了项目支出和商品和服务支出经费</w:t>
      </w:r>
      <w:r>
        <w:rPr>
          <w:rFonts w:hint="eastAsia" w:ascii="仿宋_GB2312" w:hAnsi="宋体" w:eastAsia="仿宋_GB2312" w:cs="仿宋_GB2312"/>
          <w:sz w:val="32"/>
          <w:szCs w:val="32"/>
        </w:rPr>
        <w:t>。具体支出情况是：</w:t>
      </w:r>
      <w:r>
        <w:rPr>
          <w:rFonts w:hint="eastAsia" w:ascii="仿宋_GB2312" w:hAnsi="宋体" w:eastAsia="仿宋_GB2312" w:cs="仿宋_GB2312"/>
          <w:sz w:val="32"/>
          <w:szCs w:val="32"/>
          <w:lang w:eastAsia="zh-CN"/>
        </w:rPr>
        <w:t>一般公共服务支出</w:t>
      </w:r>
      <w:r>
        <w:rPr>
          <w:rFonts w:hint="eastAsia" w:ascii="仿宋_GB2312" w:hAnsi="宋体" w:eastAsia="仿宋_GB2312" w:cs="仿宋_GB2312"/>
          <w:sz w:val="32"/>
          <w:szCs w:val="32"/>
          <w:lang w:val="en-US" w:eastAsia="zh-CN"/>
        </w:rPr>
        <w:t>1004.18</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90.50</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社会保障和就业</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43.01</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3.88</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卫生健康支出</w:t>
      </w:r>
      <w:r>
        <w:rPr>
          <w:rFonts w:hint="eastAsia" w:ascii="仿宋_GB2312" w:hAnsi="宋体" w:eastAsia="仿宋_GB2312" w:cs="仿宋_GB2312"/>
          <w:sz w:val="32"/>
          <w:szCs w:val="32"/>
          <w:lang w:val="en-US" w:eastAsia="zh-CN"/>
        </w:rPr>
        <w:t>18.51万元，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1.67</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住房保障支出</w:t>
      </w:r>
      <w:r>
        <w:rPr>
          <w:rFonts w:hint="eastAsia" w:ascii="仿宋_GB2312" w:hAnsi="宋体" w:eastAsia="仿宋_GB2312" w:cs="仿宋_GB2312"/>
          <w:sz w:val="32"/>
          <w:szCs w:val="32"/>
          <w:lang w:val="en-US" w:eastAsia="zh-CN"/>
        </w:rPr>
        <w:t>43.89万元，</w:t>
      </w:r>
      <w:r>
        <w:rPr>
          <w:rFonts w:hint="eastAsia" w:ascii="仿宋_GB2312" w:hAnsi="宋体" w:eastAsia="仿宋_GB2312" w:cs="仿宋_GB2312"/>
          <w:sz w:val="32"/>
          <w:szCs w:val="32"/>
        </w:rPr>
        <w:t>占支出预算总额的</w:t>
      </w:r>
      <w:r>
        <w:rPr>
          <w:rFonts w:hint="eastAsia" w:ascii="仿宋_GB2312" w:hAnsi="宋体" w:eastAsia="仿宋_GB2312" w:cs="仿宋_GB2312"/>
          <w:sz w:val="32"/>
          <w:szCs w:val="32"/>
          <w:lang w:val="en-US" w:eastAsia="zh-CN"/>
        </w:rPr>
        <w:t>3.95</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numPr>
          <w:ilvl w:val="0"/>
          <w:numId w:val="1"/>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val="en-US" w:eastAsia="zh-CN"/>
        </w:rPr>
        <w:t>2023年政府采购预算为6.50万元，比上年预增加3.50万元。</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pPr>
        <w:widowControl/>
        <w:spacing w:line="580" w:lineRule="exact"/>
        <w:ind w:firstLine="960" w:firstLineChars="300"/>
        <w:jc w:val="left"/>
        <w:rPr>
          <w:rFonts w:hint="eastAsia" w:ascii="仿宋_GB2312" w:eastAsia="仿宋_GB2312"/>
          <w:sz w:val="32"/>
          <w:szCs w:val="30"/>
        </w:rPr>
      </w:pPr>
      <w:r>
        <w:rPr>
          <w:rFonts w:hint="eastAsia" w:ascii="仿宋_GB2312" w:eastAsia="仿宋_GB2312"/>
          <w:sz w:val="32"/>
          <w:szCs w:val="30"/>
        </w:rPr>
        <w:t>20</w:t>
      </w:r>
      <w:r>
        <w:rPr>
          <w:rFonts w:hint="eastAsia" w:ascii="仿宋_GB2312" w:eastAsia="仿宋_GB2312"/>
          <w:sz w:val="32"/>
          <w:szCs w:val="30"/>
          <w:lang w:val="en-US" w:eastAsia="zh-CN"/>
        </w:rPr>
        <w:t>23</w:t>
      </w:r>
      <w:r>
        <w:rPr>
          <w:rFonts w:hint="eastAsia" w:ascii="仿宋_GB2312" w:eastAsia="仿宋_GB2312"/>
          <w:sz w:val="32"/>
          <w:szCs w:val="30"/>
        </w:rPr>
        <w:t>年</w:t>
      </w:r>
      <w:r>
        <w:rPr>
          <w:rFonts w:hint="eastAsia" w:ascii="仿宋_GB2312" w:eastAsia="仿宋_GB2312"/>
          <w:sz w:val="32"/>
          <w:szCs w:val="30"/>
          <w:lang w:eastAsia="zh-CN"/>
        </w:rPr>
        <w:t>昌江区市场监督管理局</w:t>
      </w:r>
      <w:r>
        <w:rPr>
          <w:rFonts w:hint="eastAsia" w:ascii="仿宋_GB2312" w:eastAsia="仿宋_GB2312"/>
          <w:sz w:val="32"/>
          <w:szCs w:val="30"/>
        </w:rPr>
        <w:t>无政府性基金预算拨款安排的支出，较上年无变化。</w:t>
      </w:r>
    </w:p>
    <w:p>
      <w:pPr>
        <w:tabs>
          <w:tab w:val="left" w:pos="1113"/>
        </w:tabs>
        <w:ind w:firstLine="643" w:firstLineChars="200"/>
        <w:rPr>
          <w:rFonts w:ascii="仿宋_GB2312" w:eastAsia="仿宋_GB2312" w:cs="Times New Roman"/>
          <w:sz w:val="32"/>
          <w:szCs w:val="32"/>
        </w:rPr>
      </w:pPr>
      <w:r>
        <w:rPr>
          <w:rFonts w:hint="eastAsia" w:ascii="仿宋_GB2312" w:hAnsi="宋体" w:eastAsia="仿宋_GB2312" w:cs="仿宋_GB2312"/>
          <w:b/>
          <w:bCs/>
          <w:sz w:val="32"/>
          <w:szCs w:val="32"/>
        </w:rPr>
        <w:t>（六）</w:t>
      </w:r>
      <w:r>
        <w:rPr>
          <w:rFonts w:hint="eastAsia" w:ascii="仿宋_GB2312" w:hAnsi="宋体" w:eastAsia="仿宋_GB2312" w:cs="仿宋_GB2312"/>
          <w:b/>
          <w:bCs/>
          <w:sz w:val="32"/>
          <w:szCs w:val="32"/>
          <w:lang w:eastAsia="zh-CN"/>
        </w:rPr>
        <w:t>2023</w:t>
      </w:r>
      <w:r>
        <w:rPr>
          <w:rFonts w:hint="eastAsia" w:ascii="仿宋_GB2312" w:hAnsi="宋体" w:eastAsia="仿宋_GB2312" w:cs="仿宋_GB2312"/>
          <w:b/>
          <w:bCs/>
          <w:sz w:val="32"/>
          <w:szCs w:val="32"/>
        </w:rPr>
        <w:t>年“三公”经费预算情况说明</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2023</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eastAsia="zh-CN"/>
        </w:rPr>
        <w:t>昌江区市场监督管理局</w:t>
      </w:r>
      <w:r>
        <w:rPr>
          <w:rFonts w:hint="eastAsia" w:ascii="仿宋_GB2312" w:hAnsi="宋体" w:eastAsia="仿宋_GB2312" w:cs="仿宋_GB2312"/>
          <w:sz w:val="32"/>
          <w:szCs w:val="32"/>
        </w:rPr>
        <w:t>“三公”经费年初预算安排</w:t>
      </w:r>
      <w:r>
        <w:rPr>
          <w:rFonts w:hint="eastAsia" w:ascii="仿宋_GB2312" w:hAnsi="宋体" w:eastAsia="仿宋_GB2312" w:cs="仿宋_GB2312"/>
          <w:sz w:val="32"/>
          <w:szCs w:val="32"/>
          <w:lang w:val="en-US" w:eastAsia="zh-CN"/>
        </w:rPr>
        <w:t>23.74</w:t>
      </w:r>
      <w:r>
        <w:rPr>
          <w:rFonts w:hint="eastAsia" w:ascii="仿宋_GB2312" w:hAnsi="宋体" w:eastAsia="仿宋_GB2312" w:cs="仿宋_GB2312"/>
          <w:sz w:val="32"/>
          <w:szCs w:val="32"/>
        </w:rPr>
        <w:t>万元。其中：因公出国（境）费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hAnsi="宋体" w:eastAsia="仿宋_GB2312" w:cs="仿宋_GB2312"/>
          <w:sz w:val="32"/>
          <w:szCs w:val="32"/>
          <w:lang w:eastAsia="zh-CN"/>
        </w:rPr>
        <w:t>没有安排相关预算</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2.20</w:t>
      </w:r>
      <w:r>
        <w:rPr>
          <w:rFonts w:hint="eastAsia" w:ascii="仿宋_GB2312" w:hAnsi="宋体" w:eastAsia="仿宋_GB2312" w:cs="仿宋_GB2312"/>
          <w:sz w:val="32"/>
          <w:szCs w:val="32"/>
        </w:rPr>
        <w:t>万元，</w:t>
      </w:r>
      <w:r>
        <w:rPr>
          <w:rFonts w:hint="eastAsia" w:eastAsia="仿宋_GB2312"/>
          <w:sz w:val="32"/>
          <w:szCs w:val="32"/>
        </w:rPr>
        <w:t>与上年比无变化</w:t>
      </w:r>
      <w:r>
        <w:rPr>
          <w:rFonts w:hint="eastAsia" w:ascii="仿宋_GB2312" w:hAnsi="宋体" w:eastAsia="仿宋_GB2312" w:cs="仿宋_GB2312"/>
          <w:sz w:val="32"/>
          <w:szCs w:val="32"/>
        </w:rPr>
        <w:t>，。</w:t>
      </w:r>
    </w:p>
    <w:p>
      <w:pPr>
        <w:widowControl/>
        <w:spacing w:line="580" w:lineRule="exact"/>
        <w:ind w:firstLine="640"/>
        <w:jc w:val="left"/>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21.54</w:t>
      </w:r>
      <w:r>
        <w:rPr>
          <w:rFonts w:hint="eastAsia" w:ascii="仿宋_GB2312" w:hAnsi="宋体" w:eastAsia="仿宋_GB2312" w:cs="仿宋_GB2312"/>
          <w:sz w:val="32"/>
          <w:szCs w:val="32"/>
        </w:rPr>
        <w:t>万元，</w:t>
      </w:r>
      <w:r>
        <w:rPr>
          <w:rFonts w:hint="eastAsia" w:eastAsia="仿宋_GB2312"/>
          <w:sz w:val="32"/>
          <w:szCs w:val="32"/>
        </w:rPr>
        <w:t>与上年比无变化。</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万元，主要原因：</w:t>
      </w:r>
      <w:r>
        <w:rPr>
          <w:rFonts w:hint="eastAsia" w:ascii="仿宋_GB2312" w:hAnsi="宋体" w:eastAsia="仿宋_GB2312" w:cs="仿宋_GB2312"/>
          <w:sz w:val="32"/>
          <w:szCs w:val="32"/>
          <w:lang w:eastAsia="zh-CN"/>
        </w:rPr>
        <w:t>没有安排相关预算</w:t>
      </w:r>
      <w:r>
        <w:rPr>
          <w:rFonts w:hint="eastAsia" w:ascii="仿宋_GB2312" w:hAnsi="宋体" w:eastAsia="仿宋_GB2312" w:cs="仿宋_GB2312"/>
          <w:sz w:val="32"/>
          <w:szCs w:val="32"/>
        </w:rPr>
        <w:t>。</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（七）</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2023</w:t>
      </w:r>
      <w:r>
        <w:rPr>
          <w:rFonts w:hint="eastAsia" w:ascii="仿宋_GB2312" w:eastAsia="仿宋_GB2312"/>
          <w:color w:val="000000"/>
          <w:sz w:val="32"/>
          <w:szCs w:val="30"/>
        </w:rPr>
        <w:t>年部门整体绩效目标</w:t>
      </w:r>
      <w:r>
        <w:rPr>
          <w:rFonts w:hint="eastAsia" w:ascii="仿宋_GB2312" w:eastAsia="仿宋_GB2312"/>
          <w:color w:val="000000"/>
          <w:sz w:val="32"/>
          <w:szCs w:val="30"/>
          <w:lang w:eastAsia="zh-CN"/>
        </w:rPr>
        <w:t>：</w:t>
      </w:r>
      <w:r>
        <w:rPr>
          <w:rFonts w:hint="eastAsia" w:ascii="仿宋" w:hAnsi="仿宋" w:eastAsia="仿宋"/>
          <w:sz w:val="32"/>
          <w:szCs w:val="32"/>
        </w:rPr>
        <w:t>完成市场监管和行政执法工作，查处不正当竞争、打击传销、违法直销、网络监管、商标广告等违法违规行为及消费维权工作，组织本系统完成信息化建设工作。完成消费环节、流通领域、生产领域的食品安全抽验工作。</w:t>
      </w:r>
      <w:r>
        <w:rPr>
          <w:rFonts w:hint="eastAsia" w:ascii="仿宋_GB2312" w:eastAsia="仿宋_GB2312"/>
          <w:color w:val="000000"/>
          <w:sz w:val="32"/>
          <w:szCs w:val="30"/>
        </w:rPr>
        <w:t>部门预算情况</w:t>
      </w:r>
      <w:r>
        <w:rPr>
          <w:rFonts w:hint="eastAsia" w:ascii="仿宋_GB2312" w:eastAsia="仿宋_GB2312"/>
          <w:color w:val="000000"/>
          <w:sz w:val="32"/>
          <w:szCs w:val="30"/>
          <w:lang w:eastAsia="zh-CN"/>
        </w:rPr>
        <w:t>：</w:t>
      </w:r>
      <w:r>
        <w:rPr>
          <w:rFonts w:hint="eastAsia" w:ascii="仿宋_GB2312" w:eastAsia="仿宋_GB2312"/>
          <w:color w:val="000000"/>
          <w:sz w:val="32"/>
          <w:szCs w:val="30"/>
        </w:rPr>
        <w:t>收入预算合计</w:t>
      </w:r>
      <w:r>
        <w:rPr>
          <w:rFonts w:hint="eastAsia" w:ascii="仿宋_GB2312" w:eastAsia="仿宋_GB2312"/>
          <w:color w:val="000000"/>
          <w:sz w:val="32"/>
          <w:szCs w:val="30"/>
          <w:lang w:val="en-US" w:eastAsia="zh-CN"/>
        </w:rPr>
        <w:t>1109.58</w:t>
      </w:r>
      <w:r>
        <w:rPr>
          <w:rFonts w:hint="eastAsia" w:ascii="仿宋_GB2312" w:eastAsia="仿宋_GB2312"/>
          <w:color w:val="000000"/>
          <w:sz w:val="32"/>
          <w:szCs w:val="30"/>
        </w:rPr>
        <w:t>万元</w:t>
      </w:r>
      <w:r>
        <w:rPr>
          <w:rFonts w:hint="eastAsia" w:ascii="仿宋_GB2312" w:eastAsia="仿宋_GB2312"/>
          <w:color w:val="000000"/>
          <w:sz w:val="32"/>
          <w:szCs w:val="30"/>
          <w:lang w:eastAsia="zh-CN"/>
        </w:rPr>
        <w:t>，</w:t>
      </w:r>
      <w:r>
        <w:rPr>
          <w:rFonts w:hint="eastAsia" w:ascii="仿宋_GB2312" w:eastAsia="仿宋_GB2312"/>
          <w:color w:val="000000"/>
          <w:sz w:val="32"/>
          <w:szCs w:val="30"/>
        </w:rPr>
        <w:t>其中本级财政安排</w:t>
      </w:r>
      <w:r>
        <w:rPr>
          <w:rFonts w:hint="eastAsia" w:ascii="仿宋_GB2312" w:eastAsia="仿宋_GB2312"/>
          <w:color w:val="000000"/>
          <w:sz w:val="32"/>
          <w:szCs w:val="30"/>
          <w:lang w:val="en-US" w:eastAsia="zh-CN"/>
        </w:rPr>
        <w:t>726.50</w:t>
      </w:r>
      <w:r>
        <w:rPr>
          <w:rFonts w:hint="eastAsia" w:ascii="仿宋_GB2312" w:eastAsia="仿宋_GB2312"/>
          <w:color w:val="000000"/>
          <w:sz w:val="32"/>
          <w:szCs w:val="30"/>
        </w:rPr>
        <w:t>万元；支出预算合计</w:t>
      </w:r>
      <w:r>
        <w:rPr>
          <w:rFonts w:hint="eastAsia" w:ascii="仿宋_GB2312" w:eastAsia="仿宋_GB2312"/>
          <w:color w:val="000000"/>
          <w:sz w:val="32"/>
          <w:szCs w:val="30"/>
          <w:lang w:val="en-US" w:eastAsia="zh-CN"/>
        </w:rPr>
        <w:t>1109.58</w:t>
      </w:r>
      <w:r>
        <w:rPr>
          <w:rFonts w:hint="eastAsia" w:ascii="仿宋_GB2312" w:eastAsia="仿宋_GB2312"/>
          <w:color w:val="000000"/>
          <w:sz w:val="32"/>
          <w:szCs w:val="30"/>
        </w:rPr>
        <w:t>万元，其中人员经费</w:t>
      </w:r>
      <w:r>
        <w:rPr>
          <w:rFonts w:hint="eastAsia" w:ascii="仿宋_GB2312" w:eastAsia="仿宋_GB2312"/>
          <w:color w:val="000000"/>
          <w:sz w:val="32"/>
          <w:szCs w:val="30"/>
          <w:lang w:val="en-US" w:eastAsia="zh-CN"/>
        </w:rPr>
        <w:t>544.64</w:t>
      </w:r>
      <w:r>
        <w:rPr>
          <w:rFonts w:hint="eastAsia" w:ascii="仿宋_GB2312" w:eastAsia="仿宋_GB2312"/>
          <w:color w:val="000000"/>
          <w:sz w:val="32"/>
          <w:szCs w:val="30"/>
        </w:rPr>
        <w:t>万元，公用经费</w:t>
      </w:r>
      <w:r>
        <w:rPr>
          <w:rFonts w:hint="eastAsia" w:ascii="仿宋_GB2312" w:eastAsia="仿宋_GB2312"/>
          <w:color w:val="000000"/>
          <w:sz w:val="32"/>
          <w:szCs w:val="30"/>
          <w:lang w:val="en-US" w:eastAsia="zh-CN"/>
        </w:rPr>
        <w:t>453.14</w:t>
      </w:r>
      <w:r>
        <w:rPr>
          <w:rFonts w:hint="eastAsia" w:ascii="仿宋_GB2312" w:eastAsia="仿宋_GB2312"/>
          <w:color w:val="000000"/>
          <w:sz w:val="32"/>
          <w:szCs w:val="30"/>
        </w:rPr>
        <w:t>万元，项目经费</w:t>
      </w:r>
      <w:r>
        <w:rPr>
          <w:rFonts w:hint="eastAsia" w:ascii="仿宋_GB2312" w:eastAsia="仿宋_GB2312"/>
          <w:color w:val="000000"/>
          <w:sz w:val="32"/>
          <w:szCs w:val="30"/>
          <w:lang w:val="en-US" w:eastAsia="zh-CN"/>
        </w:rPr>
        <w:t>111.81</w:t>
      </w:r>
      <w:r>
        <w:rPr>
          <w:rFonts w:hint="eastAsia" w:ascii="仿宋_GB2312" w:eastAsia="仿宋_GB2312"/>
          <w:color w:val="000000"/>
          <w:sz w:val="32"/>
          <w:szCs w:val="30"/>
        </w:rPr>
        <w:t>万元</w:t>
      </w:r>
      <w:r>
        <w:rPr>
          <w:rFonts w:hint="eastAsia" w:ascii="仿宋_GB2312" w:eastAsia="仿宋_GB2312"/>
          <w:color w:val="000000"/>
          <w:sz w:val="32"/>
          <w:szCs w:val="30"/>
          <w:lang w:eastAsia="zh-CN"/>
        </w:rPr>
        <w:t>。</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（八）</w:t>
      </w:r>
      <w:r>
        <w:rPr>
          <w:rFonts w:hint="eastAsia" w:ascii="仿宋_GB2312" w:eastAsia="仿宋_GB2312"/>
          <w:b/>
          <w:bCs/>
          <w:color w:val="000000"/>
          <w:sz w:val="32"/>
          <w:szCs w:val="30"/>
          <w:lang w:val="en-US" w:eastAsia="zh-CN"/>
        </w:rPr>
        <w:t>二</w:t>
      </w:r>
      <w:r>
        <w:rPr>
          <w:rFonts w:hint="eastAsia" w:ascii="仿宋_GB2312" w:eastAsia="仿宋_GB2312"/>
          <w:b/>
          <w:bCs/>
          <w:color w:val="000000"/>
          <w:sz w:val="32"/>
          <w:szCs w:val="30"/>
        </w:rPr>
        <w:t>级</w:t>
      </w:r>
      <w:r>
        <w:rPr>
          <w:rFonts w:hint="eastAsia" w:ascii="仿宋_GB2312" w:eastAsia="仿宋_GB2312"/>
          <w:b/>
          <w:color w:val="000000"/>
          <w:sz w:val="32"/>
          <w:szCs w:val="30"/>
        </w:rPr>
        <w:t>项目绩效目标设置情况</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lang w:eastAsia="zh-CN"/>
        </w:rPr>
        <w:t>2023</w:t>
      </w:r>
      <w:r>
        <w:rPr>
          <w:rFonts w:hint="eastAsia" w:ascii="仿宋_GB2312" w:eastAsia="仿宋_GB2312"/>
          <w:color w:val="000000"/>
          <w:sz w:val="32"/>
          <w:szCs w:val="30"/>
        </w:rPr>
        <w:t>年实行绩效目标管理的二级项目</w:t>
      </w:r>
      <w:r>
        <w:rPr>
          <w:rFonts w:hint="eastAsia" w:ascii="仿宋_GB2312" w:eastAsia="仿宋_GB2312"/>
          <w:color w:val="000000"/>
          <w:sz w:val="32"/>
          <w:szCs w:val="30"/>
          <w:lang w:val="en-US" w:eastAsia="zh-CN"/>
        </w:rPr>
        <w:t>7</w:t>
      </w:r>
      <w:r>
        <w:rPr>
          <w:rFonts w:hint="eastAsia" w:ascii="仿宋_GB2312" w:eastAsia="仿宋_GB2312"/>
          <w:color w:val="000000"/>
          <w:sz w:val="32"/>
          <w:szCs w:val="30"/>
        </w:rPr>
        <w:t>个</w:t>
      </w:r>
      <w:r>
        <w:rPr>
          <w:rFonts w:hint="eastAsia" w:ascii="仿宋_GB2312" w:eastAsia="仿宋_GB2312"/>
          <w:color w:val="000000"/>
          <w:sz w:val="32"/>
          <w:szCs w:val="30"/>
          <w:lang w:eastAsia="zh-CN"/>
        </w:rPr>
        <w:t>，</w:t>
      </w:r>
      <w:r>
        <w:rPr>
          <w:rFonts w:hint="eastAsia" w:ascii="仿宋_GB2312" w:eastAsia="仿宋_GB2312"/>
          <w:color w:val="000000"/>
          <w:sz w:val="32"/>
          <w:szCs w:val="30"/>
        </w:rPr>
        <w:t xml:space="preserve">部门预算中  </w:t>
      </w:r>
      <w:r>
        <w:rPr>
          <w:rFonts w:hint="eastAsia" w:ascii="仿宋_GB2312" w:eastAsia="仿宋_GB2312"/>
          <w:color w:val="000000"/>
          <w:sz w:val="32"/>
          <w:szCs w:val="30"/>
          <w:lang w:val="en-US" w:eastAsia="zh-CN"/>
        </w:rPr>
        <w:t>111.81</w:t>
      </w:r>
      <w:r>
        <w:rPr>
          <w:rFonts w:hint="eastAsia" w:ascii="仿宋_GB2312" w:eastAsia="仿宋_GB2312"/>
          <w:color w:val="000000"/>
          <w:sz w:val="32"/>
          <w:szCs w:val="30"/>
        </w:rPr>
        <w:t>万元以上的，且进行了绩效评审的项目</w:t>
      </w:r>
      <w:r>
        <w:rPr>
          <w:rFonts w:hint="eastAsia" w:ascii="仿宋_GB2312" w:eastAsia="仿宋_GB2312"/>
          <w:color w:val="000000"/>
          <w:sz w:val="32"/>
          <w:szCs w:val="30"/>
          <w:lang w:val="en-US" w:eastAsia="zh-CN"/>
        </w:rPr>
        <w:t>7</w:t>
      </w:r>
      <w:r>
        <w:rPr>
          <w:rFonts w:hint="eastAsia" w:ascii="仿宋_GB2312" w:eastAsia="仿宋_GB2312"/>
          <w:color w:val="000000"/>
          <w:sz w:val="32"/>
          <w:szCs w:val="30"/>
        </w:rPr>
        <w:t>个，涉及资金</w:t>
      </w:r>
      <w:r>
        <w:rPr>
          <w:rFonts w:hint="eastAsia" w:ascii="仿宋_GB2312" w:eastAsia="仿宋_GB2312"/>
          <w:color w:val="000000"/>
          <w:sz w:val="32"/>
          <w:szCs w:val="30"/>
          <w:lang w:val="en-US" w:eastAsia="zh-CN"/>
        </w:rPr>
        <w:t>111.81</w:t>
      </w:r>
      <w:r>
        <w:rPr>
          <w:rFonts w:hint="eastAsia" w:ascii="仿宋_GB2312" w:eastAsia="仿宋_GB2312"/>
          <w:color w:val="000000"/>
          <w:sz w:val="32"/>
          <w:szCs w:val="30"/>
        </w:rPr>
        <w:t>万元。</w:t>
      </w:r>
    </w:p>
    <w:p>
      <w:pPr>
        <w:widowControl/>
        <w:spacing w:line="600" w:lineRule="exact"/>
        <w:ind w:firstLine="643" w:firstLineChars="200"/>
        <w:jc w:val="left"/>
        <w:rPr>
          <w:rFonts w:ascii="仿宋_GB2312" w:eastAsia="仿宋_GB2312"/>
          <w:b/>
          <w:color w:val="000000"/>
          <w:sz w:val="32"/>
          <w:szCs w:val="30"/>
        </w:rPr>
      </w:pPr>
      <w:r>
        <w:rPr>
          <w:rFonts w:hint="eastAsia" w:ascii="仿宋_GB2312" w:eastAsia="仿宋_GB2312"/>
          <w:b/>
          <w:color w:val="000000"/>
          <w:sz w:val="32"/>
          <w:szCs w:val="30"/>
        </w:rPr>
        <w:t>（九）</w:t>
      </w:r>
      <w:r>
        <w:rPr>
          <w:rFonts w:hint="eastAsia" w:ascii="仿宋_GB2312" w:eastAsia="仿宋_GB2312"/>
          <w:b/>
          <w:color w:val="000000"/>
          <w:sz w:val="32"/>
          <w:szCs w:val="30"/>
          <w:lang w:eastAsia="zh-CN"/>
        </w:rPr>
        <w:t>昌江区市场监督管理局</w:t>
      </w:r>
      <w:r>
        <w:rPr>
          <w:rFonts w:hint="eastAsia" w:ascii="仿宋_GB2312" w:eastAsia="仿宋_GB2312"/>
          <w:b/>
          <w:color w:val="000000"/>
          <w:sz w:val="32"/>
          <w:szCs w:val="30"/>
        </w:rPr>
        <w:t>各二级项目情况说明（部门本级）</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项目概述</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1.</w:t>
      </w:r>
      <w:r>
        <w:rPr>
          <w:rFonts w:hint="eastAsia" w:ascii="仿宋_GB2312" w:eastAsia="仿宋_GB2312"/>
          <w:color w:val="000000"/>
          <w:sz w:val="32"/>
          <w:szCs w:val="30"/>
          <w:lang w:eastAsia="zh-CN"/>
        </w:rPr>
        <w:t>打击传销专项经费</w:t>
      </w:r>
      <w:r>
        <w:rPr>
          <w:rFonts w:hint="eastAsia" w:ascii="仿宋_GB2312" w:eastAsia="仿宋_GB2312"/>
          <w:color w:val="000000"/>
          <w:sz w:val="32"/>
          <w:szCs w:val="30"/>
        </w:rPr>
        <w:t>二级项目</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 xml:space="preserve">   1）项目概述</w:t>
      </w:r>
    </w:p>
    <w:p>
      <w:pPr>
        <w:widowControl/>
        <w:spacing w:line="600" w:lineRule="exact"/>
        <w:ind w:firstLine="1292" w:firstLineChars="404"/>
        <w:jc w:val="left"/>
        <w:rPr>
          <w:rFonts w:hint="eastAsia" w:ascii="仿宋_GB2312" w:eastAsia="仿宋_GB2312"/>
          <w:color w:val="000000"/>
          <w:sz w:val="32"/>
          <w:szCs w:val="30"/>
          <w:lang w:eastAsia="zh-CN"/>
        </w:rPr>
      </w:pPr>
      <w:r>
        <w:rPr>
          <w:rFonts w:hint="eastAsia" w:ascii="仿宋_GB2312" w:eastAsia="仿宋_GB2312"/>
          <w:color w:val="000000"/>
          <w:sz w:val="32"/>
          <w:szCs w:val="30"/>
          <w:lang w:eastAsia="zh-CN"/>
        </w:rPr>
        <w:t>制定打击和防范传销工作计划或方案，加强日常监管和案件查办，开展打击和防范传销专项行动，在重点部位、重要环节、针对重点人群，开展有针对性的宣传教育，加强日常监管和巡查，及时发现并清理传销组织、传销人员和传销窝点，及时解救被骗群众。</w:t>
      </w:r>
    </w:p>
    <w:p>
      <w:pPr>
        <w:widowControl/>
        <w:spacing w:line="600" w:lineRule="exact"/>
        <w:ind w:firstLine="960" w:firstLineChars="30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2）立项依据</w:t>
      </w:r>
      <w:r>
        <w:rPr>
          <w:rFonts w:hint="eastAsia" w:ascii="仿宋_GB2312" w:eastAsia="仿宋_GB2312"/>
          <w:color w:val="000000"/>
          <w:sz w:val="32"/>
          <w:szCs w:val="30"/>
          <w:lang w:eastAsia="zh-CN"/>
        </w:rPr>
        <w:t>：增强打击传销的紧迫感和责任感，进一步加大打击力度，落实工作责任，着力构建打击传销长效监管机制，对传销活动始终保持高压严打态势。</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3）实施主体</w:t>
      </w:r>
      <w:r>
        <w:rPr>
          <w:rFonts w:hint="eastAsia" w:ascii="仿宋_GB2312" w:eastAsia="仿宋_GB2312"/>
          <w:color w:val="000000"/>
          <w:sz w:val="32"/>
          <w:szCs w:val="30"/>
          <w:lang w:eastAsia="zh-CN"/>
        </w:rPr>
        <w:t>：昌江区市场监督管理局</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4）实施方案</w:t>
      </w:r>
      <w:r>
        <w:rPr>
          <w:rFonts w:hint="eastAsia" w:ascii="仿宋_GB2312" w:eastAsia="仿宋_GB2312"/>
          <w:color w:val="000000"/>
          <w:sz w:val="32"/>
          <w:szCs w:val="30"/>
          <w:lang w:eastAsia="zh-CN"/>
        </w:rPr>
        <w:t>：根据业务需要，主要工作涉及打击传销</w:t>
      </w:r>
      <w:r>
        <w:rPr>
          <w:rFonts w:hint="eastAsia" w:ascii="仿宋_GB2312" w:eastAsia="仿宋_GB2312"/>
          <w:color w:val="000000"/>
          <w:sz w:val="32"/>
          <w:szCs w:val="30"/>
          <w:lang w:val="en-US" w:eastAsia="zh-CN"/>
        </w:rPr>
        <w:t>等。</w:t>
      </w:r>
    </w:p>
    <w:p>
      <w:pPr>
        <w:widowControl/>
        <w:spacing w:line="600" w:lineRule="exact"/>
        <w:ind w:firstLine="640"/>
        <w:jc w:val="left"/>
        <w:rPr>
          <w:rFonts w:hint="eastAsia" w:ascii="仿宋_GB2312" w:eastAsia="仿宋_GB2312"/>
          <w:color w:val="000000"/>
          <w:sz w:val="32"/>
          <w:szCs w:val="30"/>
          <w:lang w:eastAsia="zh-CN"/>
        </w:rPr>
      </w:pPr>
      <w:r>
        <w:rPr>
          <w:rFonts w:hint="eastAsia" w:ascii="仿宋_GB2312" w:eastAsia="仿宋_GB2312"/>
          <w:color w:val="000000"/>
          <w:sz w:val="32"/>
          <w:szCs w:val="30"/>
        </w:rPr>
        <w:t xml:space="preserve">   5）实施周期</w:t>
      </w:r>
      <w:r>
        <w:rPr>
          <w:rFonts w:hint="eastAsia" w:ascii="仿宋_GB2312" w:eastAsia="仿宋_GB2312"/>
          <w:color w:val="000000"/>
          <w:sz w:val="32"/>
          <w:szCs w:val="30"/>
          <w:lang w:eastAsia="zh-CN"/>
        </w:rPr>
        <w:t>：2023年01月01日到2023年12月31日。</w:t>
      </w:r>
    </w:p>
    <w:p>
      <w:pPr>
        <w:widowControl/>
        <w:spacing w:line="600" w:lineRule="exact"/>
        <w:ind w:firstLine="64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 xml:space="preserve">   </w:t>
      </w:r>
      <w:r>
        <w:rPr>
          <w:rFonts w:ascii="仿宋_GB2312" w:eastAsia="仿宋_GB2312"/>
          <w:color w:val="000000"/>
          <w:sz w:val="32"/>
          <w:szCs w:val="30"/>
        </w:rPr>
        <w:t>6</w:t>
      </w:r>
      <w:r>
        <w:rPr>
          <w:rFonts w:hint="eastAsia" w:ascii="仿宋_GB2312" w:eastAsia="仿宋_GB2312"/>
          <w:color w:val="000000"/>
          <w:sz w:val="32"/>
          <w:szCs w:val="30"/>
        </w:rPr>
        <w:t>）年度预算安排</w:t>
      </w:r>
      <w:r>
        <w:rPr>
          <w:rFonts w:hint="eastAsia" w:ascii="仿宋_GB2312" w:eastAsia="仿宋_GB2312"/>
          <w:color w:val="000000"/>
          <w:sz w:val="32"/>
          <w:szCs w:val="30"/>
          <w:lang w:eastAsia="zh-CN"/>
        </w:rPr>
        <w:t>：</w:t>
      </w:r>
      <w:r>
        <w:rPr>
          <w:rFonts w:hint="eastAsia" w:ascii="仿宋_GB2312" w:eastAsia="仿宋_GB2312"/>
          <w:color w:val="000000"/>
          <w:sz w:val="32"/>
          <w:szCs w:val="30"/>
          <w:lang w:val="en-US" w:eastAsia="zh-CN"/>
        </w:rPr>
        <w:t>10万元</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 xml:space="preserve">   7）绩效目标和指标</w:t>
      </w:r>
    </w:p>
    <w:p>
      <w:pPr>
        <w:widowControl/>
        <w:spacing w:line="600" w:lineRule="exact"/>
        <w:ind w:firstLine="960" w:firstLineChars="300"/>
        <w:jc w:val="left"/>
        <w:rPr>
          <w:rFonts w:hint="eastAsia" w:ascii="仿宋_GB2312" w:hAnsi="Times New Roman" w:eastAsia="仿宋_GB2312" w:cs="Times New Roman"/>
          <w:kern w:val="2"/>
          <w:sz w:val="30"/>
          <w:szCs w:val="24"/>
          <w:lang w:val="en-US" w:eastAsia="zh-CN" w:bidi="ar-SA"/>
        </w:rPr>
      </w:pPr>
      <w:r>
        <w:rPr>
          <w:rFonts w:hint="eastAsia" w:ascii="仿宋_GB2312" w:eastAsia="仿宋_GB2312"/>
          <w:color w:val="000000"/>
          <w:sz w:val="32"/>
          <w:szCs w:val="30"/>
          <w:lang w:val="en-US" w:eastAsia="zh-CN"/>
        </w:rPr>
        <w:t xml:space="preserve"> 绩效目标：</w:t>
      </w:r>
      <w:r>
        <w:rPr>
          <w:rFonts w:hint="eastAsia" w:ascii="仿宋_GB2312" w:eastAsia="仿宋_GB2312"/>
          <w:color w:val="000000"/>
          <w:sz w:val="32"/>
          <w:szCs w:val="30"/>
          <w:lang w:eastAsia="zh-CN"/>
        </w:rPr>
        <w:t>增强打击传销的紧迫感和责任感，进一步加大打击力度，落实工作责任，着力构建打击传销长效监管机制，对传销活动始终保持高压严打态势。</w:t>
      </w:r>
      <w:r>
        <w:rPr>
          <w:rFonts w:hint="eastAsia" w:ascii="仿宋_GB2312" w:hAnsi="Times New Roman" w:eastAsia="仿宋_GB2312" w:cs="Times New Roman"/>
          <w:kern w:val="2"/>
          <w:sz w:val="30"/>
          <w:szCs w:val="24"/>
          <w:lang w:val="en-US" w:eastAsia="zh-CN" w:bidi="ar-SA"/>
        </w:rPr>
        <w:t>绩效指标：数量指标（打击传销联合行动开展次数）达到10次，质量指标（打击传销联合行动圆满完成率）达到100％，时效指标（打击传销联合行动开展时长）达到2天，成本指标（成本控制情况）不超过当年预算，社会效益指标（传销案件降低率）达到95%，满意度指标（群众满意度）达到90％。</w:t>
      </w:r>
    </w:p>
    <w:p>
      <w:pPr>
        <w:widowControl/>
        <w:spacing w:line="600" w:lineRule="exact"/>
        <w:ind w:firstLine="900" w:firstLineChars="300"/>
        <w:jc w:val="left"/>
        <w:rPr>
          <w:rFonts w:hint="default" w:ascii="仿宋_GB2312" w:hAnsi="Times New Roman" w:eastAsia="仿宋_GB2312" w:cs="Times New Roman"/>
          <w:kern w:val="2"/>
          <w:sz w:val="30"/>
          <w:szCs w:val="24"/>
          <w:lang w:val="en-US" w:eastAsia="zh-CN" w:bidi="ar-SA"/>
        </w:rPr>
      </w:pPr>
    </w:p>
    <w:p>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eastAsia="zh-CN"/>
        </w:rPr>
        <w:t>昌江区市场监督管理局2023</w:t>
      </w:r>
      <w:r>
        <w:rPr>
          <w:rFonts w:hint="eastAsia" w:ascii="黑体" w:hAnsi="宋体" w:eastAsia="黑体" w:cs="黑体"/>
          <w:sz w:val="32"/>
          <w:szCs w:val="32"/>
        </w:rPr>
        <w:t>年部门预算表</w:t>
      </w:r>
    </w:p>
    <w:p>
      <w:pPr>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pPr>
        <w:rPr>
          <w:rFonts w:ascii="仿宋_GB2312" w:hAnsi="宋体" w:eastAsia="仿宋_GB2312" w:cs="仿宋_GB2312"/>
          <w:sz w:val="32"/>
          <w:szCs w:val="32"/>
          <w:shd w:val="clear" w:color="FFFFFF" w:fill="D9D9D9"/>
        </w:rPr>
      </w:pPr>
    </w:p>
    <w:p>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各部门结合实际进行解释。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w:t>
      </w:r>
      <w:r>
        <w:rPr>
          <w:rFonts w:hint="eastAsia" w:ascii="仿宋_GB2312" w:eastAsia="仿宋_GB2312"/>
          <w:color w:val="000000"/>
          <w:sz w:val="32"/>
          <w:szCs w:val="30"/>
          <w:lang w:eastAsia="zh-CN"/>
        </w:rPr>
        <w:t>区</w:t>
      </w:r>
      <w:r>
        <w:rPr>
          <w:rFonts w:hint="eastAsia" w:ascii="仿宋_GB2312" w:eastAsia="仿宋_GB2312"/>
          <w:color w:val="000000"/>
          <w:sz w:val="32"/>
          <w:szCs w:val="30"/>
        </w:rPr>
        <w:t>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2023</w:t>
      </w:r>
      <w:r>
        <w:rPr>
          <w:rFonts w:hint="eastAsia" w:ascii="仿宋_GB2312" w:eastAsia="仿宋_GB2312"/>
          <w:color w:val="000000"/>
          <w:sz w:val="32"/>
          <w:szCs w:val="30"/>
        </w:rPr>
        <w:t>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2</w:t>
      </w:r>
      <w:r>
        <w:rPr>
          <w:rFonts w:hint="eastAsia" w:ascii="仿宋_GB2312" w:eastAsia="仿宋_GB2312"/>
          <w:color w:val="000000"/>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pPr>
        <w:widowControl/>
        <w:spacing w:line="600" w:lineRule="exact"/>
        <w:ind w:firstLine="640"/>
        <w:jc w:val="left"/>
        <w:rPr>
          <w:rFonts w:ascii="仿宋_GB2312" w:eastAsia="仿宋_GB2312" w:cs="Times New Roman"/>
          <w:sz w:val="32"/>
          <w:szCs w:val="32"/>
        </w:rPr>
      </w:pPr>
      <w:r>
        <w:rPr>
          <w:rFonts w:hint="eastAsia" w:ascii="仿宋_GB2312" w:eastAsia="仿宋_GB2312"/>
          <w:color w:val="000000"/>
          <w:sz w:val="32"/>
          <w:szCs w:val="30"/>
        </w:rPr>
        <w:t>对部门预算中涉及的支出功能分类科目（明细到项级），结合部门实际，参照《</w:t>
      </w:r>
      <w:r>
        <w:rPr>
          <w:rFonts w:hint="eastAsia" w:ascii="仿宋_GB2312" w:eastAsia="仿宋_GB2312"/>
          <w:color w:val="000000"/>
          <w:sz w:val="32"/>
          <w:szCs w:val="30"/>
          <w:lang w:eastAsia="zh-CN"/>
        </w:rPr>
        <w:t>2023</w:t>
      </w:r>
      <w:r>
        <w:rPr>
          <w:rFonts w:hint="eastAsia" w:ascii="仿宋_GB2312" w:eastAsia="仿宋_GB2312"/>
          <w:color w:val="000000"/>
          <w:sz w:val="32"/>
          <w:szCs w:val="30"/>
        </w:rPr>
        <w:t>年政府收支分类科目》的规范说明进行解释。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仿宋_GB2312" w:hAnsi="Calibri" w:eastAsia="仿宋_GB2312" w:cs="Calibri"/>
          <w:color w:val="000000"/>
          <w:kern w:val="2"/>
          <w:sz w:val="32"/>
          <w:szCs w:val="30"/>
          <w:lang w:val="en-US" w:eastAsia="zh-CN" w:bidi="ar-SA"/>
        </w:rPr>
      </w:pPr>
      <w:r>
        <w:rPr>
          <w:rFonts w:hint="eastAsia" w:ascii="仿宋_GB2312" w:hAnsi="Calibri" w:eastAsia="仿宋_GB2312" w:cs="Calibri"/>
          <w:color w:val="000000"/>
          <w:kern w:val="2"/>
          <w:sz w:val="32"/>
          <w:szCs w:val="30"/>
          <w:lang w:val="en-US" w:eastAsia="zh-CN" w:bidi="ar-SA"/>
        </w:rPr>
        <w:t>（一）一般公共服务支出：反映行政事业单位的相关支出。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仿宋_GB2312" w:hAnsi="Calibri" w:eastAsia="仿宋_GB2312" w:cs="Calibri"/>
          <w:color w:val="000000"/>
          <w:kern w:val="2"/>
          <w:sz w:val="32"/>
          <w:szCs w:val="30"/>
          <w:lang w:val="en-US" w:eastAsia="zh-CN" w:bidi="ar-SA"/>
        </w:rPr>
      </w:pPr>
      <w:r>
        <w:rPr>
          <w:rFonts w:hint="eastAsia" w:ascii="仿宋_GB2312" w:hAnsi="Calibri" w:eastAsia="仿宋_GB2312" w:cs="Calibri"/>
          <w:color w:val="000000"/>
          <w:kern w:val="2"/>
          <w:sz w:val="32"/>
          <w:szCs w:val="30"/>
          <w:lang w:val="en-US" w:eastAsia="zh-CN" w:bidi="ar-SA"/>
        </w:rPr>
        <w:t>（二）社会保障和就业支出：反映机关事业单位实施养老保险制度由单位缴纳的基本养老保险费支出。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仿宋_GB2312" w:hAnsi="Calibri" w:eastAsia="仿宋_GB2312" w:cs="Calibri"/>
          <w:color w:val="000000"/>
          <w:kern w:val="2"/>
          <w:sz w:val="32"/>
          <w:szCs w:val="30"/>
          <w:lang w:val="en-US" w:eastAsia="zh-CN" w:bidi="ar-SA"/>
        </w:rPr>
      </w:pPr>
      <w:r>
        <w:rPr>
          <w:rFonts w:hint="eastAsia" w:ascii="仿宋_GB2312" w:hAnsi="Calibri" w:eastAsia="仿宋_GB2312" w:cs="Calibri"/>
          <w:color w:val="000000"/>
          <w:kern w:val="2"/>
          <w:sz w:val="32"/>
          <w:szCs w:val="30"/>
          <w:lang w:val="en-US" w:eastAsia="zh-CN" w:bidi="ar-SA"/>
        </w:rPr>
        <w:t>（三）卫生健康支出：反映行政事业单位医疗方面的支出。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仿宋_GB2312" w:hAnsi="Calibri" w:eastAsia="仿宋_GB2312" w:cs="Calibri"/>
          <w:color w:val="000000"/>
          <w:kern w:val="2"/>
          <w:sz w:val="32"/>
          <w:szCs w:val="30"/>
          <w:lang w:val="en-US" w:eastAsia="zh-CN" w:bidi="ar-SA"/>
        </w:rPr>
      </w:pPr>
      <w:r>
        <w:rPr>
          <w:rFonts w:hint="eastAsia" w:ascii="仿宋_GB2312" w:hAnsi="Calibri" w:eastAsia="仿宋_GB2312" w:cs="Calibri"/>
          <w:color w:val="000000"/>
          <w:kern w:val="2"/>
          <w:sz w:val="32"/>
          <w:szCs w:val="30"/>
          <w:lang w:val="en-US" w:eastAsia="zh-CN" w:bidi="ar-SA"/>
        </w:rPr>
        <w:t>（四）住房保障支出：反映行政事业单位按人力资源和社会保障部、财政部规定的基本工资和津贴补贴以及规定比例为职工缴纳的住房公积金。</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仿宋_GB2312" w:hAnsi="Calibri" w:eastAsia="仿宋_GB2312" w:cs="Calibri"/>
          <w:color w:val="000000"/>
          <w:kern w:val="2"/>
          <w:sz w:val="32"/>
          <w:szCs w:val="30"/>
          <w:lang w:val="en-US" w:eastAsia="zh-CN" w:bidi="ar-SA"/>
        </w:rPr>
      </w:pPr>
      <w:r>
        <w:rPr>
          <w:rFonts w:hint="eastAsia" w:ascii="仿宋_GB2312" w:hAnsi="Calibri" w:eastAsia="仿宋_GB2312" w:cs="Calibri"/>
          <w:color w:val="000000"/>
          <w:kern w:val="2"/>
          <w:sz w:val="32"/>
          <w:szCs w:val="30"/>
          <w:lang w:val="en-US" w:eastAsia="zh-CN" w:bidi="ar-SA"/>
        </w:rPr>
        <w:t>（五）“三公经费”支出：因公出国（境）费用反映单位公务出国（境）的国际旅费、国外城市间交通费、住宿费、伙食费、培训费、公杂费等支出。公务接待费反映单位按规定开支的各类公务接待（含外宾接待）费用。公务用车运行维护费反映单位按规定保留的公务用车燃油费、维修费、过桥过路费、保险费、安全奖励费用等支出。</w:t>
      </w:r>
    </w:p>
    <w:p>
      <w:pPr>
        <w:rPr>
          <w:rFonts w:ascii="仿宋_GB2312"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8</w:t>
    </w:r>
    <w:r>
      <w:rPr>
        <w:rStyle w:val="9"/>
      </w:rPr>
      <w:fldChar w:fldCharType="end"/>
    </w:r>
  </w:p>
  <w:p>
    <w:pPr>
      <w:pStyle w:val="5"/>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778CA"/>
    <w:multiLevelType w:val="singleLevel"/>
    <w:tmpl w:val="59A778CA"/>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4ODEzYWEzZGMyMDU0YmQ0NDNhMzgzYTc5Yzc4MjIifQ=="/>
    <w:docVar w:name="KSO_WPS_MARK_KEY" w:val="69951e7b-a9aa-43f8-860d-b1d67e6ba990"/>
  </w:docVars>
  <w:rsids>
    <w:rsidRoot w:val="19076E1D"/>
    <w:rsid w:val="000429DB"/>
    <w:rsid w:val="00066060"/>
    <w:rsid w:val="00675E17"/>
    <w:rsid w:val="00683AC4"/>
    <w:rsid w:val="008110CC"/>
    <w:rsid w:val="00B358C5"/>
    <w:rsid w:val="00C04C9A"/>
    <w:rsid w:val="00CB427A"/>
    <w:rsid w:val="00F500B9"/>
    <w:rsid w:val="01027B0E"/>
    <w:rsid w:val="01992CBB"/>
    <w:rsid w:val="022502CD"/>
    <w:rsid w:val="05EB1609"/>
    <w:rsid w:val="05EB46CF"/>
    <w:rsid w:val="08BD6586"/>
    <w:rsid w:val="08EE0B31"/>
    <w:rsid w:val="0A326819"/>
    <w:rsid w:val="0CBF216E"/>
    <w:rsid w:val="0E903615"/>
    <w:rsid w:val="0FCB58D0"/>
    <w:rsid w:val="11427CB1"/>
    <w:rsid w:val="12B207DE"/>
    <w:rsid w:val="139E3D52"/>
    <w:rsid w:val="162B4B72"/>
    <w:rsid w:val="168A3AB5"/>
    <w:rsid w:val="18AC060B"/>
    <w:rsid w:val="19076E1D"/>
    <w:rsid w:val="191D52C9"/>
    <w:rsid w:val="1D2F3B9F"/>
    <w:rsid w:val="1E663337"/>
    <w:rsid w:val="1EBD751D"/>
    <w:rsid w:val="1F117155"/>
    <w:rsid w:val="204B45CE"/>
    <w:rsid w:val="25705B71"/>
    <w:rsid w:val="29D76F3F"/>
    <w:rsid w:val="2DBB222D"/>
    <w:rsid w:val="31D40AAE"/>
    <w:rsid w:val="32850B4B"/>
    <w:rsid w:val="34B66CC2"/>
    <w:rsid w:val="381119B2"/>
    <w:rsid w:val="39E302DA"/>
    <w:rsid w:val="3BD871B8"/>
    <w:rsid w:val="3CF55A87"/>
    <w:rsid w:val="3CFE26EE"/>
    <w:rsid w:val="3DAA3CC1"/>
    <w:rsid w:val="3E5500EC"/>
    <w:rsid w:val="429A727D"/>
    <w:rsid w:val="4322216B"/>
    <w:rsid w:val="4C0B38BC"/>
    <w:rsid w:val="4C0B7195"/>
    <w:rsid w:val="4D3B293C"/>
    <w:rsid w:val="4D44414D"/>
    <w:rsid w:val="4E4A0EA5"/>
    <w:rsid w:val="51B40312"/>
    <w:rsid w:val="52F07B62"/>
    <w:rsid w:val="56552A05"/>
    <w:rsid w:val="57CC144D"/>
    <w:rsid w:val="62074A71"/>
    <w:rsid w:val="62B20F12"/>
    <w:rsid w:val="63973295"/>
    <w:rsid w:val="641A023B"/>
    <w:rsid w:val="641E7445"/>
    <w:rsid w:val="6A0E1913"/>
    <w:rsid w:val="6B857389"/>
    <w:rsid w:val="6E641B01"/>
    <w:rsid w:val="71452C49"/>
    <w:rsid w:val="73224148"/>
    <w:rsid w:val="73E060CE"/>
    <w:rsid w:val="772860B1"/>
    <w:rsid w:val="77534E09"/>
    <w:rsid w:val="7B4102B0"/>
    <w:rsid w:val="7DAC5273"/>
    <w:rsid w:val="7F0C59E2"/>
    <w:rsid w:val="7FB6418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0"/>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after="260" w:line="413"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nhideWhenUsed/>
    <w:qFormat/>
    <w:uiPriority w:val="99"/>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Normal (Web)"/>
    <w:basedOn w:val="1"/>
    <w:semiHidden/>
    <w:unhideWhenUsed/>
    <w:qFormat/>
    <w:uiPriority w:val="99"/>
    <w:rPr>
      <w:sz w:val="24"/>
    </w:rPr>
  </w:style>
  <w:style w:type="character" w:styleId="9">
    <w:name w:val="page number"/>
    <w:basedOn w:val="8"/>
    <w:qFormat/>
    <w:uiPriority w:val="99"/>
  </w:style>
  <w:style w:type="character" w:customStyle="1" w:styleId="10">
    <w:name w:val="标题 2 Char"/>
    <w:basedOn w:val="8"/>
    <w:link w:val="2"/>
    <w:semiHidden/>
    <w:qFormat/>
    <w:uiPriority w:val="9"/>
    <w:rPr>
      <w:rFonts w:asciiTheme="majorHAnsi" w:hAnsiTheme="majorHAnsi" w:eastAsiaTheme="majorEastAsia" w:cstheme="majorBidi"/>
      <w:b/>
      <w:bCs/>
      <w:sz w:val="32"/>
      <w:szCs w:val="32"/>
    </w:rPr>
  </w:style>
  <w:style w:type="character" w:customStyle="1" w:styleId="11">
    <w:name w:val="页脚 Char"/>
    <w:basedOn w:val="8"/>
    <w:link w:val="5"/>
    <w:semiHidden/>
    <w:qFormat/>
    <w:uiPriority w:val="99"/>
    <w:rPr>
      <w:rFonts w:cs="Calibri"/>
      <w:sz w:val="18"/>
      <w:szCs w:val="18"/>
    </w:rPr>
  </w:style>
  <w:style w:type="character" w:customStyle="1" w:styleId="12">
    <w:name w:val="批注框文本 Char"/>
    <w:basedOn w:val="8"/>
    <w:link w:val="4"/>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9</Pages>
  <Words>3713</Words>
  <Characters>4065</Characters>
  <Lines>3</Lines>
  <Paragraphs>5</Paragraphs>
  <TotalTime>66</TotalTime>
  <ScaleCrop>false</ScaleCrop>
  <LinksUpToDate>false</LinksUpToDate>
  <CharactersWithSpaces>4124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伦</cp:lastModifiedBy>
  <cp:lastPrinted>2021-05-26T02:23:00Z</cp:lastPrinted>
  <dcterms:modified xsi:type="dcterms:W3CDTF">2023-04-04T03:24:02Z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5376ED51E70B49018905EDD3D3CCF2DA</vt:lpwstr>
  </property>
</Properties>
</file>