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市场监督管理局</w:t>
      </w:r>
      <w:r>
        <w:rPr>
          <w:rFonts w:hint="eastAsia" w:ascii="黑体" w:eastAsia="黑体"/>
          <w:sz w:val="44"/>
          <w:szCs w:val="36"/>
        </w:rPr>
        <w:t>20</w:t>
      </w:r>
      <w:r>
        <w:rPr>
          <w:rFonts w:hint="eastAsia" w:ascii="黑体" w:eastAsia="黑体"/>
          <w:sz w:val="44"/>
          <w:szCs w:val="36"/>
          <w:lang w:val="en-US" w:eastAsia="zh-CN"/>
        </w:rPr>
        <w:t>22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市场监督管理局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1、贯彻执行国家、省、市、区有关食品药品监督管理、工商行政管理、质量技术监督等方面的法律、法规和政策；拟订相关规范性文件和政策、措施，经批准后监督实施。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2、拟订并组织实施市场监督管理事业发展规划和技术机构建设规划；组织推进质量发展工作；组织实施商标战略和名牌战略；指导广告业发展；参与制定商品交易市场发展规划。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3、负责涉及食品药品监督管理、工商行政管理、质量技术监督的各类行政审批和行政许可并监督管理。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4、组织指导查处违反食品药品监督管理、工商行政管理、质量技术监督法律、法规、规章的行为。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组织拟订并协调推进食品安全规划；依法承担食品安全综合协调工作；推动食品安全应急体系和隐患排查治理机制建设，按规定负责食品安全事故和突发事件的应对处置；依法统一发布重大食品安全信息；依法承担食品生产、食品流通及餐饮服务的安全监督管理职责；承担酒类、保健食品和化妆品市场监管职责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6、依法承担对各类市场经营秩序监管责任；负责市场交易行为和网络交易行为及有关服务行为监管职责，维护公平竞争的市场经营秩序；依法负责个体工商户、私营企业经营行为的监督管理；组织开展企业信用体系建设，推进政府企业信用、行业信用建设，实施信用分类管理；依法监督管理经纪人、经纪机构及经纪活动；依法监督管理直销企业和直销人员及其直销行为，依法查处违法直销和传销案件；负责各类广告活动的监督管理工作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7、依法管理和指导质量工作，负责质量宏观管理和产品（商品）质量监督检查工作；组织产品（商品）质量预警、监测工作；受委托组织协调较大产品（商品）质量事故的调查处理；组织实施质量奖励制度和缺陷产品（商品）召回制度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</w:t>
      </w:r>
      <w:r>
        <w:rPr>
          <w:rFonts w:eastAsia="仿宋_GB2312"/>
          <w:sz w:val="30"/>
          <w:szCs w:val="30"/>
        </w:rPr>
        <w:t>本部门共有预算单位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个，</w:t>
      </w:r>
      <w:r>
        <w:rPr>
          <w:rFonts w:eastAsia="仿宋_GB2312"/>
          <w:sz w:val="32"/>
          <w:szCs w:val="32"/>
        </w:rPr>
        <w:t>编制人数</w:t>
      </w:r>
      <w:r>
        <w:rPr>
          <w:rFonts w:hint="eastAsia" w:eastAsia="仿宋_GB2312"/>
          <w:sz w:val="32"/>
          <w:szCs w:val="32"/>
          <w:lang w:val="en-US" w:eastAsia="zh-CN"/>
        </w:rPr>
        <w:t>42</w:t>
      </w:r>
      <w:r>
        <w:rPr>
          <w:rFonts w:eastAsia="仿宋_GB2312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其中：行政编制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人，全部补助事业编制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人；实有人数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人，其中：在职人数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人，退休人员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年收入预算总额为</w:t>
      </w:r>
      <w:r>
        <w:rPr>
          <w:rFonts w:hint="eastAsia" w:eastAsia="仿宋_GB2312"/>
          <w:sz w:val="30"/>
          <w:szCs w:val="30"/>
          <w:lang w:val="en-US" w:eastAsia="zh-CN"/>
        </w:rPr>
        <w:t>588.58万</w:t>
      </w:r>
      <w:r>
        <w:rPr>
          <w:rFonts w:eastAsia="仿宋_GB2312"/>
          <w:sz w:val="30"/>
          <w:szCs w:val="30"/>
        </w:rPr>
        <w:t>元，其中：经费拨款（补助）收入</w:t>
      </w:r>
      <w:r>
        <w:rPr>
          <w:rFonts w:hint="eastAsia" w:eastAsia="仿宋_GB2312"/>
          <w:sz w:val="30"/>
          <w:szCs w:val="30"/>
          <w:lang w:val="en-US" w:eastAsia="zh-CN"/>
        </w:rPr>
        <w:t>588.58万</w:t>
      </w:r>
      <w:r>
        <w:rPr>
          <w:rFonts w:eastAsia="仿宋_GB2312"/>
          <w:sz w:val="30"/>
          <w:szCs w:val="30"/>
        </w:rPr>
        <w:t>元，占收入预算总额的100%。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年支出预算总额为</w:t>
      </w:r>
      <w:r>
        <w:rPr>
          <w:rFonts w:hint="eastAsia" w:eastAsia="仿宋_GB2312"/>
          <w:sz w:val="30"/>
          <w:szCs w:val="30"/>
          <w:lang w:val="en-US" w:eastAsia="zh-CN"/>
        </w:rPr>
        <w:t>588.58万</w:t>
      </w:r>
      <w:r>
        <w:rPr>
          <w:rFonts w:eastAsia="仿宋_GB2312"/>
          <w:sz w:val="30"/>
          <w:szCs w:val="30"/>
        </w:rPr>
        <w:t>。其中：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按支出项目类别划分：基本支出</w:t>
      </w:r>
      <w:r>
        <w:rPr>
          <w:rFonts w:hint="eastAsia" w:eastAsia="仿宋_GB2312"/>
          <w:sz w:val="30"/>
          <w:szCs w:val="30"/>
          <w:lang w:val="en-US" w:eastAsia="zh-CN"/>
        </w:rPr>
        <w:t>533.58万</w:t>
      </w:r>
      <w:r>
        <w:rPr>
          <w:rFonts w:eastAsia="仿宋_GB2312"/>
          <w:sz w:val="30"/>
          <w:szCs w:val="30"/>
        </w:rPr>
        <w:t>元，占支出预算总额的</w:t>
      </w:r>
      <w:r>
        <w:rPr>
          <w:rFonts w:hint="eastAsia" w:eastAsia="仿宋_GB2312"/>
          <w:sz w:val="30"/>
          <w:szCs w:val="30"/>
          <w:lang w:val="en-US" w:eastAsia="zh-CN"/>
        </w:rPr>
        <w:t>90.66</w:t>
      </w:r>
      <w:r>
        <w:rPr>
          <w:rFonts w:eastAsia="仿宋_GB2312"/>
          <w:sz w:val="30"/>
          <w:szCs w:val="30"/>
        </w:rPr>
        <w:t>%，其中工资福利支出</w:t>
      </w:r>
      <w:r>
        <w:rPr>
          <w:rFonts w:hint="eastAsia" w:eastAsia="仿宋_GB2312"/>
          <w:sz w:val="30"/>
          <w:szCs w:val="30"/>
          <w:lang w:val="en-US" w:eastAsia="zh-CN"/>
        </w:rPr>
        <w:t>453.71万</w:t>
      </w:r>
      <w:r>
        <w:rPr>
          <w:rFonts w:eastAsia="仿宋_GB2312"/>
          <w:sz w:val="30"/>
          <w:szCs w:val="30"/>
        </w:rPr>
        <w:t>元、商品和服务支出</w:t>
      </w:r>
      <w:r>
        <w:rPr>
          <w:rFonts w:hint="eastAsia" w:eastAsia="仿宋_GB2312"/>
          <w:sz w:val="30"/>
          <w:szCs w:val="30"/>
          <w:lang w:val="en-US" w:eastAsia="zh-CN"/>
        </w:rPr>
        <w:t>69.64万</w:t>
      </w:r>
      <w:r>
        <w:rPr>
          <w:rFonts w:eastAsia="仿宋_GB2312"/>
          <w:sz w:val="30"/>
          <w:szCs w:val="30"/>
        </w:rPr>
        <w:t>元、对个人和家庭的补助</w:t>
      </w:r>
      <w:r>
        <w:rPr>
          <w:rFonts w:hint="eastAsia" w:eastAsia="仿宋_GB2312"/>
          <w:sz w:val="30"/>
          <w:szCs w:val="30"/>
          <w:lang w:val="en-US" w:eastAsia="zh-CN"/>
        </w:rPr>
        <w:t>10.23万</w:t>
      </w:r>
      <w:r>
        <w:rPr>
          <w:rFonts w:eastAsia="仿宋_GB2312"/>
          <w:sz w:val="30"/>
          <w:szCs w:val="30"/>
        </w:rPr>
        <w:t>元、其他资本性支出0元；项目支出</w:t>
      </w:r>
      <w:r>
        <w:rPr>
          <w:rFonts w:hint="eastAsia" w:eastAsia="仿宋_GB2312"/>
          <w:sz w:val="30"/>
          <w:szCs w:val="30"/>
          <w:lang w:val="en-US" w:eastAsia="zh-CN"/>
        </w:rPr>
        <w:t>55万</w:t>
      </w:r>
      <w:r>
        <w:rPr>
          <w:rFonts w:eastAsia="仿宋_GB2312"/>
          <w:sz w:val="30"/>
          <w:szCs w:val="30"/>
        </w:rPr>
        <w:t>元，占支出预算总额</w:t>
      </w:r>
      <w:r>
        <w:rPr>
          <w:rFonts w:hint="eastAsia" w:eastAsia="仿宋_GB2312"/>
          <w:sz w:val="30"/>
          <w:szCs w:val="30"/>
          <w:lang w:val="en-US" w:eastAsia="zh-CN"/>
        </w:rPr>
        <w:t>9.34</w:t>
      </w:r>
      <w:r>
        <w:rPr>
          <w:rFonts w:eastAsia="仿宋_GB2312"/>
          <w:sz w:val="30"/>
          <w:szCs w:val="30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年经费拨款（补助）支出预算</w:t>
      </w:r>
      <w:r>
        <w:rPr>
          <w:rFonts w:hint="eastAsia" w:eastAsia="仿宋_GB2312"/>
          <w:sz w:val="30"/>
          <w:szCs w:val="30"/>
          <w:lang w:val="en-US" w:eastAsia="zh-CN"/>
        </w:rPr>
        <w:t>588.58万</w:t>
      </w:r>
      <w:r>
        <w:rPr>
          <w:rFonts w:eastAsia="仿宋_GB2312"/>
          <w:sz w:val="30"/>
          <w:szCs w:val="30"/>
        </w:rPr>
        <w:t>元，占支出预算总额的100%。</w:t>
      </w:r>
      <w:r>
        <w:rPr>
          <w:rFonts w:hint="eastAsia" w:eastAsia="仿宋_GB2312"/>
          <w:sz w:val="32"/>
          <w:szCs w:val="32"/>
        </w:rPr>
        <w:t>具体支出情况是：</w:t>
      </w:r>
      <w:r>
        <w:rPr>
          <w:rFonts w:hint="eastAsia" w:eastAsia="仿宋_GB2312"/>
          <w:sz w:val="32"/>
          <w:szCs w:val="32"/>
          <w:lang w:eastAsia="zh-CN"/>
        </w:rPr>
        <w:t>一般公共服务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482.59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38.10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25.16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42.72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sz w:val="32"/>
          <w:szCs w:val="30"/>
        </w:rPr>
        <w:t>无政府性基金预算拨款安排的支出，较上年无变化。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年部门机关运行费用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69.64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办公费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10.00</w:t>
      </w:r>
      <w:r>
        <w:rPr>
          <w:rFonts w:hint="eastAsia" w:ascii="仿宋_GB2312" w:eastAsia="仿宋_GB2312"/>
          <w:sz w:val="32"/>
          <w:szCs w:val="30"/>
        </w:rPr>
        <w:t>万元，印刷费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10.00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水费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0.20万元，电费0.80万元，</w:t>
      </w:r>
      <w:r>
        <w:rPr>
          <w:rFonts w:hint="eastAsia" w:ascii="仿宋_GB2312" w:eastAsia="仿宋_GB2312"/>
          <w:sz w:val="32"/>
          <w:szCs w:val="30"/>
        </w:rPr>
        <w:t>邮电费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1.00</w:t>
      </w:r>
      <w:r>
        <w:rPr>
          <w:rFonts w:hint="eastAsia" w:ascii="仿宋_GB2312" w:eastAsia="仿宋_GB2312"/>
          <w:sz w:val="32"/>
          <w:szCs w:val="30"/>
        </w:rPr>
        <w:t>万元，差旅费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1.80</w:t>
      </w:r>
      <w:r>
        <w:rPr>
          <w:rFonts w:hint="eastAsia" w:ascii="仿宋_GB2312" w:eastAsia="仿宋_GB2312"/>
          <w:sz w:val="32"/>
          <w:szCs w:val="30"/>
        </w:rPr>
        <w:t>万元，维修（护）费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3.00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培训费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5.00万元，公务用车运行维护费21.54万元，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其他交通费用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11.10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750" w:firstLineChars="250"/>
        <w:jc w:val="left"/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年政府采购预算为</w:t>
      </w:r>
      <w:r>
        <w:rPr>
          <w:rFonts w:hint="eastAsia" w:eastAsia="仿宋_GB2312"/>
          <w:sz w:val="30"/>
          <w:szCs w:val="30"/>
          <w:lang w:val="en-US" w:eastAsia="zh-CN"/>
        </w:rPr>
        <w:t>3万</w:t>
      </w:r>
      <w:r>
        <w:rPr>
          <w:rFonts w:eastAsia="仿宋_GB2312"/>
          <w:sz w:val="30"/>
          <w:szCs w:val="30"/>
        </w:rPr>
        <w:t>元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1280" w:firstLineChars="4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sz w:val="32"/>
          <w:szCs w:val="30"/>
        </w:rPr>
        <w:t>“三公”经费年初预算安排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23.74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本部门没有安排相关预算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2.20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与上年比无变化。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21.54</w:t>
      </w:r>
      <w:r>
        <w:rPr>
          <w:rFonts w:hint="eastAsia" w:ascii="仿宋_GB2312" w:eastAsia="仿宋_GB2312"/>
          <w:sz w:val="32"/>
          <w:szCs w:val="30"/>
        </w:rPr>
        <w:t>万元，比上年增</w:t>
      </w:r>
      <w:r>
        <w:rPr>
          <w:rFonts w:hint="eastAsia" w:ascii="仿宋_GB2312" w:eastAsia="仿宋_GB2312"/>
          <w:sz w:val="32"/>
          <w:szCs w:val="30"/>
          <w:lang w:eastAsia="zh-CN"/>
        </w:rPr>
        <w:t>加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</w:rPr>
        <w:t>公务用车购置费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市场监督管理局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一般公共服务（类）财政事务（款）行政运行（项）：指行政单位及参照公务员法管理的事业单位，用于保障机构正常运行、开展日常工作的基本支出。</w:t>
      </w:r>
    </w:p>
    <w:p>
      <w:pPr>
        <w:widowControl/>
        <w:spacing w:line="580" w:lineRule="exact"/>
        <w:ind w:firstLine="640"/>
        <w:jc w:val="left"/>
        <w:rPr>
          <w:rFonts w:hint="default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一般公共服务支出（类）市场监督管理事务（款）质量安全监管（项）：反映产品质量安全监管、特种设备安全监管等质量监管专项工作支出。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A1A103F"/>
    <w:rsid w:val="0E051D04"/>
    <w:rsid w:val="0FFD0F72"/>
    <w:rsid w:val="27F31DF1"/>
    <w:rsid w:val="28AD2040"/>
    <w:rsid w:val="29243E96"/>
    <w:rsid w:val="43F00DC7"/>
    <w:rsid w:val="5FB31D1C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6</TotalTime>
  <ScaleCrop>false</ScaleCrop>
  <LinksUpToDate>false</LinksUpToDate>
  <CharactersWithSpaces>1289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2022-03-03T09:16:56Z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C5EBDADE5A7843E188193E56676C51DE</vt:lpwstr>
  </property>
</Properties>
</file>