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CE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《国务院反垄断反不正当竞争委员会关于药品领域的反垄断指南》政策解读</w:t>
      </w:r>
    </w:p>
    <w:bookmarkEnd w:id="0"/>
    <w:p w14:paraId="2BDD5AC3">
      <w:pPr>
        <w:rPr>
          <w:rFonts w:hint="eastAsia"/>
        </w:rPr>
      </w:pPr>
    </w:p>
    <w:p w14:paraId="00E1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一、政策背景与目的</w:t>
      </w:r>
    </w:p>
    <w:p w14:paraId="481A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现实需求</w:t>
      </w:r>
    </w:p>
    <w:p w14:paraId="1DEC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药品行业关乎民生健康，但垄断行为频发，如原料药市场控制、价格串通、滥用知识产权等，导致药品供应短缺、价格虚高，损害消费者利益和社会公共利益。2023年，全国查处医药领域垄断案件罚没金额占比超80%，凸显监管紧迫性。  </w:t>
      </w:r>
    </w:p>
    <w:p w14:paraId="19337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政策延续与升级</w:t>
      </w:r>
    </w:p>
    <w:p w14:paraId="515A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2021年《原料药领域反垄断指南》虽规范了部分行为，但药品产业链条长、模式复杂，垄断行为日益隐蔽（如网络平台操纵、反向支付协议等）。《指南》覆盖中药、化学药、生物制品全品类，构建“全链条、全环节”监管体系，填补原有制度空白。  </w:t>
      </w:r>
    </w:p>
    <w:p w14:paraId="5E6B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核心目标 </w:t>
      </w:r>
    </w:p>
    <w:p w14:paraId="3BA96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维护公平竞争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打击垄断协议、滥用市场支配地位等行为，保障市场活力。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保护消费者权益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确保药品可及性、价格合理性及稳定供应。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规制滥用知识产权行为，促进药品研发与技术进步。  </w:t>
      </w:r>
    </w:p>
    <w:p w14:paraId="0F6C2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二、主要内容与创新点</w:t>
      </w:r>
    </w:p>
    <w:p w14:paraId="179B6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全链条监管框架</w:t>
      </w:r>
    </w:p>
    <w:p w14:paraId="75CCC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事前合规指引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要求药品经营者建立反垄断合规制度，行业协会加强自律。</w:t>
      </w:r>
    </w:p>
    <w:p w14:paraId="77D9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事中严格执法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细化垄断协议、滥用市场支配地位的行为认定标准（如反向支付协议、层层加价推高药价）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96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事后联合惩戒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违法线索移交公安、纪检监察等部门，形成跨部门协同机制。  </w:t>
      </w:r>
    </w:p>
    <w:p w14:paraId="672C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垄断行为类型化规制</w:t>
      </w:r>
    </w:p>
    <w:p w14:paraId="4CA6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垄断协议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明确横向（联合定价、分割市场）与纵向（固定转售价格）协议的表现形式，新增对“反向支付协议”的认定标准（如补偿金额是否超出合理范围、是否阻碍仿制药上市）。  </w:t>
      </w:r>
    </w:p>
    <w:p w14:paraId="3F5A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滥用市场支配地位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列举“延迟供货”“产品跳转”等新型行为，强化对供应链控制力的审查（如原料药单一市场界定）。  </w:t>
      </w:r>
    </w:p>
    <w:p w14:paraId="65E5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经营者集中审查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对未达申报标准但可能排除竞争的交易，可要求强制申报，并附加限制性条件（如技术共享、产能开放）。  </w:t>
      </w:r>
    </w:p>
    <w:p w14:paraId="5286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特殊领域与新兴问题</w:t>
      </w:r>
    </w:p>
    <w:p w14:paraId="6072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网络销售监管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禁止利用算法、数据优势实施垄断，规范平台规则。  </w:t>
      </w:r>
    </w:p>
    <w:p w14:paraId="20B3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行政权力规制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细化行政机关限制药品流通、招投标等行为的审查标准，防止地方保护主义。  </w:t>
      </w:r>
    </w:p>
    <w:p w14:paraId="0F04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三、法律适用与争议焦点</w:t>
      </w:r>
    </w:p>
    <w:p w14:paraId="1412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法律适用细化 </w:t>
      </w:r>
    </w:p>
    <w:p w14:paraId="0257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相关市场界定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结合药品特性（如适应症、专利保护）界定商品与地域市场，例如原料药通常单独构成相关市场。  </w:t>
      </w:r>
    </w:p>
    <w:p w14:paraId="6373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豁免与宽大制度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明确垄断协议豁免条件（如技术改进、公共利益），同时严惩恶意行为。  </w:t>
      </w:r>
    </w:p>
    <w:p w14:paraId="6018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争议焦点</w:t>
      </w:r>
    </w:p>
    <w:p w14:paraId="119DB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合理涨价边界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企业常以“成本上升”抗辩，需综合成本变动、行业利润率等判定是否构成“哄抬”。  </w:t>
      </w:r>
    </w:p>
    <w:p w14:paraId="6DC89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知识产权滥用认定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平衡创新保护与反垄断规制，如反向支付协议是否实质阻碍竞争。  </w:t>
      </w:r>
    </w:p>
    <w:p w14:paraId="6399F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四、实施意义与挑战 </w:t>
      </w:r>
    </w:p>
    <w:p w14:paraId="307A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积极影响 </w:t>
      </w:r>
    </w:p>
    <w:p w14:paraId="626CB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规范市场秩序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通过典型案例曝光与联合惩戒，震慑违法行为。  </w:t>
      </w:r>
    </w:p>
    <w:p w14:paraId="41E7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降低用药成本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打击层层加价、囤积居奇，促进药品价格回归合理区间。  </w:t>
      </w:r>
    </w:p>
    <w:p w14:paraId="01A1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促进行业创新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遏制滥用专利行为，为仿制药和创新药提供公平竞争环境。  </w:t>
      </w:r>
    </w:p>
    <w:p w14:paraId="377B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挑战与应对</w:t>
      </w:r>
    </w:p>
    <w:p w14:paraId="5D22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隐蔽性行为监管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网络平台、跨境交易等新场景需技术手段支持（如大数据监测）。  </w:t>
      </w:r>
    </w:p>
    <w:p w14:paraId="7373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执法能力提升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基层执法人员需加强药品专业知识培训，避免“查而不细”。  </w:t>
      </w:r>
    </w:p>
    <w:p w14:paraId="7EE00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五、总结</w:t>
      </w:r>
    </w:p>
    <w:p w14:paraId="5B13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指南》是我国首个覆盖药品全领域的反垄断专项文件，通过“宽严相济”的规则设计（如豁免制度与从严处罚结合），平衡了监管力度与行业发展需求。其实施将推动药品市场从“被动整治”转向“主动合规”，为全球药品反垄断实践提供中国经验。  </w:t>
      </w:r>
    </w:p>
    <w:p w14:paraId="46B74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191F51-8A40-4933-8057-DB302E1278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3A58B2C-40D3-4B4E-9D89-6B2E00847B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40358D-B573-42EB-B586-E41C456306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731783F-78C7-4D20-A12B-52ED085CC2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6DA0A99-1BEC-4123-B6F5-347CE21E5800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2A47"/>
    <w:rsid w:val="3B8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2025-02-24T08:38:00Z</dcterms:created>
  <dc:creator>sahara</dc:creator>
  <cp:lastModifiedBy>sahara</cp:lastModifiedBy>
  <dcterms:modified xsi:type="dcterms:W3CDTF">2025-02-24T08:45:55Z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58512EF5ABDB46B4B73FA44C1C779BF7_11</vt:lpwstr>
  </property>
  <property fmtid="{D5CDD505-2E9C-101B-9397-08002B2CF9AE}" pid="4" name="KSOTemplateDocerSaveRecord">
    <vt:lpwstr>eyJoZGlkIjoiNzk3ZjRmMDdlMzZkNjQ0ZGFlOTcxNjgyMmI5NWVkNGMiLCJ1c2VySWQiOiIyNDE4OTEyMjQifQ==</vt:lpwstr>
  </property>
</Properties>
</file>