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48218">
      <w:pPr>
        <w:spacing w:line="600" w:lineRule="exact"/>
        <w:jc w:val="center"/>
        <w:rPr>
          <w:rFonts w:hint="eastAsia" w:ascii="黑体" w:eastAsia="黑体"/>
          <w:sz w:val="44"/>
          <w:szCs w:val="36"/>
        </w:rPr>
      </w:pPr>
      <w:r>
        <w:rPr>
          <w:rFonts w:hint="eastAsia" w:ascii="黑体" w:hAnsi="黑体" w:eastAsia="黑体"/>
          <w:sz w:val="44"/>
          <w:szCs w:val="36"/>
          <w:lang w:eastAsia="zh-CN"/>
        </w:rPr>
        <w:t>景德镇市昌江区司法局</w:t>
      </w:r>
      <w:r>
        <w:rPr>
          <w:rFonts w:hint="eastAsia" w:ascii="黑体" w:hAnsi="黑体" w:eastAsia="黑体"/>
          <w:sz w:val="44"/>
          <w:szCs w:val="36"/>
        </w:rPr>
        <w:t>部门</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5CE4BFBC">
      <w:pPr>
        <w:spacing w:line="600" w:lineRule="exact"/>
        <w:jc w:val="center"/>
        <w:rPr>
          <w:rFonts w:hint="eastAsia" w:ascii="黑体" w:eastAsia="黑体"/>
          <w:sz w:val="44"/>
          <w:szCs w:val="36"/>
        </w:rPr>
      </w:pPr>
    </w:p>
    <w:p w14:paraId="78301F79">
      <w:pPr>
        <w:spacing w:line="600" w:lineRule="exact"/>
        <w:jc w:val="center"/>
        <w:rPr>
          <w:rFonts w:hint="eastAsia" w:ascii="黑体" w:eastAsia="黑体"/>
          <w:sz w:val="40"/>
          <w:szCs w:val="36"/>
        </w:rPr>
      </w:pPr>
      <w:r>
        <w:rPr>
          <w:rFonts w:hint="eastAsia" w:ascii="黑体" w:eastAsia="黑体"/>
          <w:sz w:val="40"/>
          <w:szCs w:val="36"/>
        </w:rPr>
        <w:t>目    录</w:t>
      </w:r>
    </w:p>
    <w:p w14:paraId="48851196">
      <w:pPr>
        <w:widowControl/>
        <w:spacing w:line="600" w:lineRule="exact"/>
        <w:ind w:firstLine="640"/>
        <w:jc w:val="left"/>
        <w:rPr>
          <w:rFonts w:hint="eastAsia" w:ascii="仿宋_GB2312" w:eastAsia="仿宋_GB2312"/>
          <w:sz w:val="32"/>
          <w:szCs w:val="30"/>
        </w:rPr>
      </w:pPr>
    </w:p>
    <w:p w14:paraId="72EC87B0">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eastAsia="zh-CN"/>
        </w:rPr>
        <w:t>景德镇市昌江区司法局</w:t>
      </w:r>
      <w:r>
        <w:rPr>
          <w:rFonts w:hint="eastAsia" w:ascii="黑体" w:hAnsi="黑体" w:eastAsia="黑体"/>
          <w:sz w:val="32"/>
          <w:szCs w:val="32"/>
        </w:rPr>
        <w:t>部门</w:t>
      </w:r>
      <w:r>
        <w:rPr>
          <w:rFonts w:hint="eastAsia" w:ascii="黑体" w:hAnsi="黑体" w:eastAsia="黑体"/>
          <w:b/>
          <w:sz w:val="32"/>
          <w:szCs w:val="32"/>
        </w:rPr>
        <w:t>概况</w:t>
      </w:r>
    </w:p>
    <w:p w14:paraId="75D90548">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6DA49379">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4DD106DC">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76B566AB">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4520557A">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3F56EFC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11D2E5ED">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7BBA9FF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7C8BFC2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41DE1AAB">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61404165">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7149AE0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6EEAF20A">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6994778F">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33F75EE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67DA3959">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270870F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086A5DB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07E71681">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6C24EE21">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311DC3BF">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383F8766">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7DB8DA71">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06015114">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35E11A0A">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1D95424B">
      <w:pPr>
        <w:ind w:firstLine="630"/>
        <w:jc w:val="center"/>
        <w:rPr>
          <w:rFonts w:hint="eastAsia" w:ascii="宋体" w:hAnsi="宋体"/>
          <w:b/>
          <w:sz w:val="36"/>
          <w:szCs w:val="36"/>
        </w:rPr>
      </w:pPr>
    </w:p>
    <w:p w14:paraId="4816C12A">
      <w:pPr>
        <w:ind w:firstLine="630"/>
        <w:jc w:val="center"/>
        <w:rPr>
          <w:rFonts w:hint="eastAsia" w:ascii="宋体" w:hAnsi="宋体"/>
          <w:b/>
          <w:sz w:val="36"/>
          <w:szCs w:val="36"/>
        </w:rPr>
      </w:pPr>
    </w:p>
    <w:p w14:paraId="68F2EE99">
      <w:pPr>
        <w:ind w:firstLine="630"/>
        <w:jc w:val="center"/>
        <w:rPr>
          <w:rFonts w:hint="eastAsia" w:ascii="宋体" w:hAnsi="宋体"/>
          <w:b/>
          <w:sz w:val="36"/>
          <w:szCs w:val="36"/>
        </w:rPr>
      </w:pPr>
    </w:p>
    <w:p w14:paraId="077F599F">
      <w:pPr>
        <w:ind w:firstLine="630"/>
        <w:jc w:val="center"/>
        <w:rPr>
          <w:rFonts w:hint="eastAsia" w:ascii="宋体" w:hAnsi="宋体"/>
          <w:b/>
          <w:sz w:val="36"/>
          <w:szCs w:val="36"/>
        </w:rPr>
      </w:pPr>
    </w:p>
    <w:p w14:paraId="349B4C8B">
      <w:pPr>
        <w:ind w:firstLine="630"/>
        <w:jc w:val="center"/>
        <w:rPr>
          <w:rFonts w:hint="eastAsia" w:ascii="宋体" w:hAnsi="宋体"/>
          <w:b/>
          <w:sz w:val="36"/>
          <w:szCs w:val="36"/>
        </w:rPr>
      </w:pPr>
    </w:p>
    <w:p w14:paraId="6B8B0568">
      <w:pPr>
        <w:ind w:firstLine="630"/>
        <w:jc w:val="center"/>
        <w:rPr>
          <w:rFonts w:hint="eastAsia" w:ascii="宋体" w:hAnsi="宋体"/>
          <w:b/>
          <w:sz w:val="36"/>
          <w:szCs w:val="36"/>
        </w:rPr>
      </w:pPr>
    </w:p>
    <w:p w14:paraId="7301E8F2">
      <w:pPr>
        <w:ind w:firstLine="630"/>
        <w:jc w:val="center"/>
        <w:rPr>
          <w:rFonts w:hint="eastAsia" w:ascii="宋体" w:hAnsi="宋体"/>
          <w:b/>
          <w:sz w:val="36"/>
          <w:szCs w:val="36"/>
        </w:rPr>
      </w:pPr>
    </w:p>
    <w:p w14:paraId="3EAC3EC9">
      <w:pPr>
        <w:ind w:firstLine="630"/>
        <w:jc w:val="center"/>
        <w:rPr>
          <w:rFonts w:hint="eastAsia" w:ascii="宋体" w:hAnsi="宋体"/>
          <w:b/>
          <w:sz w:val="36"/>
          <w:szCs w:val="36"/>
        </w:rPr>
      </w:pPr>
    </w:p>
    <w:p w14:paraId="7A848C5C">
      <w:pPr>
        <w:jc w:val="both"/>
        <w:rPr>
          <w:rFonts w:hint="eastAsia" w:ascii="宋体" w:hAnsi="宋体"/>
          <w:b/>
          <w:sz w:val="36"/>
          <w:szCs w:val="36"/>
        </w:rPr>
      </w:pPr>
    </w:p>
    <w:p w14:paraId="7ACE7853">
      <w:pPr>
        <w:ind w:firstLine="630"/>
        <w:jc w:val="center"/>
        <w:rPr>
          <w:rFonts w:hint="eastAsia" w:ascii="宋体" w:hAnsi="宋体"/>
          <w:b/>
          <w:sz w:val="36"/>
          <w:szCs w:val="36"/>
        </w:rPr>
      </w:pPr>
    </w:p>
    <w:p w14:paraId="09FC561A">
      <w:pPr>
        <w:ind w:firstLine="630"/>
        <w:jc w:val="center"/>
        <w:rPr>
          <w:rFonts w:hint="eastAsia" w:ascii="宋体" w:hAnsi="宋体"/>
          <w:b/>
          <w:sz w:val="36"/>
          <w:szCs w:val="36"/>
        </w:rPr>
      </w:pPr>
    </w:p>
    <w:p w14:paraId="7474BB62">
      <w:pPr>
        <w:ind w:firstLine="630"/>
        <w:jc w:val="center"/>
        <w:rPr>
          <w:rFonts w:hint="eastAsia" w:ascii="宋体" w:hAnsi="宋体"/>
          <w:b/>
          <w:sz w:val="36"/>
          <w:szCs w:val="36"/>
        </w:rPr>
      </w:pPr>
    </w:p>
    <w:p w14:paraId="1971D433">
      <w:pPr>
        <w:ind w:firstLine="630"/>
        <w:jc w:val="center"/>
        <w:rPr>
          <w:rFonts w:hint="eastAsia" w:ascii="宋体" w:hAnsi="宋体"/>
          <w:b/>
          <w:sz w:val="36"/>
          <w:szCs w:val="36"/>
        </w:rPr>
      </w:pPr>
    </w:p>
    <w:p w14:paraId="7A2CA67A">
      <w:pPr>
        <w:widowControl/>
        <w:spacing w:line="580" w:lineRule="exact"/>
        <w:jc w:val="center"/>
        <w:rPr>
          <w:rFonts w:hint="eastAsia" w:ascii="宋体" w:hAnsi="宋体"/>
          <w:b/>
          <w:sz w:val="32"/>
          <w:szCs w:val="30"/>
        </w:rPr>
      </w:pPr>
    </w:p>
    <w:p w14:paraId="0348BD8C">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eastAsia="zh-CN"/>
        </w:rPr>
        <w:t>景德镇市昌江区司法局</w:t>
      </w:r>
      <w:r>
        <w:rPr>
          <w:rFonts w:hint="eastAsia" w:ascii="宋体" w:hAnsi="宋体"/>
          <w:b/>
          <w:sz w:val="32"/>
          <w:szCs w:val="32"/>
        </w:rPr>
        <w:t>部门</w:t>
      </w:r>
      <w:r>
        <w:rPr>
          <w:rFonts w:hint="eastAsia" w:ascii="宋体" w:hAnsi="宋体"/>
          <w:b/>
          <w:sz w:val="32"/>
          <w:szCs w:val="30"/>
        </w:rPr>
        <w:t>概况</w:t>
      </w:r>
    </w:p>
    <w:p w14:paraId="5475D079">
      <w:pPr>
        <w:ind w:firstLine="630"/>
        <w:jc w:val="center"/>
        <w:rPr>
          <w:rFonts w:hint="eastAsia"/>
          <w:sz w:val="32"/>
          <w:szCs w:val="32"/>
        </w:rPr>
      </w:pPr>
    </w:p>
    <w:p w14:paraId="45DB9926">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4406B87F">
      <w:pPr>
        <w:spacing w:line="500" w:lineRule="exact"/>
        <w:ind w:firstLine="570"/>
        <w:rPr>
          <w:rFonts w:hint="eastAsia" w:ascii="仿宋" w:hAnsi="仿宋" w:eastAsia="仿宋"/>
          <w:sz w:val="30"/>
          <w:szCs w:val="30"/>
        </w:rPr>
      </w:pPr>
      <w:r>
        <w:rPr>
          <w:rFonts w:hint="eastAsia" w:ascii="仿宋" w:hAnsi="仿宋" w:eastAsia="仿宋"/>
          <w:sz w:val="30"/>
          <w:szCs w:val="30"/>
        </w:rPr>
        <w:t>（一）贯彻执行国家司法行政工作方针、政策和法律、法规参与地方性有关规范文件的草拟工作，制定全区司法行政工作的政策和规定。</w:t>
      </w:r>
    </w:p>
    <w:p w14:paraId="791F4593">
      <w:pPr>
        <w:spacing w:line="500" w:lineRule="exact"/>
        <w:ind w:firstLine="570"/>
        <w:rPr>
          <w:rFonts w:hint="eastAsia" w:ascii="仿宋" w:hAnsi="仿宋" w:eastAsia="仿宋"/>
          <w:sz w:val="30"/>
          <w:szCs w:val="30"/>
        </w:rPr>
      </w:pPr>
      <w:r>
        <w:rPr>
          <w:rFonts w:hint="eastAsia" w:ascii="仿宋" w:hAnsi="仿宋" w:eastAsia="仿宋"/>
          <w:sz w:val="30"/>
          <w:szCs w:val="30"/>
        </w:rPr>
        <w:t>（二）拟定全区普法规划并组织实施，指导全区的普法教育、依法治理和对外法治宣传等。</w:t>
      </w:r>
    </w:p>
    <w:p w14:paraId="2ABA9C58">
      <w:pPr>
        <w:ind w:firstLine="600" w:firstLineChars="200"/>
        <w:jc w:val="left"/>
        <w:rPr>
          <w:rFonts w:hint="default" w:ascii="仿宋" w:hAnsi="仿宋" w:eastAsia="仿宋"/>
          <w:sz w:val="30"/>
          <w:szCs w:val="30"/>
          <w:lang w:val="en-US" w:eastAsia="zh-CN"/>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w:t>
      </w:r>
      <w:r>
        <w:rPr>
          <w:rFonts w:hint="eastAsia" w:eastAsia="仿宋_GB2312"/>
          <w:sz w:val="32"/>
          <w:szCs w:val="32"/>
        </w:rPr>
        <w:t>指导、监督和管理全区公证、法律援助、社区矫正人民调解、基层司法所建设、基层法律服务工作，指导刑事解教人员的帮教安置工作。</w:t>
      </w:r>
    </w:p>
    <w:p w14:paraId="0A5A92E8">
      <w:pPr>
        <w:spacing w:line="500" w:lineRule="exact"/>
        <w:ind w:firstLine="570"/>
        <w:rPr>
          <w:rFonts w:hint="eastAsia" w:ascii="仿宋" w:hAnsi="仿宋" w:eastAsia="仿宋"/>
          <w:sz w:val="30"/>
          <w:szCs w:val="30"/>
        </w:rPr>
      </w:pPr>
      <w:r>
        <w:rPr>
          <w:rFonts w:hint="eastAsia" w:ascii="仿宋" w:hAnsi="仿宋" w:eastAsia="仿宋"/>
          <w:sz w:val="30"/>
          <w:szCs w:val="30"/>
          <w:lang w:eastAsia="zh-CN"/>
        </w:rPr>
        <w:t>（四）</w:t>
      </w:r>
      <w:r>
        <w:rPr>
          <w:rFonts w:hint="eastAsia" w:eastAsia="仿宋_GB2312"/>
          <w:sz w:val="32"/>
          <w:szCs w:val="32"/>
        </w:rPr>
        <w:t>指导、监督全区司法行政系统队伍建设和思想作风建设，负责全区司法行政系统的警务管理和警务督查工作，协管乡（镇）、街道司法所领导干部。</w:t>
      </w:r>
    </w:p>
    <w:p w14:paraId="03A21820">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0626797C">
      <w:pPr>
        <w:ind w:firstLine="630"/>
        <w:jc w:val="left"/>
        <w:rPr>
          <w:rFonts w:hint="eastAsia" w:ascii="仿宋" w:hAnsi="仿宋" w:eastAsia="仿宋"/>
          <w:sz w:val="30"/>
          <w:szCs w:val="30"/>
        </w:rPr>
      </w:pPr>
      <w:r>
        <w:rPr>
          <w:rFonts w:hint="eastAsia" w:ascii="仿宋" w:hAnsi="仿宋" w:eastAsia="仿宋"/>
          <w:sz w:val="30"/>
          <w:szCs w:val="30"/>
        </w:rPr>
        <w:t xml:space="preserve">纳入本套部门决算汇编范围的单位共  </w:t>
      </w:r>
      <w:r>
        <w:rPr>
          <w:rFonts w:hint="eastAsia" w:ascii="仿宋" w:hAnsi="仿宋" w:eastAsia="仿宋"/>
          <w:sz w:val="30"/>
          <w:szCs w:val="30"/>
          <w:lang w:val="en-US" w:eastAsia="zh-CN"/>
        </w:rPr>
        <w:t>1</w:t>
      </w:r>
      <w:r>
        <w:rPr>
          <w:rFonts w:hint="eastAsia" w:ascii="仿宋" w:hAnsi="仿宋" w:eastAsia="仿宋"/>
          <w:sz w:val="30"/>
          <w:szCs w:val="30"/>
        </w:rPr>
        <w:t xml:space="preserve"> 个，包括：</w:t>
      </w:r>
      <w:r>
        <w:rPr>
          <w:rFonts w:hint="eastAsia" w:ascii="仿宋" w:hAnsi="仿宋" w:eastAsia="仿宋"/>
          <w:sz w:val="30"/>
          <w:szCs w:val="30"/>
          <w:lang w:eastAsia="zh-CN"/>
        </w:rPr>
        <w:t>景德镇市昌江区司法局（</w:t>
      </w:r>
      <w:r>
        <w:rPr>
          <w:rFonts w:hint="eastAsia" w:ascii="仿宋" w:hAnsi="仿宋" w:eastAsia="仿宋"/>
          <w:sz w:val="30"/>
          <w:szCs w:val="30"/>
          <w:lang w:val="en-US" w:eastAsia="zh-CN"/>
        </w:rPr>
        <w:t>需按单位预算级次分别列出）</w:t>
      </w:r>
      <w:r>
        <w:rPr>
          <w:rFonts w:hint="eastAsia" w:ascii="仿宋" w:hAnsi="仿宋" w:eastAsia="仿宋"/>
          <w:sz w:val="30"/>
          <w:szCs w:val="30"/>
        </w:rPr>
        <w:t>。</w:t>
      </w:r>
    </w:p>
    <w:p w14:paraId="68150DCA">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年年末实有人数 </w:t>
      </w:r>
      <w:r>
        <w:rPr>
          <w:rFonts w:hint="eastAsia" w:ascii="仿宋" w:hAnsi="仿宋" w:eastAsia="仿宋"/>
          <w:sz w:val="30"/>
          <w:szCs w:val="30"/>
          <w:lang w:val="en-US" w:eastAsia="zh-CN"/>
        </w:rPr>
        <w:t>29</w:t>
      </w:r>
      <w:r>
        <w:rPr>
          <w:rFonts w:hint="eastAsia" w:ascii="仿宋" w:hAnsi="仿宋" w:eastAsia="仿宋"/>
          <w:sz w:val="30"/>
          <w:szCs w:val="30"/>
        </w:rPr>
        <w:t xml:space="preserve">人，其中在职人员 </w:t>
      </w:r>
      <w:r>
        <w:rPr>
          <w:rFonts w:hint="eastAsia" w:ascii="仿宋" w:hAnsi="仿宋" w:eastAsia="仿宋"/>
          <w:sz w:val="30"/>
          <w:szCs w:val="30"/>
          <w:lang w:val="en-US" w:eastAsia="zh-CN"/>
        </w:rPr>
        <w:t>11</w:t>
      </w:r>
      <w:r>
        <w:rPr>
          <w:rFonts w:hint="eastAsia" w:ascii="仿宋" w:hAnsi="仿宋" w:eastAsia="仿宋"/>
          <w:sz w:val="30"/>
          <w:szCs w:val="30"/>
        </w:rPr>
        <w:t xml:space="preserve"> 人，离休人员</w:t>
      </w:r>
      <w:r>
        <w:rPr>
          <w:rFonts w:hint="eastAsia" w:ascii="仿宋" w:hAnsi="仿宋" w:eastAsia="仿宋"/>
          <w:sz w:val="30"/>
          <w:szCs w:val="30"/>
          <w:lang w:val="en-US" w:eastAsia="zh-CN"/>
        </w:rPr>
        <w:t>0</w:t>
      </w:r>
      <w:r>
        <w:rPr>
          <w:rFonts w:hint="eastAsia" w:ascii="仿宋" w:hAnsi="仿宋" w:eastAsia="仿宋"/>
          <w:sz w:val="30"/>
          <w:szCs w:val="30"/>
        </w:rPr>
        <w:t>人，退休人员</w:t>
      </w:r>
      <w:r>
        <w:rPr>
          <w:rFonts w:hint="eastAsia" w:ascii="仿宋" w:hAnsi="仿宋" w:eastAsia="仿宋"/>
          <w:sz w:val="30"/>
          <w:szCs w:val="30"/>
          <w:lang w:val="en-US" w:eastAsia="zh-CN"/>
        </w:rPr>
        <w:t>6</w:t>
      </w:r>
      <w:r>
        <w:rPr>
          <w:rFonts w:hint="eastAsia" w:ascii="仿宋" w:hAnsi="仿宋" w:eastAsia="仿宋"/>
          <w:sz w:val="30"/>
          <w:szCs w:val="30"/>
        </w:rPr>
        <w:t>人；</w:t>
      </w:r>
      <w:r>
        <w:rPr>
          <w:rFonts w:hint="eastAsia" w:ascii="仿宋" w:hAnsi="仿宋" w:eastAsia="仿宋"/>
          <w:sz w:val="30"/>
          <w:szCs w:val="30"/>
          <w:lang w:val="en-US" w:eastAsia="zh-CN"/>
        </w:rPr>
        <w:t>年末其他人员 12 人；</w:t>
      </w:r>
      <w:r>
        <w:rPr>
          <w:rFonts w:hint="eastAsia" w:ascii="仿宋" w:hAnsi="仿宋" w:eastAsia="仿宋"/>
          <w:sz w:val="30"/>
          <w:szCs w:val="30"/>
        </w:rPr>
        <w:t xml:space="preserve">年末学生人数  </w:t>
      </w:r>
      <w:r>
        <w:rPr>
          <w:rFonts w:hint="eastAsia" w:ascii="仿宋" w:hAnsi="仿宋" w:eastAsia="仿宋"/>
          <w:sz w:val="30"/>
          <w:szCs w:val="30"/>
          <w:lang w:val="en-US" w:eastAsia="zh-CN"/>
        </w:rPr>
        <w:t>0</w:t>
      </w:r>
      <w:r>
        <w:rPr>
          <w:rFonts w:hint="eastAsia" w:ascii="仿宋" w:hAnsi="仿宋" w:eastAsia="仿宋"/>
          <w:sz w:val="30"/>
          <w:szCs w:val="30"/>
        </w:rPr>
        <w:t xml:space="preserve"> 人。</w:t>
      </w:r>
    </w:p>
    <w:p w14:paraId="6FC5F118">
      <w:pPr>
        <w:ind w:firstLine="630"/>
        <w:jc w:val="left"/>
        <w:rPr>
          <w:rFonts w:hint="eastAsia" w:ascii="仿宋" w:hAnsi="仿宋" w:eastAsia="仿宋"/>
          <w:sz w:val="30"/>
          <w:szCs w:val="30"/>
        </w:rPr>
      </w:pPr>
    </w:p>
    <w:p w14:paraId="5FB7495E">
      <w:pPr>
        <w:widowControl/>
        <w:spacing w:line="600" w:lineRule="exact"/>
        <w:ind w:firstLine="640"/>
        <w:jc w:val="center"/>
        <w:rPr>
          <w:rFonts w:hint="eastAsia" w:ascii="宋体" w:hAnsi="宋体"/>
          <w:b/>
          <w:sz w:val="32"/>
          <w:szCs w:val="32"/>
        </w:rPr>
      </w:pPr>
    </w:p>
    <w:p w14:paraId="33750B21">
      <w:pPr>
        <w:widowControl/>
        <w:spacing w:line="600" w:lineRule="exact"/>
        <w:ind w:firstLine="640"/>
        <w:jc w:val="center"/>
        <w:rPr>
          <w:rFonts w:hint="eastAsia" w:ascii="宋体" w:hAnsi="宋体"/>
          <w:b/>
          <w:sz w:val="32"/>
          <w:szCs w:val="32"/>
        </w:rPr>
      </w:pPr>
    </w:p>
    <w:p w14:paraId="45872534">
      <w:pPr>
        <w:widowControl/>
        <w:spacing w:line="600" w:lineRule="exact"/>
        <w:ind w:firstLine="640"/>
        <w:jc w:val="center"/>
        <w:rPr>
          <w:rFonts w:hint="eastAsia" w:ascii="宋体" w:hAnsi="宋体"/>
          <w:b/>
          <w:sz w:val="32"/>
          <w:szCs w:val="32"/>
        </w:rPr>
      </w:pPr>
    </w:p>
    <w:p w14:paraId="5C11FC19">
      <w:pPr>
        <w:widowControl/>
        <w:spacing w:line="600" w:lineRule="exact"/>
        <w:ind w:firstLine="640"/>
        <w:jc w:val="center"/>
        <w:rPr>
          <w:rFonts w:hint="eastAsia" w:ascii="宋体" w:hAnsi="宋体"/>
          <w:b/>
          <w:sz w:val="32"/>
          <w:szCs w:val="32"/>
        </w:rPr>
      </w:pPr>
    </w:p>
    <w:p w14:paraId="073ECF59">
      <w:pPr>
        <w:widowControl/>
        <w:spacing w:line="600" w:lineRule="exact"/>
        <w:ind w:firstLine="640"/>
        <w:jc w:val="center"/>
        <w:rPr>
          <w:rFonts w:hint="eastAsia" w:ascii="宋体" w:hAnsi="宋体"/>
          <w:b/>
          <w:sz w:val="32"/>
          <w:szCs w:val="32"/>
        </w:rPr>
      </w:pPr>
    </w:p>
    <w:p w14:paraId="119B73D3">
      <w:pPr>
        <w:widowControl/>
        <w:spacing w:line="600" w:lineRule="exact"/>
        <w:ind w:firstLine="640"/>
        <w:jc w:val="center"/>
        <w:rPr>
          <w:rFonts w:hint="eastAsia" w:ascii="宋体" w:hAnsi="宋体"/>
          <w:b/>
          <w:sz w:val="32"/>
          <w:szCs w:val="32"/>
        </w:rPr>
      </w:pPr>
    </w:p>
    <w:p w14:paraId="1CD37B34">
      <w:pPr>
        <w:widowControl/>
        <w:spacing w:line="600" w:lineRule="exact"/>
        <w:ind w:firstLine="640"/>
        <w:jc w:val="center"/>
        <w:rPr>
          <w:rFonts w:hint="eastAsia" w:ascii="宋体" w:hAnsi="宋体"/>
          <w:b/>
          <w:sz w:val="32"/>
          <w:szCs w:val="32"/>
        </w:rPr>
      </w:pPr>
    </w:p>
    <w:p w14:paraId="3C0A150F">
      <w:pPr>
        <w:widowControl/>
        <w:spacing w:line="600" w:lineRule="exact"/>
        <w:ind w:firstLine="640"/>
        <w:jc w:val="center"/>
        <w:rPr>
          <w:rFonts w:hint="eastAsia" w:ascii="宋体" w:hAnsi="宋体"/>
          <w:b/>
          <w:sz w:val="32"/>
          <w:szCs w:val="32"/>
        </w:rPr>
      </w:pPr>
    </w:p>
    <w:p w14:paraId="4185FB0D">
      <w:pPr>
        <w:widowControl/>
        <w:spacing w:line="600" w:lineRule="exact"/>
        <w:jc w:val="both"/>
        <w:rPr>
          <w:rFonts w:hint="eastAsia" w:ascii="宋体" w:hAnsi="宋体"/>
          <w:b/>
          <w:sz w:val="32"/>
          <w:szCs w:val="32"/>
        </w:rPr>
      </w:pPr>
    </w:p>
    <w:p w14:paraId="026DA8C2">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23F5EC61">
      <w:pPr>
        <w:autoSpaceDE w:val="0"/>
        <w:autoSpaceDN w:val="0"/>
        <w:adjustRightInd w:val="0"/>
        <w:spacing w:line="360" w:lineRule="auto"/>
        <w:jc w:val="left"/>
        <w:rPr>
          <w:rFonts w:hint="eastAsia"/>
          <w:szCs w:val="30"/>
        </w:rPr>
      </w:pPr>
      <w:r>
        <w:rPr>
          <w:rFonts w:hint="eastAsia"/>
          <w:szCs w:val="30"/>
        </w:rPr>
        <w:object>
          <v:shape id="_x0000_i1025" o:spt="75" type="#_x0000_t75" style="height:384.1pt;width:414.75pt;" o:ole="t" filled="f" o:preferrelative="t" stroked="f" coordsize="21600,21600">
            <v:path/>
            <v:fill on="f" focussize="0,0"/>
            <v:stroke on="f"/>
            <v:imagedata r:id="rId5" o:title=""/>
            <o:lock v:ext="edit" aspectratio="f"/>
            <w10:wrap type="none"/>
            <w10:anchorlock/>
          </v:shape>
          <o:OLEObject Type="Embed" ProgID="Office12.Excel.SheetBinaryMacroEnabled.12" ShapeID="_x0000_i1025" DrawAspect="Content" ObjectID="_1468075725" r:id="rId4">
            <o:LockedField>false</o:LockedField>
          </o:OLEObject>
        </w:object>
      </w:r>
    </w:p>
    <w:p w14:paraId="53E54128">
      <w:pPr>
        <w:autoSpaceDE w:val="0"/>
        <w:autoSpaceDN w:val="0"/>
        <w:adjustRightInd w:val="0"/>
        <w:spacing w:line="360" w:lineRule="auto"/>
        <w:jc w:val="left"/>
        <w:rPr>
          <w:rFonts w:hint="eastAsia"/>
          <w:szCs w:val="30"/>
        </w:rPr>
      </w:pPr>
    </w:p>
    <w:p w14:paraId="328C33F5">
      <w:pPr>
        <w:autoSpaceDE w:val="0"/>
        <w:autoSpaceDN w:val="0"/>
        <w:adjustRightInd w:val="0"/>
        <w:spacing w:line="360" w:lineRule="auto"/>
        <w:jc w:val="left"/>
        <w:rPr>
          <w:rFonts w:hint="eastAsia" w:ascii="仿宋" w:hAnsi="仿宋" w:eastAsia="仿宋" w:cs="仿宋_GB2312"/>
          <w:kern w:val="0"/>
          <w:sz w:val="30"/>
          <w:szCs w:val="30"/>
        </w:rPr>
      </w:pPr>
    </w:p>
    <w:p w14:paraId="0CA201C4">
      <w:pPr>
        <w:autoSpaceDE w:val="0"/>
        <w:autoSpaceDN w:val="0"/>
        <w:adjustRightInd w:val="0"/>
        <w:spacing w:line="360" w:lineRule="auto"/>
        <w:jc w:val="left"/>
      </w:pPr>
      <w:r>
        <w:rPr>
          <w:rFonts w:hint="eastAsia" w:ascii="仿宋" w:hAnsi="仿宋" w:eastAsia="仿宋" w:cs="仿宋_GB2312"/>
          <w:kern w:val="0"/>
          <w:sz w:val="30"/>
          <w:szCs w:val="30"/>
        </w:rPr>
        <w:t xml:space="preserve"> </w:t>
      </w:r>
      <w:r>
        <w:object>
          <v:shape id="_x0000_i1026" o:spt="75" type="#_x0000_t75" style="height:223.5pt;width:414.4pt;" o:ole="t" filled="f" o:preferrelative="t" stroked="f" coordsize="21600,21600">
            <v:path/>
            <v:fill on="f" focussize="0,0"/>
            <v:stroke on="f"/>
            <v:imagedata r:id="rId7" o:title=""/>
            <o:lock v:ext="edit" aspectratio="f"/>
            <w10:wrap type="none"/>
            <w10:anchorlock/>
          </v:shape>
          <o:OLEObject Type="Embed" ProgID="Office12.Excel.SheetBinaryMacroEnabled.12" ShapeID="_x0000_i1026" DrawAspect="Content" ObjectID="_1468075726" r:id="rId6">
            <o:LockedField>false</o:LockedField>
          </o:OLEObject>
        </w:object>
      </w:r>
    </w:p>
    <w:p w14:paraId="66E1F0AE">
      <w:pPr>
        <w:autoSpaceDE w:val="0"/>
        <w:autoSpaceDN w:val="0"/>
        <w:adjustRightInd w:val="0"/>
        <w:spacing w:line="360" w:lineRule="auto"/>
        <w:jc w:val="left"/>
      </w:pPr>
    </w:p>
    <w:p w14:paraId="4B3F23FC">
      <w:pPr>
        <w:autoSpaceDE w:val="0"/>
        <w:autoSpaceDN w:val="0"/>
        <w:adjustRightInd w:val="0"/>
        <w:spacing w:line="360" w:lineRule="auto"/>
        <w:jc w:val="left"/>
        <w:rPr>
          <w:rFonts w:hint="eastAsia"/>
        </w:rPr>
      </w:pPr>
    </w:p>
    <w:p w14:paraId="5357707D">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object>
          <v:shape id="_x0000_i1027" o:spt="75" type="#_x0000_t75" style="height:282.1pt;width:414.6pt;" o:ole="t" filled="f" o:preferrelative="t" stroked="f" coordsize="21600,21600">
            <v:path/>
            <v:fill on="f" focussize="0,0"/>
            <v:stroke on="f"/>
            <v:imagedata r:id="rId9" o:title=""/>
            <o:lock v:ext="edit" aspectratio="f"/>
            <w10:wrap type="none"/>
            <w10:anchorlock/>
          </v:shape>
          <o:OLEObject Type="Embed" ProgID="Office12.Excel.SheetBinaryMacroEnabled.12" ShapeID="_x0000_i1027" DrawAspect="Content" ObjectID="_1468075727" r:id="rId8">
            <o:LockedField>false</o:LockedField>
          </o:OLEObject>
        </w:object>
      </w:r>
    </w:p>
    <w:p w14:paraId="0A3B0259">
      <w:pPr>
        <w:autoSpaceDE w:val="0"/>
        <w:autoSpaceDN w:val="0"/>
        <w:adjustRightInd w:val="0"/>
        <w:spacing w:line="360" w:lineRule="auto"/>
        <w:jc w:val="left"/>
        <w:rPr>
          <w:rFonts w:hint="eastAsia"/>
          <w:szCs w:val="30"/>
        </w:rPr>
      </w:pPr>
    </w:p>
    <w:p w14:paraId="20CD71D0">
      <w:pPr>
        <w:autoSpaceDE w:val="0"/>
        <w:autoSpaceDN w:val="0"/>
        <w:adjustRightInd w:val="0"/>
        <w:spacing w:line="360" w:lineRule="auto"/>
        <w:jc w:val="left"/>
        <w:rPr>
          <w:rFonts w:hint="eastAsia"/>
          <w:szCs w:val="30"/>
        </w:rPr>
      </w:pPr>
      <w:r>
        <w:rPr>
          <w:rFonts w:hint="eastAsia"/>
          <w:szCs w:val="30"/>
        </w:rPr>
        <w:object>
          <v:shape id="_x0000_i1028" o:spt="75" type="#_x0000_t75" style="height:331.65pt;width:414.65pt;" o:ole="t" filled="f" o:preferrelative="t" stroked="f" coordsize="21600,21600">
            <v:path/>
            <v:fill on="f" focussize="0,0"/>
            <v:stroke on="f"/>
            <v:imagedata r:id="rId11" o:title=""/>
            <o:lock v:ext="edit" aspectratio="f"/>
            <w10:wrap type="none"/>
            <w10:anchorlock/>
          </v:shape>
          <o:OLEObject Type="Embed" ProgID="Office12.Excel.SheetBinaryMacroEnabled.12" ShapeID="_x0000_i1028" DrawAspect="Content" ObjectID="_1468075728" r:id="rId10">
            <o:LockedField>false</o:LockedField>
          </o:OLEObject>
        </w:object>
      </w:r>
    </w:p>
    <w:p w14:paraId="30221862">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object>
          <v:shape id="_x0000_i1029" o:spt="75" type="#_x0000_t75" style="height:418.6pt;width:415.05pt;" o:ole="t" filled="f" o:preferrelative="t" stroked="f" coordsize="21600,21600">
            <v:path/>
            <v:fill on="f" focussize="0,0"/>
            <v:stroke on="f"/>
            <v:imagedata r:id="rId13" o:title=""/>
            <o:lock v:ext="edit" aspectratio="f"/>
            <w10:wrap type="none"/>
            <w10:anchorlock/>
          </v:shape>
          <o:OLEObject Type="Embed" ProgID="Office12.Excel.SheetBinaryMacroEnabled.12" ShapeID="_x0000_i1029" DrawAspect="Content" ObjectID="_1468075729" r:id="rId12">
            <o:LockedField>false</o:LockedField>
          </o:OLEObject>
        </w:object>
      </w:r>
    </w:p>
    <w:p w14:paraId="2B2EB5D3">
      <w:pPr>
        <w:autoSpaceDE w:val="0"/>
        <w:autoSpaceDN w:val="0"/>
        <w:adjustRightInd w:val="0"/>
        <w:spacing w:line="360" w:lineRule="auto"/>
        <w:jc w:val="left"/>
        <w:rPr>
          <w:rFonts w:hint="eastAsia" w:ascii="仿宋" w:hAnsi="仿宋" w:eastAsia="仿宋" w:cs="仿宋_GB2312"/>
          <w:kern w:val="0"/>
          <w:sz w:val="30"/>
          <w:szCs w:val="30"/>
        </w:rPr>
      </w:pPr>
    </w:p>
    <w:p w14:paraId="4D93F410">
      <w:pPr>
        <w:autoSpaceDE w:val="0"/>
        <w:autoSpaceDN w:val="0"/>
        <w:adjustRightInd w:val="0"/>
        <w:spacing w:line="360" w:lineRule="auto"/>
        <w:jc w:val="left"/>
        <w:rPr>
          <w:rFonts w:hint="eastAsia"/>
          <w:szCs w:val="30"/>
        </w:rPr>
      </w:pPr>
      <w:r>
        <w:rPr>
          <w:rFonts w:hint="eastAsia"/>
          <w:szCs w:val="30"/>
        </w:rPr>
        <w:object>
          <v:shape id="_x0000_i1030" o:spt="75" type="#_x0000_t75" style="height:723.9pt;width:415.15pt;" o:ole="t" filled="f" o:preferrelative="t" stroked="f" coordsize="21600,21600">
            <v:path/>
            <v:fill on="f" focussize="0,0"/>
            <v:stroke on="f"/>
            <v:imagedata r:id="rId15" o:title=""/>
            <o:lock v:ext="edit" aspectratio="f"/>
            <w10:wrap type="none"/>
            <w10:anchorlock/>
          </v:shape>
          <o:OLEObject Type="Embed" ProgID="Office12.Excel.SheetBinaryMacroEnabled.12" ShapeID="_x0000_i1030" DrawAspect="Content" ObjectID="_1468075730" r:id="rId14">
            <o:LockedField>false</o:LockedField>
          </o:OLEObject>
        </w:object>
      </w:r>
    </w:p>
    <w:p w14:paraId="593DC881">
      <w:pPr>
        <w:autoSpaceDE w:val="0"/>
        <w:autoSpaceDN w:val="0"/>
        <w:adjustRightInd w:val="0"/>
        <w:spacing w:line="360" w:lineRule="auto"/>
        <w:jc w:val="left"/>
        <w:rPr>
          <w:rFonts w:hint="eastAsia"/>
          <w:szCs w:val="30"/>
        </w:rPr>
      </w:pPr>
      <w:r>
        <w:rPr>
          <w:rFonts w:hint="eastAsia"/>
          <w:szCs w:val="30"/>
        </w:rPr>
        <w:object>
          <v:shape id="_x0000_i1031" o:spt="75" type="#_x0000_t75" style="height:349.8pt;width:415.3pt;" o:ole="t" filled="f" o:preferrelative="t" stroked="f" coordsize="21600,21600">
            <v:path/>
            <v:fill on="f" focussize="0,0"/>
            <v:stroke on="f"/>
            <v:imagedata r:id="rId17" o:title=""/>
            <o:lock v:ext="edit" aspectratio="f"/>
            <w10:wrap type="none"/>
            <w10:anchorlock/>
          </v:shape>
          <o:OLEObject Type="Embed" ProgID="Office12.Excel.SheetBinaryMacroEnabled.12" ShapeID="_x0000_i1031" DrawAspect="Content" ObjectID="_1468075731" r:id="rId16">
            <o:LockedField>false</o:LockedField>
          </o:OLEObject>
        </w:object>
      </w:r>
    </w:p>
    <w:p w14:paraId="4179DA0A">
      <w:pPr>
        <w:autoSpaceDE w:val="0"/>
        <w:autoSpaceDN w:val="0"/>
        <w:adjustRightInd w:val="0"/>
        <w:spacing w:line="360" w:lineRule="auto"/>
        <w:jc w:val="left"/>
        <w:rPr>
          <w:rFonts w:hint="eastAsia"/>
          <w:szCs w:val="30"/>
        </w:rPr>
      </w:pPr>
    </w:p>
    <w:p w14:paraId="58A293C7">
      <w:pPr>
        <w:autoSpaceDE w:val="0"/>
        <w:autoSpaceDN w:val="0"/>
        <w:adjustRightInd w:val="0"/>
        <w:spacing w:line="360" w:lineRule="auto"/>
        <w:jc w:val="left"/>
        <w:rPr>
          <w:rFonts w:hint="eastAsia"/>
          <w:szCs w:val="30"/>
        </w:rPr>
      </w:pPr>
    </w:p>
    <w:p w14:paraId="5611631F">
      <w:pPr>
        <w:autoSpaceDE w:val="0"/>
        <w:autoSpaceDN w:val="0"/>
        <w:adjustRightInd w:val="0"/>
        <w:spacing w:line="360" w:lineRule="auto"/>
        <w:jc w:val="left"/>
        <w:rPr>
          <w:rFonts w:hint="eastAsia"/>
          <w:szCs w:val="30"/>
        </w:rPr>
      </w:pPr>
    </w:p>
    <w:p w14:paraId="1A46F252">
      <w:pPr>
        <w:autoSpaceDE w:val="0"/>
        <w:autoSpaceDN w:val="0"/>
        <w:adjustRightInd w:val="0"/>
        <w:spacing w:line="360" w:lineRule="auto"/>
        <w:jc w:val="left"/>
        <w:rPr>
          <w:rFonts w:hint="eastAsia"/>
          <w:szCs w:val="30"/>
        </w:rPr>
      </w:pPr>
      <w:r>
        <w:rPr>
          <w:rFonts w:hint="eastAsia"/>
          <w:szCs w:val="30"/>
        </w:rPr>
        <w:object>
          <v:shape id="_x0000_i1032" o:spt="75" type="#_x0000_t75" style="height:133.05pt;width:414.85pt;" o:ole="t" filled="f" o:preferrelative="t" stroked="f" coordsize="21600,21600">
            <v:path/>
            <v:fill on="f" focussize="0,0"/>
            <v:stroke on="f"/>
            <v:imagedata r:id="rId19" o:title=""/>
            <o:lock v:ext="edit" aspectratio="f"/>
            <w10:wrap type="none"/>
            <w10:anchorlock/>
          </v:shape>
          <o:OLEObject Type="Embed" ProgID="Office12.Excel.SheetBinaryMacroEnabled.12" ShapeID="_x0000_i1032" DrawAspect="Content" ObjectID="_1468075732" r:id="rId18">
            <o:LockedField>false</o:LockedField>
          </o:OLEObject>
        </w:object>
      </w:r>
    </w:p>
    <w:p w14:paraId="49B972BA">
      <w:pPr>
        <w:autoSpaceDE w:val="0"/>
        <w:autoSpaceDN w:val="0"/>
        <w:adjustRightInd w:val="0"/>
        <w:spacing w:line="360" w:lineRule="auto"/>
        <w:jc w:val="left"/>
        <w:rPr>
          <w:rFonts w:hint="eastAsia"/>
          <w:szCs w:val="30"/>
        </w:rPr>
      </w:pPr>
    </w:p>
    <w:p w14:paraId="160014E7">
      <w:pPr>
        <w:autoSpaceDE w:val="0"/>
        <w:autoSpaceDN w:val="0"/>
        <w:adjustRightInd w:val="0"/>
        <w:spacing w:line="360" w:lineRule="auto"/>
        <w:jc w:val="left"/>
        <w:rPr>
          <w:rFonts w:hint="eastAsia"/>
          <w:szCs w:val="30"/>
        </w:rPr>
      </w:pPr>
    </w:p>
    <w:p w14:paraId="6F93F976">
      <w:pPr>
        <w:autoSpaceDE w:val="0"/>
        <w:autoSpaceDN w:val="0"/>
        <w:adjustRightInd w:val="0"/>
        <w:spacing w:line="360" w:lineRule="auto"/>
        <w:jc w:val="left"/>
        <w:rPr>
          <w:rFonts w:hint="eastAsia"/>
          <w:szCs w:val="30"/>
        </w:rPr>
      </w:pPr>
    </w:p>
    <w:p w14:paraId="6EADDC20">
      <w:pPr>
        <w:autoSpaceDE w:val="0"/>
        <w:autoSpaceDN w:val="0"/>
        <w:adjustRightInd w:val="0"/>
        <w:spacing w:line="360" w:lineRule="auto"/>
        <w:jc w:val="left"/>
        <w:rPr>
          <w:rFonts w:hint="eastAsia"/>
          <w:szCs w:val="30"/>
        </w:rPr>
      </w:pPr>
    </w:p>
    <w:p w14:paraId="043BC9B1">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object>
          <v:shape id="_x0000_i1033" o:spt="75" type="#_x0000_t75" style="height:380.65pt;width:415pt;" o:ole="t" filled="f" o:preferrelative="t" stroked="f" coordsize="21600,21600">
            <v:path/>
            <v:fill on="f" focussize="0,0"/>
            <v:stroke on="f"/>
            <v:imagedata r:id="rId21" o:title=""/>
            <o:lock v:ext="edit" aspectratio="f"/>
            <w10:wrap type="none"/>
            <w10:anchorlock/>
          </v:shape>
          <o:OLEObject Type="Embed" ProgID="Office12.Excel.SheetBinaryMacroEnabled.12" ShapeID="_x0000_i1033" DrawAspect="Content" ObjectID="_1468075733" r:id="rId20">
            <o:LockedField>false</o:LockedField>
          </o:OLEObject>
        </w:object>
      </w:r>
    </w:p>
    <w:p w14:paraId="301F9992">
      <w:pPr>
        <w:widowControl/>
        <w:spacing w:line="600" w:lineRule="exact"/>
        <w:ind w:firstLine="640"/>
        <w:jc w:val="center"/>
        <w:rPr>
          <w:rFonts w:hint="eastAsia" w:ascii="宋体" w:hAnsi="宋体"/>
          <w:b/>
          <w:sz w:val="32"/>
          <w:szCs w:val="32"/>
        </w:rPr>
      </w:pPr>
    </w:p>
    <w:p w14:paraId="1F7036C3">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1E7E2B26">
      <w:pPr>
        <w:ind w:firstLine="630"/>
        <w:jc w:val="left"/>
        <w:rPr>
          <w:rFonts w:hint="eastAsia" w:ascii="仿宋" w:hAnsi="仿宋" w:eastAsia="仿宋"/>
          <w:sz w:val="30"/>
          <w:szCs w:val="30"/>
        </w:rPr>
      </w:pPr>
    </w:p>
    <w:p w14:paraId="75CA85A8">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11AE9F6F">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411.72</w:t>
      </w:r>
      <w:r>
        <w:rPr>
          <w:rFonts w:hint="eastAsia" w:ascii="仿宋" w:hAnsi="仿宋" w:eastAsia="仿宋"/>
          <w:sz w:val="30"/>
          <w:szCs w:val="30"/>
        </w:rPr>
        <w:t xml:space="preserve">万元，其中年初结转和结余 </w:t>
      </w:r>
      <w:r>
        <w:rPr>
          <w:rFonts w:hint="eastAsia" w:ascii="仿宋" w:hAnsi="仿宋" w:eastAsia="仿宋"/>
          <w:sz w:val="30"/>
          <w:szCs w:val="30"/>
          <w:lang w:val="en-US" w:eastAsia="zh-CN"/>
        </w:rPr>
        <w:t>82.55</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34.52</w:t>
      </w:r>
      <w:r>
        <w:rPr>
          <w:rFonts w:hint="eastAsia" w:ascii="仿宋" w:hAnsi="仿宋" w:eastAsia="仿宋"/>
          <w:sz w:val="30"/>
          <w:szCs w:val="30"/>
        </w:rPr>
        <w:t>万元，增长</w:t>
      </w:r>
      <w:r>
        <w:rPr>
          <w:rFonts w:hint="eastAsia" w:ascii="仿宋" w:hAnsi="仿宋" w:eastAsia="仿宋"/>
          <w:sz w:val="30"/>
          <w:szCs w:val="30"/>
          <w:lang w:val="en-US" w:eastAsia="zh-CN"/>
        </w:rPr>
        <w:t>71.87</w:t>
      </w:r>
      <w:r>
        <w:rPr>
          <w:rFonts w:hint="eastAsia" w:ascii="仿宋" w:hAnsi="仿宋" w:eastAsia="仿宋"/>
          <w:sz w:val="30"/>
          <w:szCs w:val="30"/>
        </w:rPr>
        <w:t xml:space="preserve"> %；本年收入合计 </w:t>
      </w:r>
      <w:r>
        <w:rPr>
          <w:rFonts w:hint="eastAsia" w:ascii="仿宋" w:hAnsi="仿宋" w:eastAsia="仿宋"/>
          <w:sz w:val="30"/>
          <w:szCs w:val="30"/>
          <w:lang w:val="en-US" w:eastAsia="zh-CN"/>
        </w:rPr>
        <w:t>329.16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30.51</w:t>
      </w:r>
      <w:r>
        <w:rPr>
          <w:rFonts w:hint="eastAsia" w:ascii="仿宋" w:hAnsi="仿宋" w:eastAsia="仿宋"/>
          <w:sz w:val="30"/>
          <w:szCs w:val="30"/>
        </w:rPr>
        <w:t>万元，增长</w:t>
      </w:r>
      <w:r>
        <w:rPr>
          <w:rFonts w:hint="eastAsia" w:ascii="仿宋" w:hAnsi="仿宋" w:eastAsia="仿宋"/>
          <w:sz w:val="30"/>
          <w:szCs w:val="30"/>
          <w:lang w:val="en-US" w:eastAsia="zh-CN"/>
        </w:rPr>
        <w:t>10.21</w:t>
      </w:r>
      <w:r>
        <w:rPr>
          <w:rFonts w:hint="eastAsia" w:ascii="仿宋" w:hAnsi="仿宋" w:eastAsia="仿宋"/>
          <w:sz w:val="30"/>
          <w:szCs w:val="30"/>
        </w:rPr>
        <w:t>%，主要原因是：</w:t>
      </w:r>
      <w:r>
        <w:rPr>
          <w:rFonts w:hint="eastAsia" w:ascii="仿宋" w:hAnsi="仿宋" w:eastAsia="仿宋"/>
          <w:sz w:val="30"/>
          <w:szCs w:val="30"/>
          <w:lang w:eastAsia="zh-CN"/>
        </w:rPr>
        <w:t>单位有新增人员，工资福利支出增加</w:t>
      </w:r>
      <w:r>
        <w:rPr>
          <w:rFonts w:hint="eastAsia" w:ascii="仿宋" w:hAnsi="仿宋" w:eastAsia="仿宋"/>
          <w:sz w:val="30"/>
          <w:szCs w:val="30"/>
        </w:rPr>
        <w:t>。</w:t>
      </w:r>
    </w:p>
    <w:p w14:paraId="7436229D">
      <w:pPr>
        <w:ind w:firstLine="630"/>
        <w:jc w:val="left"/>
        <w:rPr>
          <w:rFonts w:hint="eastAsia" w:ascii="仿宋" w:hAnsi="仿宋" w:eastAsia="仿宋"/>
          <w:sz w:val="30"/>
          <w:szCs w:val="30"/>
        </w:rPr>
      </w:pPr>
      <w:r>
        <w:rPr>
          <w:rFonts w:hint="eastAsia" w:ascii="仿宋" w:hAnsi="仿宋" w:eastAsia="仿宋"/>
          <w:sz w:val="30"/>
          <w:szCs w:val="30"/>
        </w:rPr>
        <w:t xml:space="preserve">本年收入的具体构成为：财政拨款收入 </w:t>
      </w:r>
      <w:r>
        <w:rPr>
          <w:rFonts w:hint="eastAsia" w:ascii="仿宋" w:hAnsi="仿宋" w:eastAsia="仿宋"/>
          <w:sz w:val="30"/>
          <w:szCs w:val="30"/>
          <w:lang w:val="en-US" w:eastAsia="zh-CN"/>
        </w:rPr>
        <w:t>329.16</w:t>
      </w:r>
      <w:r>
        <w:rPr>
          <w:rFonts w:hint="eastAsia" w:ascii="仿宋" w:hAnsi="仿宋" w:eastAsia="仿宋"/>
          <w:sz w:val="30"/>
          <w:szCs w:val="30"/>
        </w:rPr>
        <w:t xml:space="preserve"> 万元，占 </w:t>
      </w:r>
      <w:r>
        <w:rPr>
          <w:rFonts w:hint="eastAsia" w:ascii="仿宋" w:hAnsi="仿宋" w:eastAsia="仿宋"/>
          <w:sz w:val="30"/>
          <w:szCs w:val="30"/>
          <w:lang w:val="en-US" w:eastAsia="zh-CN"/>
        </w:rPr>
        <w:t>100</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%；其他收入 </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14:paraId="36A9C2A1">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58648FAD">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411.72</w:t>
      </w:r>
      <w:r>
        <w:rPr>
          <w:rFonts w:hint="eastAsia" w:ascii="仿宋" w:hAnsi="仿宋" w:eastAsia="仿宋"/>
          <w:sz w:val="30"/>
          <w:szCs w:val="30"/>
        </w:rPr>
        <w:t xml:space="preserve">万元，其中本年支出合计 </w:t>
      </w:r>
      <w:r>
        <w:rPr>
          <w:rFonts w:hint="eastAsia" w:ascii="仿宋" w:hAnsi="仿宋" w:eastAsia="仿宋"/>
          <w:sz w:val="30"/>
          <w:szCs w:val="30"/>
          <w:lang w:val="en-US" w:eastAsia="zh-CN"/>
        </w:rPr>
        <w:t>314.92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45.81</w:t>
      </w:r>
      <w:r>
        <w:rPr>
          <w:rFonts w:hint="eastAsia" w:ascii="仿宋" w:hAnsi="仿宋" w:eastAsia="仿宋"/>
          <w:sz w:val="30"/>
          <w:szCs w:val="30"/>
        </w:rPr>
        <w:t>万元，增长</w:t>
      </w:r>
      <w:r>
        <w:rPr>
          <w:rFonts w:hint="eastAsia" w:ascii="仿宋" w:hAnsi="仿宋" w:eastAsia="仿宋"/>
          <w:sz w:val="30"/>
          <w:szCs w:val="30"/>
          <w:lang w:val="en-US" w:eastAsia="zh-CN"/>
        </w:rPr>
        <w:t>17.02</w:t>
      </w:r>
      <w:r>
        <w:rPr>
          <w:rFonts w:hint="eastAsia" w:ascii="仿宋" w:hAnsi="仿宋" w:eastAsia="仿宋"/>
          <w:sz w:val="30"/>
          <w:szCs w:val="30"/>
        </w:rPr>
        <w:t>%，主要原因是：</w:t>
      </w:r>
      <w:r>
        <w:rPr>
          <w:rFonts w:hint="eastAsia" w:ascii="仿宋" w:hAnsi="仿宋" w:eastAsia="仿宋"/>
          <w:sz w:val="30"/>
          <w:szCs w:val="30"/>
          <w:lang w:eastAsia="zh-CN"/>
        </w:rPr>
        <w:t>单位人员增加</w:t>
      </w:r>
      <w:r>
        <w:rPr>
          <w:rFonts w:hint="eastAsia" w:ascii="仿宋" w:hAnsi="仿宋" w:eastAsia="仿宋"/>
          <w:sz w:val="30"/>
          <w:szCs w:val="30"/>
        </w:rPr>
        <w:t>；年末结转和结余</w:t>
      </w:r>
      <w:r>
        <w:rPr>
          <w:rFonts w:hint="eastAsia" w:ascii="仿宋" w:hAnsi="仿宋" w:eastAsia="仿宋"/>
          <w:sz w:val="30"/>
          <w:szCs w:val="30"/>
          <w:lang w:val="en-US" w:eastAsia="zh-CN"/>
        </w:rPr>
        <w:t>96.80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19.22</w:t>
      </w:r>
      <w:r>
        <w:rPr>
          <w:rFonts w:hint="eastAsia" w:ascii="仿宋" w:hAnsi="仿宋" w:eastAsia="仿宋"/>
          <w:sz w:val="30"/>
          <w:szCs w:val="30"/>
        </w:rPr>
        <w:t>万元，增长</w:t>
      </w:r>
      <w:r>
        <w:rPr>
          <w:rFonts w:hint="eastAsia" w:ascii="仿宋" w:hAnsi="仿宋" w:eastAsia="仿宋"/>
          <w:sz w:val="30"/>
          <w:szCs w:val="30"/>
          <w:lang w:val="en-US" w:eastAsia="zh-CN"/>
        </w:rPr>
        <w:t>24.77</w:t>
      </w:r>
      <w:r>
        <w:rPr>
          <w:rFonts w:hint="eastAsia" w:ascii="仿宋" w:hAnsi="仿宋" w:eastAsia="仿宋"/>
          <w:sz w:val="30"/>
          <w:szCs w:val="30"/>
        </w:rPr>
        <w:t>%，主要原因是：</w:t>
      </w:r>
      <w:r>
        <w:rPr>
          <w:rFonts w:hint="eastAsia" w:ascii="仿宋" w:hAnsi="仿宋" w:eastAsia="仿宋"/>
          <w:sz w:val="30"/>
          <w:szCs w:val="30"/>
          <w:lang w:eastAsia="zh-CN"/>
        </w:rPr>
        <w:t>节约开支</w:t>
      </w:r>
      <w:r>
        <w:rPr>
          <w:rFonts w:hint="eastAsia" w:ascii="仿宋" w:hAnsi="仿宋" w:eastAsia="仿宋"/>
          <w:sz w:val="30"/>
          <w:szCs w:val="30"/>
        </w:rPr>
        <w:t>。</w:t>
      </w:r>
    </w:p>
    <w:p w14:paraId="6448960F">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314.92</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%；项目支出</w:t>
      </w:r>
      <w:r>
        <w:rPr>
          <w:rFonts w:hint="eastAsia" w:ascii="仿宋" w:hAnsi="仿宋" w:eastAsia="仿宋"/>
          <w:sz w:val="30"/>
          <w:szCs w:val="30"/>
          <w:lang w:val="en-US" w:eastAsia="zh-CN"/>
        </w:rPr>
        <w:t>0</w:t>
      </w:r>
      <w:r>
        <w:rPr>
          <w:rFonts w:hint="eastAsia" w:ascii="仿宋" w:hAnsi="仿宋" w:eastAsia="仿宋"/>
          <w:sz w:val="30"/>
          <w:szCs w:val="30"/>
        </w:rPr>
        <w:t xml:space="preserve">万元，占 </w:t>
      </w:r>
      <w:r>
        <w:rPr>
          <w:rFonts w:hint="eastAsia" w:ascii="仿宋" w:hAnsi="仿宋" w:eastAsia="仿宋"/>
          <w:sz w:val="30"/>
          <w:szCs w:val="30"/>
          <w:lang w:val="en-US" w:eastAsia="zh-CN"/>
        </w:rPr>
        <w:t>0</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 xml:space="preserve">万元，占 </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 xml:space="preserve">万元，占 </w:t>
      </w:r>
      <w:r>
        <w:rPr>
          <w:rFonts w:hint="eastAsia" w:ascii="仿宋" w:hAnsi="仿宋" w:eastAsia="仿宋"/>
          <w:sz w:val="30"/>
          <w:szCs w:val="30"/>
          <w:lang w:val="en-US" w:eastAsia="zh-CN"/>
        </w:rPr>
        <w:t>0</w:t>
      </w:r>
      <w:r>
        <w:rPr>
          <w:rFonts w:hint="eastAsia" w:ascii="仿宋" w:hAnsi="仿宋" w:eastAsia="仿宋"/>
          <w:sz w:val="30"/>
          <w:szCs w:val="30"/>
        </w:rPr>
        <w:t>%。</w:t>
      </w:r>
    </w:p>
    <w:p w14:paraId="0D3DBCC0">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5813206B">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165.05</w:t>
      </w:r>
      <w:r>
        <w:rPr>
          <w:rFonts w:hint="eastAsia" w:ascii="仿宋" w:hAnsi="仿宋" w:eastAsia="仿宋"/>
          <w:sz w:val="30"/>
          <w:szCs w:val="30"/>
        </w:rPr>
        <w:t xml:space="preserve"> 万元，决算数为</w:t>
      </w:r>
      <w:r>
        <w:rPr>
          <w:rFonts w:hint="eastAsia" w:ascii="仿宋" w:hAnsi="仿宋" w:eastAsia="仿宋"/>
          <w:sz w:val="30"/>
          <w:szCs w:val="30"/>
          <w:lang w:val="en-US" w:eastAsia="zh-CN"/>
        </w:rPr>
        <w:t>314.92</w:t>
      </w:r>
      <w:r>
        <w:rPr>
          <w:rFonts w:hint="eastAsia" w:ascii="仿宋" w:hAnsi="仿宋" w:eastAsia="仿宋"/>
          <w:sz w:val="30"/>
          <w:szCs w:val="30"/>
        </w:rPr>
        <w:t>万元，完成年初预算的</w:t>
      </w:r>
      <w:r>
        <w:rPr>
          <w:rFonts w:hint="eastAsia" w:ascii="仿宋" w:hAnsi="仿宋" w:eastAsia="仿宋"/>
          <w:sz w:val="30"/>
          <w:szCs w:val="30"/>
          <w:lang w:val="en-US" w:eastAsia="zh-CN"/>
        </w:rPr>
        <w:t>190.80</w:t>
      </w:r>
      <w:r>
        <w:rPr>
          <w:rFonts w:hint="eastAsia" w:ascii="仿宋" w:hAnsi="仿宋" w:eastAsia="仿宋"/>
          <w:sz w:val="30"/>
          <w:szCs w:val="30"/>
        </w:rPr>
        <w:t xml:space="preserve"> %。其中：</w:t>
      </w:r>
    </w:p>
    <w:p w14:paraId="42A8FC73">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万元，完成年初预算的</w:t>
      </w:r>
      <w:r>
        <w:rPr>
          <w:rFonts w:hint="eastAsia" w:ascii="仿宋" w:hAnsi="仿宋" w:eastAsia="仿宋"/>
          <w:sz w:val="30"/>
          <w:szCs w:val="30"/>
          <w:lang w:val="en-US" w:eastAsia="zh-CN"/>
        </w:rPr>
        <w:t>0</w:t>
      </w:r>
      <w:r>
        <w:rPr>
          <w:rFonts w:hint="eastAsia" w:ascii="仿宋" w:hAnsi="仿宋" w:eastAsia="仿宋"/>
          <w:sz w:val="30"/>
          <w:szCs w:val="30"/>
        </w:rPr>
        <w:t>%，主要原因是：</w:t>
      </w:r>
      <w:r>
        <w:rPr>
          <w:rFonts w:hint="eastAsia" w:ascii="仿宋" w:hAnsi="仿宋" w:eastAsia="仿宋"/>
          <w:sz w:val="30"/>
          <w:szCs w:val="30"/>
          <w:lang w:eastAsia="zh-CN"/>
        </w:rPr>
        <w:t>没有这项支出</w:t>
      </w:r>
      <w:r>
        <w:rPr>
          <w:rFonts w:hint="eastAsia" w:ascii="仿宋" w:hAnsi="仿宋" w:eastAsia="仿宋"/>
          <w:sz w:val="30"/>
          <w:szCs w:val="30"/>
        </w:rPr>
        <w:t>。</w:t>
      </w:r>
    </w:p>
    <w:p w14:paraId="19028270">
      <w:pPr>
        <w:ind w:firstLine="630"/>
        <w:jc w:val="left"/>
        <w:rPr>
          <w:rFonts w:hint="eastAsia" w:ascii="仿宋" w:hAnsi="仿宋" w:eastAsia="仿宋"/>
          <w:sz w:val="30"/>
          <w:szCs w:val="30"/>
        </w:rPr>
      </w:pPr>
      <w:r>
        <w:rPr>
          <w:rFonts w:hint="eastAsia" w:ascii="仿宋" w:hAnsi="仿宋" w:eastAsia="仿宋"/>
          <w:sz w:val="30"/>
          <w:szCs w:val="30"/>
        </w:rPr>
        <w:t>（二）公共安全支出年初预算数为</w:t>
      </w:r>
      <w:r>
        <w:rPr>
          <w:rFonts w:hint="eastAsia" w:ascii="仿宋" w:hAnsi="仿宋" w:eastAsia="仿宋"/>
          <w:sz w:val="30"/>
          <w:szCs w:val="30"/>
          <w:lang w:val="en-US" w:eastAsia="zh-CN"/>
        </w:rPr>
        <w:t>138.57</w:t>
      </w:r>
      <w:r>
        <w:rPr>
          <w:rFonts w:hint="eastAsia" w:ascii="仿宋" w:hAnsi="仿宋" w:eastAsia="仿宋"/>
          <w:sz w:val="30"/>
          <w:szCs w:val="30"/>
        </w:rPr>
        <w:t>万元，决算数为</w:t>
      </w:r>
      <w:r>
        <w:rPr>
          <w:rFonts w:hint="eastAsia" w:ascii="仿宋" w:hAnsi="仿宋" w:eastAsia="仿宋"/>
          <w:sz w:val="30"/>
          <w:szCs w:val="30"/>
          <w:lang w:val="en-US" w:eastAsia="zh-CN"/>
        </w:rPr>
        <w:t>258.60</w:t>
      </w:r>
      <w:r>
        <w:rPr>
          <w:rFonts w:hint="eastAsia" w:ascii="仿宋" w:hAnsi="仿宋" w:eastAsia="仿宋"/>
          <w:sz w:val="30"/>
          <w:szCs w:val="30"/>
        </w:rPr>
        <w:t>万元，完成年初预算的</w:t>
      </w:r>
      <w:r>
        <w:rPr>
          <w:rFonts w:hint="eastAsia" w:ascii="仿宋" w:hAnsi="仿宋" w:eastAsia="仿宋"/>
          <w:sz w:val="30"/>
          <w:szCs w:val="30"/>
          <w:lang w:val="en-US" w:eastAsia="zh-CN"/>
        </w:rPr>
        <w:t>186.62</w:t>
      </w:r>
      <w:r>
        <w:rPr>
          <w:rFonts w:hint="eastAsia" w:ascii="仿宋" w:hAnsi="仿宋" w:eastAsia="仿宋"/>
          <w:sz w:val="30"/>
          <w:szCs w:val="30"/>
        </w:rPr>
        <w:t>%，主要原因是：人员经费，公用经费较年初预算有所增加。。</w:t>
      </w:r>
    </w:p>
    <w:p w14:paraId="6B14DBFE">
      <w:pPr>
        <w:ind w:firstLine="630"/>
        <w:jc w:val="left"/>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）社会保障和就业支出年初预算数为1</w:t>
      </w:r>
      <w:r>
        <w:rPr>
          <w:rFonts w:hint="eastAsia" w:ascii="仿宋" w:hAnsi="仿宋" w:eastAsia="仿宋"/>
          <w:sz w:val="30"/>
          <w:szCs w:val="30"/>
          <w:lang w:val="en-US" w:eastAsia="zh-CN"/>
        </w:rPr>
        <w:t>4.07</w:t>
      </w:r>
      <w:r>
        <w:rPr>
          <w:rFonts w:hint="eastAsia" w:ascii="仿宋" w:hAnsi="仿宋" w:eastAsia="仿宋"/>
          <w:sz w:val="30"/>
          <w:szCs w:val="30"/>
        </w:rPr>
        <w:t>万元，决算数为1</w:t>
      </w:r>
      <w:r>
        <w:rPr>
          <w:rFonts w:hint="eastAsia" w:ascii="仿宋" w:hAnsi="仿宋" w:eastAsia="仿宋"/>
          <w:sz w:val="30"/>
          <w:szCs w:val="30"/>
          <w:lang w:val="en-US" w:eastAsia="zh-CN"/>
        </w:rPr>
        <w:t>5.52</w:t>
      </w:r>
      <w:r>
        <w:rPr>
          <w:rFonts w:hint="eastAsia" w:ascii="仿宋" w:hAnsi="仿宋" w:eastAsia="仿宋"/>
          <w:sz w:val="30"/>
          <w:szCs w:val="30"/>
        </w:rPr>
        <w:t>万元，完成年初预算的</w:t>
      </w:r>
      <w:r>
        <w:rPr>
          <w:rFonts w:hint="eastAsia" w:ascii="仿宋" w:hAnsi="仿宋" w:eastAsia="仿宋"/>
          <w:sz w:val="30"/>
          <w:szCs w:val="30"/>
          <w:lang w:val="en-US" w:eastAsia="zh-CN"/>
        </w:rPr>
        <w:t>110.30</w:t>
      </w:r>
      <w:r>
        <w:rPr>
          <w:rFonts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主要原因是：</w:t>
      </w:r>
      <w:r>
        <w:rPr>
          <w:rFonts w:hint="eastAsia" w:ascii="仿宋" w:hAnsi="仿宋" w:eastAsia="仿宋"/>
          <w:sz w:val="30"/>
          <w:szCs w:val="30"/>
          <w:lang w:eastAsia="zh-CN"/>
        </w:rPr>
        <w:t>单位人员增加。</w:t>
      </w:r>
    </w:p>
    <w:p w14:paraId="06A267D4">
      <w:pPr>
        <w:ind w:firstLine="630"/>
        <w:jc w:val="left"/>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eastAsia="zh-CN"/>
        </w:rPr>
        <w:t>四</w:t>
      </w:r>
      <w:r>
        <w:rPr>
          <w:rFonts w:hint="eastAsia" w:ascii="仿宋" w:hAnsi="仿宋" w:eastAsia="仿宋"/>
          <w:sz w:val="30"/>
          <w:szCs w:val="30"/>
        </w:rPr>
        <w:t>）</w:t>
      </w:r>
      <w:r>
        <w:rPr>
          <w:rFonts w:hint="eastAsia" w:ascii="仿宋" w:hAnsi="仿宋" w:eastAsia="仿宋"/>
          <w:sz w:val="30"/>
          <w:szCs w:val="30"/>
          <w:lang w:eastAsia="zh-CN"/>
        </w:rPr>
        <w:t>卫生健康</w:t>
      </w:r>
      <w:r>
        <w:rPr>
          <w:rFonts w:hint="eastAsia" w:ascii="仿宋" w:hAnsi="仿宋" w:eastAsia="仿宋"/>
          <w:sz w:val="30"/>
          <w:szCs w:val="30"/>
        </w:rPr>
        <w:t>支出年初预算数为4.</w:t>
      </w:r>
      <w:r>
        <w:rPr>
          <w:rFonts w:hint="eastAsia" w:ascii="仿宋" w:hAnsi="仿宋" w:eastAsia="仿宋"/>
          <w:sz w:val="30"/>
          <w:szCs w:val="30"/>
          <w:lang w:val="en-US" w:eastAsia="zh-CN"/>
        </w:rPr>
        <w:t>36</w:t>
      </w:r>
      <w:r>
        <w:rPr>
          <w:rFonts w:hint="eastAsia" w:ascii="仿宋" w:hAnsi="仿宋" w:eastAsia="仿宋"/>
          <w:sz w:val="30"/>
          <w:szCs w:val="30"/>
        </w:rPr>
        <w:t>万元，决算数为6.</w:t>
      </w:r>
      <w:r>
        <w:rPr>
          <w:rFonts w:hint="eastAsia" w:ascii="仿宋" w:hAnsi="仿宋" w:eastAsia="仿宋"/>
          <w:sz w:val="30"/>
          <w:szCs w:val="30"/>
          <w:lang w:val="en-US" w:eastAsia="zh-CN"/>
        </w:rPr>
        <w:t>08</w:t>
      </w:r>
      <w:r>
        <w:rPr>
          <w:rFonts w:hint="eastAsia" w:ascii="仿宋" w:hAnsi="仿宋" w:eastAsia="仿宋"/>
          <w:sz w:val="30"/>
          <w:szCs w:val="30"/>
        </w:rPr>
        <w:t>万元，完成年初预算的1</w:t>
      </w:r>
      <w:r>
        <w:rPr>
          <w:rFonts w:hint="eastAsia" w:ascii="仿宋" w:hAnsi="仿宋" w:eastAsia="仿宋"/>
          <w:sz w:val="30"/>
          <w:szCs w:val="30"/>
          <w:lang w:val="en-US" w:eastAsia="zh-CN"/>
        </w:rPr>
        <w:t>39.45</w:t>
      </w:r>
      <w:r>
        <w:rPr>
          <w:rFonts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主要原因是：</w:t>
      </w:r>
      <w:r>
        <w:rPr>
          <w:rFonts w:hint="eastAsia" w:ascii="仿宋" w:hAnsi="仿宋" w:eastAsia="仿宋"/>
          <w:sz w:val="30"/>
          <w:szCs w:val="30"/>
          <w:lang w:eastAsia="zh-CN"/>
        </w:rPr>
        <w:t>单位人员增加。</w:t>
      </w:r>
    </w:p>
    <w:p w14:paraId="4612E326">
      <w:pPr>
        <w:ind w:firstLine="630"/>
        <w:jc w:val="left"/>
        <w:rPr>
          <w:rFonts w:hint="eastAsia" w:ascii="仿宋" w:hAnsi="仿宋" w:eastAsia="仿宋"/>
          <w:sz w:val="30"/>
          <w:szCs w:val="30"/>
          <w:lang w:eastAsia="zh-CN"/>
        </w:rPr>
      </w:pPr>
    </w:p>
    <w:p w14:paraId="5B527FD7">
      <w:pPr>
        <w:ind w:firstLine="600" w:firstLineChars="200"/>
        <w:jc w:val="left"/>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eastAsia="zh-CN"/>
        </w:rPr>
        <w:t>五</w:t>
      </w:r>
      <w:r>
        <w:rPr>
          <w:rFonts w:hint="eastAsia" w:ascii="仿宋" w:hAnsi="仿宋" w:eastAsia="仿宋"/>
          <w:sz w:val="30"/>
          <w:szCs w:val="30"/>
        </w:rPr>
        <w:t>）住房保障支出年初预算数为8.</w:t>
      </w:r>
      <w:r>
        <w:rPr>
          <w:rFonts w:hint="eastAsia" w:ascii="仿宋" w:hAnsi="仿宋" w:eastAsia="仿宋"/>
          <w:sz w:val="30"/>
          <w:szCs w:val="30"/>
          <w:lang w:val="en-US" w:eastAsia="zh-CN"/>
        </w:rPr>
        <w:t>05</w:t>
      </w:r>
      <w:r>
        <w:rPr>
          <w:rFonts w:hint="eastAsia" w:ascii="仿宋" w:hAnsi="仿宋" w:eastAsia="仿宋"/>
          <w:sz w:val="30"/>
          <w:szCs w:val="30"/>
        </w:rPr>
        <w:t>万元，决算数为</w:t>
      </w:r>
      <w:r>
        <w:rPr>
          <w:rFonts w:hint="eastAsia" w:ascii="仿宋" w:hAnsi="仿宋" w:eastAsia="仿宋"/>
          <w:sz w:val="30"/>
          <w:szCs w:val="30"/>
          <w:lang w:val="en-US" w:eastAsia="zh-CN"/>
        </w:rPr>
        <w:t>10.00</w:t>
      </w:r>
      <w:r>
        <w:rPr>
          <w:rFonts w:hint="eastAsia" w:ascii="仿宋" w:hAnsi="仿宋" w:eastAsia="仿宋"/>
          <w:sz w:val="30"/>
          <w:szCs w:val="30"/>
        </w:rPr>
        <w:t>万元，完成年初预算的1</w:t>
      </w:r>
      <w:r>
        <w:rPr>
          <w:rFonts w:hint="eastAsia" w:ascii="仿宋" w:hAnsi="仿宋" w:eastAsia="仿宋"/>
          <w:sz w:val="30"/>
          <w:szCs w:val="30"/>
          <w:lang w:val="en-US" w:eastAsia="zh-CN"/>
        </w:rPr>
        <w:t>24.22</w:t>
      </w:r>
      <w:r>
        <w:rPr>
          <w:rFonts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主要原因是：</w:t>
      </w:r>
      <w:r>
        <w:rPr>
          <w:rFonts w:hint="eastAsia" w:ascii="仿宋" w:hAnsi="仿宋" w:eastAsia="仿宋"/>
          <w:sz w:val="30"/>
          <w:szCs w:val="30"/>
          <w:lang w:eastAsia="zh-CN"/>
        </w:rPr>
        <w:t>单位人员增加。</w:t>
      </w:r>
    </w:p>
    <w:p w14:paraId="2DD12FC3">
      <w:pPr>
        <w:ind w:firstLine="630"/>
        <w:jc w:val="left"/>
        <w:rPr>
          <w:rFonts w:hint="eastAsia" w:ascii="仿宋" w:hAnsi="仿宋" w:eastAsia="仿宋"/>
          <w:sz w:val="30"/>
          <w:szCs w:val="30"/>
        </w:rPr>
      </w:pPr>
    </w:p>
    <w:p w14:paraId="7EBA0A11">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73EA7191">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314.92</w:t>
      </w:r>
      <w:r>
        <w:rPr>
          <w:rFonts w:hint="eastAsia" w:ascii="仿宋" w:hAnsi="仿宋" w:eastAsia="仿宋"/>
          <w:sz w:val="30"/>
          <w:szCs w:val="30"/>
        </w:rPr>
        <w:t xml:space="preserve">  万元，其中：</w:t>
      </w:r>
    </w:p>
    <w:p w14:paraId="6A3BF7DD">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198.21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32.48</w:t>
      </w:r>
      <w:r>
        <w:rPr>
          <w:rFonts w:hint="eastAsia" w:ascii="仿宋" w:hAnsi="仿宋" w:eastAsia="仿宋"/>
          <w:sz w:val="30"/>
          <w:szCs w:val="30"/>
        </w:rPr>
        <w:t>万元，增长</w:t>
      </w:r>
      <w:r>
        <w:rPr>
          <w:rFonts w:hint="eastAsia" w:ascii="仿宋" w:hAnsi="仿宋" w:eastAsia="仿宋"/>
          <w:sz w:val="30"/>
          <w:szCs w:val="30"/>
          <w:lang w:val="en-US" w:eastAsia="zh-CN"/>
        </w:rPr>
        <w:t>19.60</w:t>
      </w:r>
      <w:r>
        <w:rPr>
          <w:rFonts w:hint="eastAsia" w:ascii="仿宋" w:hAnsi="仿宋" w:eastAsia="仿宋"/>
          <w:sz w:val="30"/>
          <w:szCs w:val="30"/>
        </w:rPr>
        <w:t>%，主要原因是：</w:t>
      </w:r>
      <w:r>
        <w:rPr>
          <w:rFonts w:hint="eastAsia" w:ascii="仿宋" w:hAnsi="仿宋" w:eastAsia="仿宋"/>
          <w:sz w:val="30"/>
          <w:szCs w:val="30"/>
          <w:lang w:eastAsia="zh-CN"/>
        </w:rPr>
        <w:t>单位人员增加</w:t>
      </w:r>
      <w:r>
        <w:rPr>
          <w:rFonts w:hint="eastAsia" w:ascii="仿宋" w:hAnsi="仿宋" w:eastAsia="仿宋"/>
          <w:sz w:val="30"/>
          <w:szCs w:val="30"/>
        </w:rPr>
        <w:t>。</w:t>
      </w:r>
    </w:p>
    <w:p w14:paraId="240FB50D">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70.74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16.91</w:t>
      </w:r>
      <w:r>
        <w:rPr>
          <w:rFonts w:hint="eastAsia" w:ascii="仿宋" w:hAnsi="仿宋" w:eastAsia="仿宋"/>
          <w:sz w:val="30"/>
          <w:szCs w:val="30"/>
        </w:rPr>
        <w:t>万元，增长</w:t>
      </w:r>
      <w:r>
        <w:rPr>
          <w:rFonts w:hint="eastAsia" w:ascii="仿宋" w:hAnsi="仿宋" w:eastAsia="仿宋"/>
          <w:sz w:val="30"/>
          <w:szCs w:val="30"/>
          <w:lang w:val="en-US" w:eastAsia="zh-CN"/>
        </w:rPr>
        <w:t>31.41</w:t>
      </w:r>
      <w:r>
        <w:rPr>
          <w:rFonts w:hint="eastAsia" w:ascii="仿宋" w:hAnsi="仿宋" w:eastAsia="仿宋"/>
          <w:sz w:val="30"/>
          <w:szCs w:val="30"/>
        </w:rPr>
        <w:t>%，主要原因是：</w:t>
      </w:r>
      <w:r>
        <w:rPr>
          <w:rFonts w:hint="eastAsia" w:ascii="仿宋" w:hAnsi="仿宋" w:eastAsia="仿宋"/>
          <w:sz w:val="30"/>
          <w:szCs w:val="30"/>
          <w:lang w:eastAsia="zh-CN"/>
        </w:rPr>
        <w:t>办公费用比上年有所增加</w:t>
      </w:r>
      <w:r>
        <w:rPr>
          <w:rFonts w:hint="eastAsia" w:ascii="仿宋" w:hAnsi="仿宋" w:eastAsia="仿宋"/>
          <w:sz w:val="30"/>
          <w:szCs w:val="30"/>
        </w:rPr>
        <w:t>。</w:t>
      </w:r>
    </w:p>
    <w:p w14:paraId="00B6EB75">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32.00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21.34</w:t>
      </w:r>
      <w:r>
        <w:rPr>
          <w:rFonts w:hint="eastAsia" w:ascii="仿宋" w:hAnsi="仿宋" w:eastAsia="仿宋"/>
          <w:sz w:val="30"/>
          <w:szCs w:val="30"/>
        </w:rPr>
        <w:t>万元，增长</w:t>
      </w:r>
      <w:r>
        <w:rPr>
          <w:rFonts w:hint="eastAsia" w:ascii="仿宋" w:hAnsi="仿宋" w:eastAsia="仿宋"/>
          <w:sz w:val="30"/>
          <w:szCs w:val="30"/>
          <w:lang w:val="en-US" w:eastAsia="zh-CN"/>
        </w:rPr>
        <w:t>200</w:t>
      </w:r>
      <w:r>
        <w:rPr>
          <w:rFonts w:hint="eastAsia" w:ascii="仿宋" w:hAnsi="仿宋" w:eastAsia="仿宋"/>
          <w:sz w:val="30"/>
          <w:szCs w:val="30"/>
        </w:rPr>
        <w:t>%，主要原因是：</w:t>
      </w:r>
      <w:r>
        <w:rPr>
          <w:rFonts w:hint="eastAsia" w:ascii="仿宋" w:hAnsi="仿宋" w:eastAsia="仿宋"/>
          <w:sz w:val="30"/>
          <w:szCs w:val="30"/>
          <w:lang w:eastAsia="zh-CN"/>
        </w:rPr>
        <w:t>扶贫资金比上年增加</w:t>
      </w:r>
      <w:r>
        <w:rPr>
          <w:rFonts w:hint="eastAsia" w:ascii="仿宋" w:hAnsi="仿宋" w:eastAsia="仿宋"/>
          <w:sz w:val="30"/>
          <w:szCs w:val="30"/>
        </w:rPr>
        <w:t>。</w:t>
      </w:r>
    </w:p>
    <w:p w14:paraId="6DD3578C">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13.97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7.62</w:t>
      </w:r>
      <w:r>
        <w:rPr>
          <w:rFonts w:hint="eastAsia" w:ascii="仿宋" w:hAnsi="仿宋" w:eastAsia="仿宋"/>
          <w:sz w:val="30"/>
          <w:szCs w:val="30"/>
        </w:rPr>
        <w:t>万元，增长</w:t>
      </w:r>
      <w:r>
        <w:rPr>
          <w:rFonts w:hint="eastAsia" w:ascii="仿宋" w:hAnsi="仿宋" w:eastAsia="仿宋"/>
          <w:sz w:val="30"/>
          <w:szCs w:val="30"/>
          <w:lang w:val="en-US" w:eastAsia="zh-CN"/>
        </w:rPr>
        <w:t>1.20</w:t>
      </w:r>
      <w:r>
        <w:rPr>
          <w:rFonts w:hint="eastAsia" w:ascii="仿宋" w:hAnsi="仿宋" w:eastAsia="仿宋"/>
          <w:sz w:val="30"/>
          <w:szCs w:val="30"/>
        </w:rPr>
        <w:t>%，主要原因是：</w:t>
      </w:r>
      <w:r>
        <w:rPr>
          <w:rFonts w:hint="eastAsia" w:ascii="仿宋" w:hAnsi="仿宋" w:eastAsia="仿宋"/>
          <w:sz w:val="30"/>
          <w:szCs w:val="30"/>
          <w:lang w:eastAsia="zh-CN"/>
        </w:rPr>
        <w:t>购置了一些办公设备，且</w:t>
      </w:r>
      <w:r>
        <w:rPr>
          <w:rFonts w:hint="eastAsia" w:ascii="仿宋" w:hAnsi="仿宋" w:eastAsia="仿宋"/>
          <w:sz w:val="30"/>
          <w:szCs w:val="30"/>
          <w:lang w:val="en-US" w:eastAsia="zh-CN"/>
        </w:rPr>
        <w:t>为司法所购置了一批办公设备</w:t>
      </w:r>
      <w:r>
        <w:rPr>
          <w:rFonts w:hint="eastAsia" w:ascii="仿宋" w:hAnsi="仿宋" w:eastAsia="仿宋"/>
          <w:sz w:val="30"/>
          <w:szCs w:val="30"/>
          <w:lang w:eastAsia="zh-CN"/>
        </w:rPr>
        <w:t>，</w:t>
      </w:r>
      <w:r>
        <w:rPr>
          <w:rFonts w:hint="eastAsia" w:ascii="仿宋" w:hAnsi="仿宋" w:eastAsia="仿宋"/>
          <w:sz w:val="30"/>
          <w:szCs w:val="30"/>
        </w:rPr>
        <w:t>。</w:t>
      </w:r>
    </w:p>
    <w:p w14:paraId="096AD4EF">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73EDD9EF">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10.77</w:t>
      </w:r>
      <w:r>
        <w:rPr>
          <w:rFonts w:hint="eastAsia" w:ascii="仿宋" w:hAnsi="仿宋" w:eastAsia="仿宋"/>
          <w:sz w:val="30"/>
          <w:szCs w:val="30"/>
        </w:rPr>
        <w:t>万元，决算数为</w:t>
      </w:r>
      <w:r>
        <w:rPr>
          <w:rFonts w:hint="eastAsia" w:ascii="仿宋" w:hAnsi="仿宋" w:eastAsia="仿宋"/>
          <w:sz w:val="30"/>
          <w:szCs w:val="30"/>
          <w:lang w:val="en-US" w:eastAsia="zh-CN"/>
        </w:rPr>
        <w:t>2.78</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25.81</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10.37</w:t>
      </w:r>
      <w:r>
        <w:rPr>
          <w:rFonts w:hint="eastAsia" w:ascii="仿宋" w:hAnsi="仿宋" w:eastAsia="仿宋"/>
          <w:sz w:val="30"/>
          <w:szCs w:val="30"/>
        </w:rPr>
        <w:t xml:space="preserve"> 万元，增长</w:t>
      </w:r>
      <w:r>
        <w:rPr>
          <w:rFonts w:hint="eastAsia" w:ascii="仿宋" w:hAnsi="仿宋" w:eastAsia="仿宋"/>
          <w:sz w:val="30"/>
          <w:szCs w:val="30"/>
          <w:lang w:val="en-US" w:eastAsia="zh-CN"/>
        </w:rPr>
        <w:t>259</w:t>
      </w:r>
      <w:r>
        <w:rPr>
          <w:rFonts w:hint="eastAsia" w:ascii="仿宋" w:hAnsi="仿宋" w:eastAsia="仿宋"/>
          <w:sz w:val="30"/>
          <w:szCs w:val="30"/>
        </w:rPr>
        <w:t xml:space="preserve"> </w:t>
      </w:r>
      <w:r>
        <w:rPr>
          <w:rFonts w:hint="eastAsia" w:ascii="仿宋" w:hAnsi="仿宋" w:eastAsia="仿宋"/>
          <w:sz w:val="30"/>
          <w:szCs w:val="30"/>
          <w:lang w:val="en-US" w:eastAsia="zh-CN"/>
        </w:rPr>
        <w:t>2.50</w:t>
      </w:r>
      <w:r>
        <w:rPr>
          <w:rFonts w:hint="eastAsia" w:ascii="仿宋" w:hAnsi="仿宋" w:eastAsia="仿宋"/>
          <w:sz w:val="30"/>
          <w:szCs w:val="30"/>
        </w:rPr>
        <w:t>%，其中：</w:t>
      </w:r>
    </w:p>
    <w:p w14:paraId="67A7B95F">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%。决算数较年初预算数增加（减少）的主要原因是：没有产生因公出国（境）费用。</w:t>
      </w:r>
    </w:p>
    <w:p w14:paraId="03D1B649">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3</w:t>
      </w:r>
      <w:r>
        <w:rPr>
          <w:rFonts w:hint="eastAsia" w:ascii="仿宋" w:hAnsi="仿宋" w:eastAsia="仿宋"/>
          <w:sz w:val="30"/>
          <w:szCs w:val="30"/>
        </w:rPr>
        <w:t>万元，决算数为</w:t>
      </w:r>
      <w:r>
        <w:rPr>
          <w:rFonts w:hint="eastAsia" w:ascii="仿宋" w:hAnsi="仿宋" w:eastAsia="仿宋"/>
          <w:sz w:val="30"/>
          <w:szCs w:val="30"/>
          <w:lang w:val="en-US" w:eastAsia="zh-CN"/>
        </w:rPr>
        <w:t>0.54</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18</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0.54</w:t>
      </w:r>
      <w:r>
        <w:rPr>
          <w:rFonts w:hint="eastAsia" w:ascii="仿宋" w:hAnsi="仿宋" w:eastAsia="仿宋"/>
          <w:sz w:val="30"/>
          <w:szCs w:val="30"/>
        </w:rPr>
        <w:t>万元，增长</w:t>
      </w:r>
      <w:r>
        <w:rPr>
          <w:rFonts w:hint="eastAsia" w:ascii="仿宋" w:hAnsi="仿宋" w:eastAsia="仿宋"/>
          <w:sz w:val="30"/>
          <w:szCs w:val="30"/>
          <w:lang w:val="en-US" w:eastAsia="zh-CN"/>
        </w:rPr>
        <w:t>100</w:t>
      </w:r>
      <w:r>
        <w:rPr>
          <w:rFonts w:hint="eastAsia" w:ascii="仿宋" w:hAnsi="仿宋" w:eastAsia="仿宋"/>
          <w:sz w:val="30"/>
          <w:szCs w:val="30"/>
        </w:rPr>
        <w:t>%。决算数较年初预算数</w:t>
      </w:r>
      <w:r>
        <w:rPr>
          <w:rFonts w:hint="eastAsia" w:ascii="仿宋" w:hAnsi="仿宋" w:eastAsia="仿宋"/>
          <w:sz w:val="30"/>
          <w:szCs w:val="30"/>
          <w:lang w:eastAsia="zh-CN"/>
        </w:rPr>
        <w:t>减少</w:t>
      </w:r>
      <w:r>
        <w:rPr>
          <w:rFonts w:hint="eastAsia" w:ascii="仿宋" w:hAnsi="仿宋" w:eastAsia="仿宋"/>
          <w:sz w:val="30"/>
          <w:szCs w:val="30"/>
        </w:rPr>
        <w:t>的主要原因是：</w:t>
      </w:r>
      <w:r>
        <w:rPr>
          <w:rFonts w:ascii="仿宋" w:hAnsi="仿宋" w:eastAsia="仿宋" w:cs="仿宋"/>
          <w:b w:val="0"/>
          <w:i w:val="0"/>
          <w:caps w:val="0"/>
          <w:color w:val="000000"/>
          <w:spacing w:val="0"/>
          <w:sz w:val="30"/>
          <w:szCs w:val="30"/>
          <w:shd w:val="clear" w:fill="FFFFFF"/>
        </w:rPr>
        <w:t>认真贯彻落实</w:t>
      </w:r>
      <w:r>
        <w:rPr>
          <w:rFonts w:hint="eastAsia" w:ascii="仿宋" w:hAnsi="仿宋" w:eastAsia="仿宋" w:cs="仿宋"/>
          <w:b w:val="0"/>
          <w:i w:val="0"/>
          <w:caps w:val="0"/>
          <w:color w:val="000000"/>
          <w:spacing w:val="0"/>
          <w:sz w:val="30"/>
          <w:szCs w:val="30"/>
          <w:shd w:val="clear" w:fill="FFFFFF"/>
          <w:lang w:val="en-US" w:eastAsia="zh-CN"/>
        </w:rPr>
        <w:t>中央</w:t>
      </w:r>
      <w:r>
        <w:rPr>
          <w:rFonts w:ascii="仿宋" w:hAnsi="仿宋" w:eastAsia="仿宋" w:cs="仿宋"/>
          <w:b w:val="0"/>
          <w:i w:val="0"/>
          <w:caps w:val="0"/>
          <w:color w:val="000000"/>
          <w:spacing w:val="0"/>
          <w:sz w:val="30"/>
          <w:szCs w:val="30"/>
          <w:shd w:val="clear" w:fill="FFFFFF"/>
        </w:rPr>
        <w:t>八项规定，严格遵守有关公务接待规定</w:t>
      </w:r>
      <w:r>
        <w:rPr>
          <w:rFonts w:hint="eastAsia" w:ascii="仿宋" w:hAnsi="仿宋" w:eastAsia="仿宋"/>
          <w:sz w:val="30"/>
          <w:szCs w:val="30"/>
        </w:rPr>
        <w:t>。</w:t>
      </w:r>
    </w:p>
    <w:p w14:paraId="3D7D369B">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2.24</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 xml:space="preserve">万元，增长（下降） </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%。决算数较年初预算数增加（减少）的主要原因是：</w:t>
      </w:r>
      <w:r>
        <w:rPr>
          <w:rFonts w:hint="eastAsia" w:ascii="仿宋" w:hAnsi="仿宋" w:eastAsia="仿宋"/>
          <w:sz w:val="30"/>
          <w:szCs w:val="30"/>
          <w:lang w:eastAsia="zh-CN"/>
        </w:rPr>
        <w:t>没有这项预算支出</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7.77</w:t>
      </w:r>
      <w:r>
        <w:rPr>
          <w:rFonts w:hint="eastAsia" w:ascii="仿宋" w:hAnsi="仿宋" w:eastAsia="仿宋"/>
          <w:sz w:val="30"/>
          <w:szCs w:val="30"/>
        </w:rPr>
        <w:t>万元，决算数为</w:t>
      </w:r>
      <w:r>
        <w:rPr>
          <w:rFonts w:hint="eastAsia" w:ascii="仿宋" w:hAnsi="仿宋" w:eastAsia="仿宋"/>
          <w:sz w:val="30"/>
          <w:szCs w:val="30"/>
          <w:lang w:val="en-US" w:eastAsia="zh-CN"/>
        </w:rPr>
        <w:t>2.24</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28.83</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1.84</w:t>
      </w:r>
      <w:r>
        <w:rPr>
          <w:rFonts w:hint="eastAsia" w:ascii="仿宋" w:hAnsi="仿宋" w:eastAsia="仿宋"/>
          <w:sz w:val="30"/>
          <w:szCs w:val="30"/>
        </w:rPr>
        <w:t>万元，增长</w:t>
      </w:r>
      <w:r>
        <w:rPr>
          <w:rFonts w:hint="eastAsia" w:ascii="仿宋" w:hAnsi="仿宋" w:eastAsia="仿宋"/>
          <w:sz w:val="30"/>
          <w:szCs w:val="30"/>
          <w:lang w:val="en-US" w:eastAsia="zh-CN"/>
        </w:rPr>
        <w:t>460</w:t>
      </w:r>
      <w:r>
        <w:rPr>
          <w:rFonts w:hint="eastAsia" w:ascii="仿宋" w:hAnsi="仿宋" w:eastAsia="仿宋"/>
          <w:sz w:val="30"/>
          <w:szCs w:val="30"/>
        </w:rPr>
        <w:t>%。决算数较年初预算数减少的主要原因是：</w:t>
      </w:r>
      <w:r>
        <w:rPr>
          <w:rFonts w:ascii="仿宋" w:hAnsi="仿宋" w:eastAsia="仿宋" w:cs="仿宋"/>
          <w:b w:val="0"/>
          <w:i w:val="0"/>
          <w:caps w:val="0"/>
          <w:color w:val="000000"/>
          <w:spacing w:val="0"/>
          <w:sz w:val="30"/>
          <w:szCs w:val="30"/>
          <w:shd w:val="clear" w:fill="FFFFFF"/>
        </w:rPr>
        <w:t>认真贯彻落实</w:t>
      </w:r>
      <w:r>
        <w:rPr>
          <w:rFonts w:hint="eastAsia" w:ascii="仿宋" w:hAnsi="仿宋" w:eastAsia="仿宋" w:cs="仿宋"/>
          <w:b w:val="0"/>
          <w:i w:val="0"/>
          <w:caps w:val="0"/>
          <w:color w:val="000000"/>
          <w:spacing w:val="0"/>
          <w:sz w:val="30"/>
          <w:szCs w:val="30"/>
          <w:shd w:val="clear" w:fill="FFFFFF"/>
          <w:lang w:val="en-US" w:eastAsia="zh-CN"/>
        </w:rPr>
        <w:t>中央</w:t>
      </w:r>
      <w:bookmarkStart w:id="0" w:name="_GoBack"/>
      <w:bookmarkEnd w:id="0"/>
      <w:r>
        <w:rPr>
          <w:rFonts w:ascii="仿宋" w:hAnsi="仿宋" w:eastAsia="仿宋" w:cs="仿宋"/>
          <w:b w:val="0"/>
          <w:i w:val="0"/>
          <w:caps w:val="0"/>
          <w:color w:val="000000"/>
          <w:spacing w:val="0"/>
          <w:sz w:val="30"/>
          <w:szCs w:val="30"/>
          <w:shd w:val="clear" w:fill="FFFFFF"/>
        </w:rPr>
        <w:t>八项规定，有效降低公车运行费用</w:t>
      </w:r>
      <w:r>
        <w:rPr>
          <w:rFonts w:hint="eastAsia" w:ascii="仿宋" w:hAnsi="仿宋" w:eastAsia="仿宋"/>
          <w:sz w:val="30"/>
          <w:szCs w:val="30"/>
        </w:rPr>
        <w:t>。</w:t>
      </w:r>
    </w:p>
    <w:p w14:paraId="1D145607">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40E48E32">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年度机关运行经费支出 </w:t>
      </w:r>
      <w:r>
        <w:rPr>
          <w:rFonts w:hint="eastAsia" w:ascii="仿宋" w:hAnsi="仿宋" w:eastAsia="仿宋"/>
          <w:sz w:val="30"/>
          <w:szCs w:val="30"/>
          <w:lang w:val="en-US" w:eastAsia="zh-CN"/>
        </w:rPr>
        <w:t>84.71</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32.79</w:t>
      </w:r>
      <w:r>
        <w:rPr>
          <w:rFonts w:hint="eastAsia" w:ascii="仿宋" w:hAnsi="仿宋" w:eastAsia="仿宋"/>
          <w:sz w:val="30"/>
          <w:szCs w:val="30"/>
        </w:rPr>
        <w:t>万元，增长</w:t>
      </w:r>
      <w:r>
        <w:rPr>
          <w:rFonts w:hint="eastAsia" w:ascii="仿宋" w:hAnsi="仿宋" w:eastAsia="仿宋"/>
          <w:sz w:val="30"/>
          <w:szCs w:val="30"/>
          <w:lang w:val="en-US" w:eastAsia="zh-CN"/>
        </w:rPr>
        <w:t>63.15</w:t>
      </w:r>
      <w:r>
        <w:rPr>
          <w:rFonts w:hint="eastAsia" w:ascii="仿宋" w:hAnsi="仿宋" w:eastAsia="仿宋"/>
          <w:sz w:val="30"/>
          <w:szCs w:val="30"/>
        </w:rPr>
        <w:t>%，主要原因是：</w:t>
      </w:r>
      <w:r>
        <w:rPr>
          <w:rFonts w:hint="eastAsia" w:ascii="仿宋" w:hAnsi="仿宋" w:eastAsia="仿宋"/>
          <w:sz w:val="30"/>
          <w:szCs w:val="30"/>
          <w:lang w:val="en-US" w:eastAsia="zh-CN"/>
        </w:rPr>
        <w:t>办公设施设备购置经费增加,且为司法所购置了一批办公设备</w:t>
      </w:r>
      <w:r>
        <w:rPr>
          <w:rFonts w:hint="eastAsia" w:ascii="仿宋" w:hAnsi="仿宋" w:eastAsia="仿宋"/>
          <w:sz w:val="30"/>
          <w:szCs w:val="30"/>
        </w:rPr>
        <w:t xml:space="preserve">。 </w:t>
      </w:r>
    </w:p>
    <w:p w14:paraId="763146EF">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557FBEF2">
      <w:pPr>
        <w:pStyle w:val="6"/>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年度政府采购支出总额 </w:t>
      </w:r>
      <w:r>
        <w:rPr>
          <w:rFonts w:hint="eastAsia" w:ascii="仿宋" w:hAnsi="仿宋" w:eastAsia="仿宋"/>
          <w:sz w:val="30"/>
          <w:szCs w:val="30"/>
          <w:lang w:val="en-US" w:eastAsia="zh-CN"/>
        </w:rPr>
        <w:t>13.97</w:t>
      </w:r>
      <w:r>
        <w:rPr>
          <w:rFonts w:hint="eastAsia" w:ascii="仿宋" w:hAnsi="仿宋" w:eastAsia="仿宋"/>
          <w:sz w:val="30"/>
          <w:szCs w:val="30"/>
        </w:rPr>
        <w:t xml:space="preserve">万元，其中：政府采购货物支出 </w:t>
      </w:r>
      <w:r>
        <w:rPr>
          <w:rFonts w:hint="eastAsia" w:ascii="仿宋" w:hAnsi="仿宋" w:eastAsia="仿宋"/>
          <w:sz w:val="30"/>
          <w:szCs w:val="30"/>
          <w:lang w:val="en-US" w:eastAsia="zh-CN"/>
        </w:rPr>
        <w:t>13.97</w:t>
      </w:r>
      <w:r>
        <w:rPr>
          <w:rFonts w:hint="eastAsia" w:ascii="仿宋" w:hAnsi="仿宋" w:eastAsia="仿宋"/>
          <w:sz w:val="30"/>
          <w:szCs w:val="30"/>
        </w:rPr>
        <w:t xml:space="preserve">万元、政府采购工程支出 </w:t>
      </w:r>
      <w:r>
        <w:rPr>
          <w:rFonts w:hint="eastAsia" w:ascii="仿宋" w:hAnsi="仿宋" w:eastAsia="仿宋"/>
          <w:sz w:val="30"/>
          <w:szCs w:val="30"/>
          <w:lang w:val="en-US" w:eastAsia="zh-CN"/>
        </w:rPr>
        <w:t>0</w:t>
      </w:r>
      <w:r>
        <w:rPr>
          <w:rFonts w:hint="eastAsia" w:ascii="仿宋" w:hAnsi="仿宋" w:eastAsia="仿宋"/>
          <w:sz w:val="30"/>
          <w:szCs w:val="30"/>
        </w:rPr>
        <w:t xml:space="preserve"> 万元、政府采购服务支出 </w:t>
      </w:r>
      <w:r>
        <w:rPr>
          <w:rFonts w:hint="eastAsia" w:ascii="仿宋" w:hAnsi="仿宋" w:eastAsia="仿宋"/>
          <w:sz w:val="30"/>
          <w:szCs w:val="30"/>
          <w:lang w:val="en-US" w:eastAsia="zh-CN"/>
        </w:rPr>
        <w:t>0</w:t>
      </w:r>
      <w:r>
        <w:rPr>
          <w:rFonts w:hint="eastAsia" w:ascii="仿宋" w:hAnsi="仿宋" w:eastAsia="仿宋"/>
          <w:sz w:val="30"/>
          <w:szCs w:val="30"/>
        </w:rPr>
        <w:t xml:space="preserve">万元。授予中小企业合同金额 </w:t>
      </w:r>
      <w:r>
        <w:rPr>
          <w:rFonts w:hint="eastAsia" w:ascii="仿宋" w:hAnsi="仿宋" w:eastAsia="仿宋"/>
          <w:sz w:val="30"/>
          <w:szCs w:val="30"/>
          <w:lang w:val="en-US" w:eastAsia="zh-CN"/>
        </w:rPr>
        <w:t>13.97</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13.97</w:t>
      </w:r>
      <w:r>
        <w:rPr>
          <w:rFonts w:hint="eastAsia" w:ascii="仿宋" w:hAnsi="仿宋" w:eastAsia="仿宋"/>
          <w:sz w:val="30"/>
          <w:szCs w:val="30"/>
        </w:rPr>
        <w:t xml:space="preserve">  万元，占政府采购支出总额的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14:paraId="57DADB44">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78E233E6">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eastAsia="zh-CN"/>
        </w:rPr>
        <w:t>：没有其他用车，公车改革，车辆上缴</w:t>
      </w:r>
      <w:r>
        <w:rPr>
          <w:rFonts w:hint="eastAsia" w:ascii="仿宋" w:hAnsi="仿宋" w:eastAsia="仿宋"/>
          <w:kern w:val="0"/>
          <w:sz w:val="30"/>
          <w:szCs w:val="30"/>
        </w:rPr>
        <w:t>。</w:t>
      </w:r>
    </w:p>
    <w:p w14:paraId="0AE3FC24">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582EFC95">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6C7A7A26">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年度一般公共预算项目支出全面开展绩效自评，其中，一级项目</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个，二级项目</w:t>
      </w:r>
    </w:p>
    <w:p w14:paraId="11A010B2">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lang w:val="en-US" w:eastAsia="zh-CN"/>
        </w:rPr>
        <w:t>5</w:t>
      </w:r>
      <w:r>
        <w:rPr>
          <w:rFonts w:hint="eastAsia" w:ascii="仿宋" w:hAnsi="仿宋" w:eastAsia="仿宋" w:cs="仿宋_GB2312"/>
          <w:kern w:val="0"/>
          <w:sz w:val="30"/>
          <w:szCs w:val="30"/>
        </w:rPr>
        <w:t>个，共涉及资金</w:t>
      </w:r>
      <w:r>
        <w:rPr>
          <w:rFonts w:hint="eastAsia" w:ascii="仿宋" w:hAnsi="仿宋" w:eastAsia="仿宋" w:cs="仿宋_GB2312"/>
          <w:kern w:val="0"/>
          <w:sz w:val="30"/>
          <w:szCs w:val="30"/>
          <w:lang w:val="en-US" w:eastAsia="zh-CN"/>
        </w:rPr>
        <w:t>42.31</w:t>
      </w:r>
      <w:r>
        <w:rPr>
          <w:rFonts w:hint="eastAsia" w:ascii="仿宋" w:hAnsi="仿宋" w:eastAsia="仿宋" w:cs="仿宋_GB2312"/>
          <w:kern w:val="0"/>
          <w:sz w:val="30"/>
          <w:szCs w:val="30"/>
        </w:rPr>
        <w:t xml:space="preserve">万元，占一般公共预算项目支出总额的 </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w:t>
      </w:r>
    </w:p>
    <w:p w14:paraId="72E284DF">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组织对“</w:t>
      </w:r>
      <w:r>
        <w:rPr>
          <w:rFonts w:hint="eastAsia" w:ascii="仿宋" w:hAnsi="仿宋" w:eastAsia="仿宋" w:cs="仿宋_GB2312"/>
          <w:kern w:val="0"/>
          <w:sz w:val="30"/>
          <w:szCs w:val="30"/>
          <w:lang w:eastAsia="zh-CN"/>
        </w:rPr>
        <w:t>法律建设</w:t>
      </w:r>
      <w:r>
        <w:rPr>
          <w:rFonts w:hint="eastAsia" w:ascii="仿宋" w:hAnsi="仿宋" w:eastAsia="仿宋" w:cs="仿宋_GB2312"/>
          <w:kern w:val="0"/>
          <w:sz w:val="30"/>
          <w:szCs w:val="30"/>
        </w:rPr>
        <w:t>”</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_GB2312"/>
          <w:kern w:val="0"/>
          <w:sz w:val="30"/>
          <w:szCs w:val="30"/>
          <w:lang w:val="en-US" w:eastAsia="zh-CN"/>
        </w:rPr>
        <w:t>5</w:t>
      </w:r>
      <w:r>
        <w:rPr>
          <w:rFonts w:hint="eastAsia" w:ascii="仿宋" w:hAnsi="仿宋" w:eastAsia="仿宋" w:cs="仿宋_GB2312"/>
          <w:kern w:val="0"/>
          <w:sz w:val="30"/>
          <w:szCs w:val="30"/>
        </w:rPr>
        <w:t>万元。</w:t>
      </w:r>
      <w:r>
        <w:rPr>
          <w:rFonts w:ascii="仿宋" w:hAnsi="仿宋" w:eastAsia="仿宋" w:cs="仿宋"/>
          <w:b w:val="0"/>
          <w:i w:val="0"/>
          <w:caps w:val="0"/>
          <w:color w:val="000000"/>
          <w:spacing w:val="0"/>
          <w:sz w:val="31"/>
          <w:szCs w:val="31"/>
          <w:shd w:val="clear" w:fill="FFFFFF"/>
        </w:rPr>
        <w:t>从评价情况来看，项目立项依据充分，立项程序规范，绩效目标设置合理，财务管理和业务管理制度较健全，任务完成良好，基本达到预期效果。</w:t>
      </w:r>
    </w:p>
    <w:p w14:paraId="405A9D66">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（二）部门决算中项目绩效自评结果（选择1至2个项目）。</w:t>
      </w:r>
    </w:p>
    <w:p w14:paraId="5D5A46A8">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eastAsia="zh-CN"/>
        </w:rPr>
        <w:t>“法律建设”</w:t>
      </w:r>
      <w:r>
        <w:rPr>
          <w:rFonts w:hint="eastAsia" w:ascii="仿宋" w:hAnsi="仿宋" w:eastAsia="仿宋" w:cs="仿宋_GB2312"/>
          <w:kern w:val="0"/>
          <w:sz w:val="30"/>
          <w:szCs w:val="30"/>
        </w:rPr>
        <w:t>项目绩效自评结果。</w:t>
      </w:r>
    </w:p>
    <w:p w14:paraId="249B7837">
      <w:pPr>
        <w:autoSpaceDE w:val="0"/>
        <w:autoSpaceDN w:val="0"/>
        <w:adjustRightInd w:val="0"/>
        <w:spacing w:line="360" w:lineRule="auto"/>
        <w:jc w:val="left"/>
        <w:rPr>
          <w:rFonts w:ascii="仿宋" w:hAnsi="仿宋" w:eastAsia="仿宋" w:cs="仿宋"/>
          <w:b w:val="0"/>
          <w:i w:val="0"/>
          <w:caps w:val="0"/>
          <w:color w:val="000000"/>
          <w:spacing w:val="0"/>
          <w:sz w:val="31"/>
          <w:szCs w:val="31"/>
          <w:shd w:val="clear" w:fill="FFFFFF"/>
        </w:rPr>
      </w:pPr>
      <w:r>
        <w:rPr>
          <w:rFonts w:hint="eastAsia" w:ascii="仿宋" w:hAnsi="仿宋" w:eastAsia="仿宋" w:cs="仿宋_GB2312"/>
          <w:kern w:val="0"/>
          <w:sz w:val="30"/>
          <w:szCs w:val="30"/>
        </w:rPr>
        <w:t>项目绩效自评综述：</w:t>
      </w:r>
      <w:r>
        <w:rPr>
          <w:rFonts w:ascii="仿宋" w:hAnsi="仿宋" w:eastAsia="仿宋" w:cs="仿宋"/>
          <w:b w:val="0"/>
          <w:i w:val="0"/>
          <w:caps w:val="0"/>
          <w:color w:val="000000"/>
          <w:spacing w:val="0"/>
          <w:sz w:val="31"/>
          <w:szCs w:val="31"/>
          <w:shd w:val="clear" w:fill="FFFFFF"/>
        </w:rPr>
        <w:t>根据年初设定的绩效目标， “</w:t>
      </w:r>
      <w:r>
        <w:rPr>
          <w:rFonts w:hint="eastAsia" w:ascii="仿宋" w:hAnsi="仿宋" w:eastAsia="仿宋" w:cs="仿宋"/>
          <w:b w:val="0"/>
          <w:i w:val="0"/>
          <w:caps w:val="0"/>
          <w:color w:val="000000"/>
          <w:spacing w:val="0"/>
          <w:sz w:val="31"/>
          <w:szCs w:val="31"/>
          <w:shd w:val="clear" w:fill="FFFFFF"/>
          <w:lang w:eastAsia="zh-CN"/>
        </w:rPr>
        <w:t>法律建设</w:t>
      </w:r>
      <w:r>
        <w:rPr>
          <w:rFonts w:ascii="仿宋" w:hAnsi="仿宋" w:eastAsia="仿宋" w:cs="仿宋"/>
          <w:b w:val="0"/>
          <w:i w:val="0"/>
          <w:caps w:val="0"/>
          <w:color w:val="000000"/>
          <w:spacing w:val="0"/>
          <w:sz w:val="31"/>
          <w:szCs w:val="31"/>
          <w:shd w:val="clear" w:fill="FFFFFF"/>
        </w:rPr>
        <w:t>”项目自评9</w:t>
      </w:r>
      <w:r>
        <w:rPr>
          <w:rFonts w:hint="eastAsia" w:ascii="仿宋" w:hAnsi="仿宋" w:eastAsia="仿宋" w:cs="仿宋"/>
          <w:b w:val="0"/>
          <w:i w:val="0"/>
          <w:caps w:val="0"/>
          <w:color w:val="000000"/>
          <w:spacing w:val="0"/>
          <w:sz w:val="31"/>
          <w:szCs w:val="31"/>
          <w:shd w:val="clear" w:fill="FFFFFF"/>
          <w:lang w:val="en-US" w:eastAsia="zh-CN"/>
        </w:rPr>
        <w:t>6</w:t>
      </w:r>
      <w:r>
        <w:rPr>
          <w:rFonts w:ascii="仿宋" w:hAnsi="仿宋" w:eastAsia="仿宋" w:cs="仿宋"/>
          <w:b w:val="0"/>
          <w:i w:val="0"/>
          <w:caps w:val="0"/>
          <w:color w:val="000000"/>
          <w:spacing w:val="0"/>
          <w:sz w:val="31"/>
          <w:szCs w:val="31"/>
          <w:shd w:val="clear" w:fill="FFFFFF"/>
        </w:rPr>
        <w:t>分。项目全年预算数为</w:t>
      </w:r>
      <w:r>
        <w:rPr>
          <w:rFonts w:hint="eastAsia" w:ascii="仿宋" w:hAnsi="仿宋" w:eastAsia="仿宋" w:cs="仿宋"/>
          <w:b w:val="0"/>
          <w:i w:val="0"/>
          <w:caps w:val="0"/>
          <w:color w:val="000000"/>
          <w:spacing w:val="0"/>
          <w:sz w:val="31"/>
          <w:szCs w:val="31"/>
          <w:shd w:val="clear" w:fill="FFFFFF"/>
          <w:lang w:val="en-US" w:eastAsia="zh-CN"/>
        </w:rPr>
        <w:t>5</w:t>
      </w:r>
      <w:r>
        <w:rPr>
          <w:rFonts w:ascii="仿宋" w:hAnsi="仿宋" w:eastAsia="仿宋" w:cs="仿宋"/>
          <w:b w:val="0"/>
          <w:i w:val="0"/>
          <w:caps w:val="0"/>
          <w:color w:val="000000"/>
          <w:spacing w:val="0"/>
          <w:sz w:val="31"/>
          <w:szCs w:val="31"/>
          <w:shd w:val="clear" w:fill="FFFFFF"/>
        </w:rPr>
        <w:t>万元，执行数为</w:t>
      </w:r>
      <w:r>
        <w:rPr>
          <w:rFonts w:hint="eastAsia" w:ascii="仿宋" w:hAnsi="仿宋" w:eastAsia="仿宋" w:cs="仿宋"/>
          <w:b w:val="0"/>
          <w:i w:val="0"/>
          <w:caps w:val="0"/>
          <w:color w:val="000000"/>
          <w:spacing w:val="0"/>
          <w:sz w:val="31"/>
          <w:szCs w:val="31"/>
          <w:shd w:val="clear" w:fill="FFFFFF"/>
          <w:lang w:val="en-US" w:eastAsia="zh-CN"/>
        </w:rPr>
        <w:t>5</w:t>
      </w:r>
      <w:r>
        <w:rPr>
          <w:rFonts w:ascii="仿宋" w:hAnsi="仿宋" w:eastAsia="仿宋" w:cs="仿宋"/>
          <w:b w:val="0"/>
          <w:i w:val="0"/>
          <w:caps w:val="0"/>
          <w:color w:val="000000"/>
          <w:spacing w:val="0"/>
          <w:sz w:val="31"/>
          <w:szCs w:val="31"/>
          <w:shd w:val="clear" w:fill="FFFFFF"/>
        </w:rPr>
        <w:t>万元，完成预算的100%。</w:t>
      </w:r>
    </w:p>
    <w:p w14:paraId="6C739EA4">
      <w:pPr>
        <w:numPr>
          <w:ilvl w:val="0"/>
          <w:numId w:val="0"/>
        </w:numPr>
        <w:spacing w:line="600" w:lineRule="exact"/>
        <w:rPr>
          <w:rFonts w:hint="eastAsia" w:ascii="仿宋_GB2312" w:hAnsi="Times New Roman" w:eastAsia="仿宋_GB2312" w:cs="Times New Roman"/>
          <w:kern w:val="2"/>
          <w:sz w:val="30"/>
          <w:szCs w:val="24"/>
          <w:lang w:val="en-US" w:eastAsia="zh-CN" w:bidi="ar-SA"/>
        </w:rPr>
      </w:pPr>
      <w:r>
        <w:rPr>
          <w:rFonts w:hint="eastAsia" w:ascii="仿宋" w:hAnsi="仿宋" w:eastAsia="仿宋" w:cs="仿宋_GB2312"/>
          <w:kern w:val="0"/>
          <w:sz w:val="30"/>
          <w:szCs w:val="30"/>
        </w:rPr>
        <w:t>主要产出和效果：</w:t>
      </w:r>
      <w:r>
        <w:rPr>
          <w:rFonts w:hint="eastAsia" w:ascii="仿宋_GB2312" w:hAnsi="Times New Roman" w:eastAsia="仿宋_GB2312" w:cs="Times New Roman"/>
          <w:kern w:val="2"/>
          <w:sz w:val="30"/>
          <w:szCs w:val="24"/>
          <w:lang w:val="en-US" w:eastAsia="zh-CN" w:bidi="ar-SA"/>
        </w:rPr>
        <w:t>在区委、区政府的坚强领导和市司法局的精心指导下，立足司法行政职能，聚焦重点目标任务，凝心聚力、真抓实干、砥砺前行，全面推进依法治区。全区共办理行政诉讼案件29件，其中审结23件，执行案件1件，实地调查、深入基层倾听、了解群众诉求，召开专案研判会，极大提升复议结果的公信力度。将矛盾化解在初始阶段，做到早介入、早把关，从根本上控制行政复议、诉讼案件数量。着力抓好“七五”普法。为群众发放各类宣传单、宣传册等资料10000多份，实施法治文化阵地建设工程，建设了法律图书角、法治文化长廊、法治宣传栏等一批公共法治文化宣传场所开展法治宣传，积极与群众展开互动。积极筹建区、乡、村三级法律服务平台建设，完善功能设置，构建城乡半小时公共法律服务圈。</w:t>
      </w:r>
    </w:p>
    <w:p w14:paraId="4CB9DA35">
      <w:pPr>
        <w:pStyle w:val="3"/>
        <w:keepNext w:val="0"/>
        <w:keepLines w:val="0"/>
        <w:widowControl/>
        <w:suppressLineNumbers w:val="0"/>
        <w:spacing w:before="0" w:beforeAutospacing="0" w:after="0" w:afterAutospacing="0" w:line="33" w:lineRule="atLeast"/>
        <w:ind w:right="0"/>
        <w:jc w:val="both"/>
        <w:rPr>
          <w:rFonts w:hint="eastAsia" w:ascii="仿宋_GB2312" w:hAnsi="Times New Roman" w:eastAsia="仿宋_GB2312" w:cs="Times New Roman"/>
          <w:kern w:val="2"/>
          <w:sz w:val="30"/>
          <w:szCs w:val="24"/>
          <w:lang w:val="en-US" w:eastAsia="zh-CN" w:bidi="ar-SA"/>
        </w:rPr>
      </w:pPr>
      <w:r>
        <w:rPr>
          <w:rFonts w:hint="eastAsia" w:ascii="仿宋" w:hAnsi="仿宋" w:eastAsia="仿宋" w:cs="仿宋_GB2312"/>
          <w:kern w:val="0"/>
          <w:sz w:val="30"/>
          <w:szCs w:val="30"/>
        </w:rPr>
        <w:t>发现的问题及原因：</w:t>
      </w:r>
      <w:r>
        <w:rPr>
          <w:rFonts w:hint="eastAsia" w:ascii="仿宋_GB2312" w:hAnsi="Times New Roman" w:eastAsia="仿宋_GB2312" w:cs="Times New Roman"/>
          <w:kern w:val="2"/>
          <w:sz w:val="30"/>
          <w:szCs w:val="24"/>
          <w:lang w:val="en-US" w:eastAsia="zh-CN" w:bidi="ar-SA"/>
        </w:rPr>
        <w:t>因机构改革原因，原法制办职能转入区司法局，未增加相应编制，法治建设工作人员严重不足。部分单位对法治建设工作重视不够，“谁执法谁普法”责任制落实不到位，广大群众学法、守法、用法的意识还不强，这些直接造成了我区司法行政在全省公众安全感排位较为靠后。</w:t>
      </w:r>
    </w:p>
    <w:p w14:paraId="3F2E3FE2">
      <w:pPr>
        <w:pStyle w:val="3"/>
        <w:keepNext w:val="0"/>
        <w:keepLines w:val="0"/>
        <w:widowControl/>
        <w:suppressLineNumbers w:val="0"/>
        <w:spacing w:before="0" w:beforeAutospacing="0" w:after="0" w:afterAutospacing="0" w:line="33" w:lineRule="atLeast"/>
        <w:ind w:right="0"/>
        <w:jc w:val="both"/>
        <w:rPr>
          <w:rFonts w:hint="eastAsia" w:ascii="仿宋_GB2312" w:hAnsi="Times New Roman" w:eastAsia="仿宋_GB2312" w:cs="Times New Roman"/>
          <w:kern w:val="2"/>
          <w:sz w:val="30"/>
          <w:szCs w:val="24"/>
          <w:lang w:val="en-US" w:eastAsia="zh-CN" w:bidi="ar-SA"/>
        </w:rPr>
      </w:pPr>
      <w:r>
        <w:rPr>
          <w:rFonts w:hint="eastAsia" w:ascii="仿宋" w:hAnsi="仿宋" w:eastAsia="仿宋" w:cs="仿宋_GB2312"/>
          <w:kern w:val="0"/>
          <w:sz w:val="30"/>
          <w:szCs w:val="30"/>
        </w:rPr>
        <w:t>下一步改进措施：</w:t>
      </w:r>
      <w:r>
        <w:rPr>
          <w:rFonts w:hint="eastAsia" w:ascii="仿宋_GB2312" w:hAnsi="Times New Roman" w:eastAsia="仿宋_GB2312" w:cs="Times New Roman"/>
          <w:kern w:val="2"/>
          <w:sz w:val="30"/>
          <w:szCs w:val="24"/>
          <w:lang w:val="en-US" w:eastAsia="zh-CN" w:bidi="ar-SA"/>
        </w:rPr>
        <w:t>落实依法治区各项重点任务。持续开展系列专题法治宣传教育实践活动。大力开展法治文化建设。深入落实“谁执法谁普法”普法责任制。</w:t>
      </w:r>
    </w:p>
    <w:p w14:paraId="3A5E1419">
      <w:pPr>
        <w:pStyle w:val="3"/>
        <w:keepNext w:val="0"/>
        <w:keepLines w:val="0"/>
        <w:widowControl/>
        <w:suppressLineNumbers w:val="0"/>
        <w:spacing w:before="0" w:beforeAutospacing="0" w:after="0" w:afterAutospacing="0" w:line="33" w:lineRule="atLeast"/>
        <w:ind w:right="0"/>
        <w:jc w:val="both"/>
        <w:rPr>
          <w:rFonts w:hint="eastAsia" w:ascii="仿宋_GB2312" w:hAnsi="Times New Roman" w:eastAsia="仿宋_GB2312" w:cs="Times New Roman"/>
          <w:kern w:val="2"/>
          <w:sz w:val="30"/>
          <w:szCs w:val="24"/>
          <w:lang w:val="en-US" w:eastAsia="zh-CN" w:bidi="ar-SA"/>
        </w:rPr>
      </w:pPr>
      <w:r>
        <w:rPr>
          <w:rFonts w:hint="eastAsia" w:ascii="仿宋" w:hAnsi="仿宋" w:eastAsia="仿宋" w:cs="仿宋_GB2312"/>
          <w:kern w:val="0"/>
          <w:sz w:val="30"/>
          <w:szCs w:val="30"/>
          <w:lang w:eastAsia="zh-CN"/>
        </w:rPr>
        <w:t>“法律建设”</w:t>
      </w:r>
      <w:r>
        <w:rPr>
          <w:rFonts w:hint="eastAsia" w:ascii="仿宋" w:hAnsi="仿宋" w:eastAsia="仿宋" w:cs="仿宋_GB2312"/>
          <w:kern w:val="0"/>
          <w:sz w:val="30"/>
          <w:szCs w:val="30"/>
        </w:rPr>
        <w:t>项目绩效自评综述：</w:t>
      </w:r>
      <w:r>
        <w:rPr>
          <w:rFonts w:hint="eastAsia" w:ascii="仿宋_GB2312" w:hAnsi="Times New Roman" w:eastAsia="仿宋_GB2312" w:cs="Times New Roman"/>
          <w:kern w:val="2"/>
          <w:sz w:val="30"/>
          <w:szCs w:val="24"/>
          <w:lang w:val="en-US" w:eastAsia="zh-CN" w:bidi="ar-SA"/>
        </w:rPr>
        <w:t>贯彻执行国家司法行政工作的方针、政策和法律法规，为司法行政工作更好地服务社会</w:t>
      </w:r>
      <w:r>
        <w:rPr>
          <w:rFonts w:hint="eastAsia" w:ascii="仿宋_GB2312" w:hAnsi="Times New Roman" w:cs="Times New Roman"/>
          <w:kern w:val="2"/>
          <w:sz w:val="30"/>
          <w:szCs w:val="24"/>
          <w:lang w:val="en-US" w:eastAsia="zh-CN" w:bidi="ar-SA"/>
        </w:rPr>
        <w:t>。</w:t>
      </w:r>
      <w:r>
        <w:rPr>
          <w:rFonts w:hint="eastAsia" w:ascii="仿宋_GB2312" w:hAnsi="Times New Roman" w:eastAsia="仿宋_GB2312" w:cs="Times New Roman"/>
          <w:kern w:val="2"/>
          <w:sz w:val="30"/>
          <w:szCs w:val="24"/>
          <w:lang w:val="en-US" w:eastAsia="zh-CN" w:bidi="ar-SA"/>
        </w:rPr>
        <w:t>按省市要求到2</w:t>
      </w:r>
      <w:r>
        <w:rPr>
          <w:rFonts w:hint="eastAsia" w:ascii="仿宋_GB2312" w:eastAsia="仿宋_GB2312" w:cs="Times New Roman"/>
          <w:kern w:val="2"/>
          <w:sz w:val="30"/>
          <w:szCs w:val="24"/>
          <w:lang w:val="en-US" w:eastAsia="zh-CN" w:bidi="ar-SA"/>
        </w:rPr>
        <w:t>019</w:t>
      </w:r>
      <w:r>
        <w:rPr>
          <w:rFonts w:hint="eastAsia" w:ascii="仿宋_GB2312" w:hAnsi="Times New Roman" w:eastAsia="仿宋_GB2312" w:cs="Times New Roman"/>
          <w:kern w:val="2"/>
          <w:sz w:val="30"/>
          <w:szCs w:val="24"/>
          <w:lang w:val="en-US" w:eastAsia="zh-CN" w:bidi="ar-SA"/>
        </w:rPr>
        <w:t>年完成全区人口总户数的</w:t>
      </w:r>
      <w:r>
        <w:rPr>
          <w:rFonts w:hint="eastAsia" w:ascii="仿宋_GB2312" w:eastAsia="仿宋_GB2312" w:cs="Times New Roman"/>
          <w:kern w:val="2"/>
          <w:sz w:val="30"/>
          <w:szCs w:val="24"/>
          <w:lang w:val="en-US" w:eastAsia="zh-CN" w:bidi="ar-SA"/>
        </w:rPr>
        <w:t>30</w:t>
      </w:r>
      <w:r>
        <w:rPr>
          <w:rFonts w:hint="eastAsia" w:ascii="仿宋_GB2312" w:hAnsi="Times New Roman" w:eastAsia="仿宋_GB2312" w:cs="Times New Roman"/>
          <w:kern w:val="2"/>
          <w:sz w:val="30"/>
          <w:szCs w:val="24"/>
          <w:lang w:val="en-US" w:eastAsia="zh-CN" w:bidi="ar-SA"/>
        </w:rPr>
        <w:t>％农村”法律明白人“培养工程。按要求完成全区2019年度上百余件</w:t>
      </w:r>
      <w:r>
        <w:rPr>
          <w:rFonts w:hint="eastAsia" w:ascii="仿宋_GB2312" w:eastAsia="仿宋_GB2312" w:cs="Times New Roman"/>
          <w:kern w:val="2"/>
          <w:sz w:val="30"/>
          <w:szCs w:val="24"/>
          <w:lang w:val="en-US" w:eastAsia="zh-CN" w:bidi="ar-SA"/>
        </w:rPr>
        <w:t>法律援助</w:t>
      </w:r>
      <w:r>
        <w:rPr>
          <w:rFonts w:hint="eastAsia" w:ascii="仿宋_GB2312" w:hAnsi="Times New Roman" w:eastAsia="仿宋_GB2312" w:cs="Times New Roman"/>
          <w:kern w:val="2"/>
          <w:sz w:val="30"/>
          <w:szCs w:val="24"/>
          <w:lang w:val="en-US" w:eastAsia="zh-CN" w:bidi="ar-SA"/>
        </w:rPr>
        <w:t>案件，确保大部分人遇事找法，减少社会矛盾。完成2019年人民调解任务，维护居民人身权益，防范社会风险。完成2019年”七五"普法收官准备工作，助力法治政府建设的完成。</w:t>
      </w:r>
    </w:p>
    <w:p w14:paraId="28475510">
      <w:pPr>
        <w:autoSpaceDE w:val="0"/>
        <w:autoSpaceDN w:val="0"/>
        <w:adjustRightInd w:val="0"/>
        <w:spacing w:line="360" w:lineRule="auto"/>
        <w:jc w:val="left"/>
        <w:rPr>
          <w:rFonts w:hint="eastAsia" w:ascii="仿宋" w:hAnsi="仿宋" w:eastAsia="仿宋" w:cs="仿宋_GB2312"/>
          <w:kern w:val="0"/>
          <w:sz w:val="30"/>
          <w:szCs w:val="30"/>
        </w:rPr>
      </w:pPr>
    </w:p>
    <w:p w14:paraId="64A391BB">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在公开项目绩效自评综述的同时，需公开《项目支出绩效自评表》。</w:t>
      </w:r>
    </w:p>
    <w:p w14:paraId="26E68302">
      <w:pPr>
        <w:rPr>
          <w:rFonts w:hint="eastAsia"/>
        </w:rPr>
      </w:pPr>
    </w:p>
    <w:tbl>
      <w:tblPr>
        <w:tblStyle w:val="4"/>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1271"/>
        <w:gridCol w:w="713"/>
        <w:gridCol w:w="611"/>
        <w:gridCol w:w="98"/>
        <w:gridCol w:w="851"/>
        <w:gridCol w:w="708"/>
      </w:tblGrid>
      <w:tr w14:paraId="1B8B4EC1">
        <w:tblPrEx>
          <w:tblCellMar>
            <w:top w:w="0" w:type="dxa"/>
            <w:left w:w="108" w:type="dxa"/>
            <w:bottom w:w="0" w:type="dxa"/>
            <w:right w:w="108" w:type="dxa"/>
          </w:tblCellMar>
        </w:tblPrEx>
        <w:trPr>
          <w:trHeight w:val="454" w:hRule="exact"/>
          <w:jc w:val="center"/>
        </w:trPr>
        <w:tc>
          <w:tcPr>
            <w:tcW w:w="9080" w:type="dxa"/>
            <w:gridSpan w:val="12"/>
            <w:tcBorders>
              <w:top w:val="nil"/>
              <w:left w:val="nil"/>
              <w:bottom w:val="nil"/>
              <w:right w:val="nil"/>
            </w:tcBorders>
            <w:noWrap w:val="0"/>
            <w:vAlign w:val="center"/>
          </w:tcPr>
          <w:p w14:paraId="76610D93">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79B2F20A">
        <w:tblPrEx>
          <w:tblCellMar>
            <w:top w:w="0" w:type="dxa"/>
            <w:left w:w="108" w:type="dxa"/>
            <w:bottom w:w="0" w:type="dxa"/>
            <w:right w:w="108" w:type="dxa"/>
          </w:tblCellMar>
        </w:tblPrEx>
        <w:trPr>
          <w:trHeight w:val="201" w:hRule="atLeast"/>
          <w:jc w:val="center"/>
        </w:trPr>
        <w:tc>
          <w:tcPr>
            <w:tcW w:w="9080" w:type="dxa"/>
            <w:gridSpan w:val="12"/>
            <w:tcBorders>
              <w:top w:val="nil"/>
              <w:left w:val="nil"/>
              <w:bottom w:val="nil"/>
              <w:right w:val="nil"/>
            </w:tcBorders>
            <w:noWrap w:val="0"/>
            <w:vAlign w:val="top"/>
          </w:tcPr>
          <w:p w14:paraId="6ED87D3A">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  </w:t>
            </w:r>
            <w:r>
              <w:rPr>
                <w:rFonts w:hint="eastAsia" w:ascii="宋体" w:hAnsi="宋体" w:eastAsia="宋体" w:cs="宋体"/>
                <w:kern w:val="0"/>
                <w:sz w:val="22"/>
                <w:szCs w:val="22"/>
                <w:lang w:val="en-US" w:eastAsia="zh-CN"/>
              </w:rPr>
              <w:t>2019</w:t>
            </w:r>
            <w:r>
              <w:rPr>
                <w:rFonts w:hint="eastAsia" w:ascii="宋体" w:hAnsi="宋体" w:eastAsia="宋体" w:cs="宋体"/>
                <w:kern w:val="0"/>
                <w:sz w:val="22"/>
                <w:szCs w:val="22"/>
              </w:rPr>
              <w:t xml:space="preserve">  年度）</w:t>
            </w:r>
          </w:p>
        </w:tc>
      </w:tr>
      <w:tr w14:paraId="3E928057">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6A54873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0"/>
            <w:tcBorders>
              <w:top w:val="single" w:color="auto" w:sz="4" w:space="0"/>
              <w:left w:val="nil"/>
              <w:bottom w:val="single" w:color="auto" w:sz="4" w:space="0"/>
              <w:right w:val="single" w:color="auto" w:sz="4" w:space="0"/>
            </w:tcBorders>
            <w:noWrap w:val="0"/>
            <w:vAlign w:val="center"/>
          </w:tcPr>
          <w:p w14:paraId="2A79A79E">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法制建设</w:t>
            </w:r>
          </w:p>
        </w:tc>
      </w:tr>
      <w:tr w14:paraId="0EABE5AC">
        <w:tblPrEx>
          <w:tblCellMar>
            <w:top w:w="0" w:type="dxa"/>
            <w:left w:w="108" w:type="dxa"/>
            <w:bottom w:w="0" w:type="dxa"/>
            <w:right w:w="108" w:type="dxa"/>
          </w:tblCellMar>
        </w:tblPrEx>
        <w:trPr>
          <w:trHeight w:val="559"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7480ED8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531" w:type="dxa"/>
            <w:gridSpan w:val="5"/>
            <w:tcBorders>
              <w:top w:val="single" w:color="auto" w:sz="4" w:space="0"/>
              <w:left w:val="nil"/>
              <w:bottom w:val="single" w:color="auto" w:sz="4" w:space="0"/>
              <w:right w:val="single" w:color="auto" w:sz="4" w:space="0"/>
            </w:tcBorders>
            <w:noWrap w:val="0"/>
            <w:vAlign w:val="center"/>
          </w:tcPr>
          <w:p w14:paraId="56EE3B43">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昌江区司法局</w:t>
            </w:r>
          </w:p>
        </w:tc>
        <w:tc>
          <w:tcPr>
            <w:tcW w:w="713" w:type="dxa"/>
            <w:tcBorders>
              <w:top w:val="nil"/>
              <w:left w:val="nil"/>
              <w:bottom w:val="single" w:color="auto" w:sz="4" w:space="0"/>
              <w:right w:val="single" w:color="auto" w:sz="4" w:space="0"/>
            </w:tcBorders>
            <w:noWrap w:val="0"/>
            <w:vAlign w:val="center"/>
          </w:tcPr>
          <w:p w14:paraId="47DB50D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4"/>
            <w:tcBorders>
              <w:top w:val="single" w:color="auto" w:sz="4" w:space="0"/>
              <w:left w:val="nil"/>
              <w:bottom w:val="single" w:color="auto" w:sz="4" w:space="0"/>
              <w:right w:val="single" w:color="auto" w:sz="4" w:space="0"/>
            </w:tcBorders>
            <w:noWrap w:val="0"/>
            <w:vAlign w:val="center"/>
          </w:tcPr>
          <w:p w14:paraId="08E94DD9">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昌江区司法局</w:t>
            </w:r>
          </w:p>
        </w:tc>
      </w:tr>
      <w:tr w14:paraId="696A7DF0">
        <w:tblPrEx>
          <w:tblCellMar>
            <w:top w:w="0" w:type="dxa"/>
            <w:left w:w="108" w:type="dxa"/>
            <w:bottom w:w="0" w:type="dxa"/>
            <w:right w:w="108" w:type="dxa"/>
          </w:tblCellMar>
        </w:tblPrEx>
        <w:trPr>
          <w:trHeight w:val="756"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95EE59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0DDDC19B">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14:paraId="7546946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555" w:type="dxa"/>
            <w:gridSpan w:val="2"/>
            <w:tcBorders>
              <w:top w:val="nil"/>
              <w:left w:val="nil"/>
              <w:bottom w:val="single" w:color="auto" w:sz="4" w:space="0"/>
              <w:right w:val="single" w:color="auto" w:sz="4" w:space="0"/>
            </w:tcBorders>
            <w:noWrap w:val="0"/>
            <w:vAlign w:val="center"/>
          </w:tcPr>
          <w:p w14:paraId="7A5B3A4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713" w:type="dxa"/>
            <w:tcBorders>
              <w:top w:val="nil"/>
              <w:left w:val="nil"/>
              <w:bottom w:val="single" w:color="auto" w:sz="4" w:space="0"/>
              <w:right w:val="single" w:color="auto" w:sz="4" w:space="0"/>
            </w:tcBorders>
            <w:noWrap w:val="0"/>
            <w:vAlign w:val="center"/>
          </w:tcPr>
          <w:p w14:paraId="0BBDFDF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14:paraId="0E821D7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tcBorders>
              <w:top w:val="single" w:color="auto" w:sz="4" w:space="0"/>
              <w:left w:val="nil"/>
              <w:bottom w:val="single" w:color="auto" w:sz="4" w:space="0"/>
              <w:right w:val="single" w:color="auto" w:sz="4" w:space="0"/>
            </w:tcBorders>
            <w:noWrap w:val="0"/>
            <w:vAlign w:val="center"/>
          </w:tcPr>
          <w:p w14:paraId="6A225BA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14:paraId="736BF7D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60B31F54">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AE98545">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4AD11534">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14:paraId="2EBEC5E1">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555" w:type="dxa"/>
            <w:gridSpan w:val="2"/>
            <w:tcBorders>
              <w:top w:val="nil"/>
              <w:left w:val="nil"/>
              <w:bottom w:val="single" w:color="auto" w:sz="4" w:space="0"/>
              <w:right w:val="single" w:color="auto" w:sz="4" w:space="0"/>
            </w:tcBorders>
            <w:noWrap w:val="0"/>
            <w:vAlign w:val="center"/>
          </w:tcPr>
          <w:p w14:paraId="2140E714">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713" w:type="dxa"/>
            <w:tcBorders>
              <w:top w:val="nil"/>
              <w:left w:val="nil"/>
              <w:bottom w:val="single" w:color="auto" w:sz="4" w:space="0"/>
              <w:right w:val="single" w:color="auto" w:sz="4" w:space="0"/>
            </w:tcBorders>
            <w:noWrap w:val="0"/>
            <w:vAlign w:val="center"/>
          </w:tcPr>
          <w:p w14:paraId="2DF45BF7">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709" w:type="dxa"/>
            <w:gridSpan w:val="2"/>
            <w:tcBorders>
              <w:top w:val="nil"/>
              <w:left w:val="nil"/>
              <w:bottom w:val="single" w:color="auto" w:sz="4" w:space="0"/>
              <w:right w:val="single" w:color="auto" w:sz="4" w:space="0"/>
            </w:tcBorders>
            <w:noWrap w:val="0"/>
            <w:vAlign w:val="center"/>
          </w:tcPr>
          <w:p w14:paraId="33F65DE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tcBorders>
              <w:top w:val="single" w:color="auto" w:sz="4" w:space="0"/>
              <w:left w:val="nil"/>
              <w:bottom w:val="single" w:color="auto" w:sz="4" w:space="0"/>
              <w:right w:val="single" w:color="auto" w:sz="4" w:space="0"/>
            </w:tcBorders>
            <w:noWrap w:val="0"/>
            <w:vAlign w:val="center"/>
          </w:tcPr>
          <w:p w14:paraId="3132E04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14:paraId="3481EDD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14:paraId="471F38BF">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BCA7AC0">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746C2B2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14:paraId="60F5737E">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555" w:type="dxa"/>
            <w:gridSpan w:val="2"/>
            <w:tcBorders>
              <w:top w:val="nil"/>
              <w:left w:val="nil"/>
              <w:bottom w:val="single" w:color="auto" w:sz="4" w:space="0"/>
              <w:right w:val="single" w:color="auto" w:sz="4" w:space="0"/>
            </w:tcBorders>
            <w:noWrap w:val="0"/>
            <w:vAlign w:val="center"/>
          </w:tcPr>
          <w:p w14:paraId="3C41D11A">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713" w:type="dxa"/>
            <w:tcBorders>
              <w:top w:val="nil"/>
              <w:left w:val="nil"/>
              <w:bottom w:val="single" w:color="auto" w:sz="4" w:space="0"/>
              <w:right w:val="single" w:color="auto" w:sz="4" w:space="0"/>
            </w:tcBorders>
            <w:noWrap w:val="0"/>
            <w:vAlign w:val="center"/>
          </w:tcPr>
          <w:p w14:paraId="7D8BF971">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709" w:type="dxa"/>
            <w:gridSpan w:val="2"/>
            <w:tcBorders>
              <w:top w:val="nil"/>
              <w:left w:val="nil"/>
              <w:bottom w:val="single" w:color="auto" w:sz="4" w:space="0"/>
              <w:right w:val="single" w:color="auto" w:sz="4" w:space="0"/>
            </w:tcBorders>
            <w:noWrap w:val="0"/>
            <w:vAlign w:val="center"/>
          </w:tcPr>
          <w:p w14:paraId="4E45C18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single" w:color="auto" w:sz="4" w:space="0"/>
              <w:left w:val="nil"/>
              <w:bottom w:val="single" w:color="auto" w:sz="4" w:space="0"/>
              <w:right w:val="single" w:color="auto" w:sz="4" w:space="0"/>
            </w:tcBorders>
            <w:noWrap w:val="0"/>
            <w:vAlign w:val="center"/>
          </w:tcPr>
          <w:p w14:paraId="00774C6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14:paraId="4AFA4CE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1953ACE0">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95F99D2">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32A8F56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14:paraId="286A470F">
            <w:pPr>
              <w:widowControl/>
              <w:spacing w:line="240" w:lineRule="exact"/>
              <w:jc w:val="center"/>
              <w:rPr>
                <w:rFonts w:ascii="宋体" w:hAnsi="宋体" w:eastAsia="宋体" w:cs="宋体"/>
                <w:kern w:val="0"/>
                <w:sz w:val="18"/>
                <w:szCs w:val="18"/>
              </w:rPr>
            </w:pPr>
          </w:p>
        </w:tc>
        <w:tc>
          <w:tcPr>
            <w:tcW w:w="1555" w:type="dxa"/>
            <w:gridSpan w:val="2"/>
            <w:tcBorders>
              <w:top w:val="nil"/>
              <w:left w:val="nil"/>
              <w:bottom w:val="single" w:color="auto" w:sz="4" w:space="0"/>
              <w:right w:val="single" w:color="auto" w:sz="4" w:space="0"/>
            </w:tcBorders>
            <w:noWrap w:val="0"/>
            <w:vAlign w:val="center"/>
          </w:tcPr>
          <w:p w14:paraId="32A5DA2C">
            <w:pPr>
              <w:widowControl/>
              <w:spacing w:line="240" w:lineRule="exact"/>
              <w:jc w:val="center"/>
              <w:rPr>
                <w:rFonts w:ascii="宋体" w:hAnsi="宋体" w:eastAsia="宋体" w:cs="宋体"/>
                <w:kern w:val="0"/>
                <w:sz w:val="18"/>
                <w:szCs w:val="18"/>
              </w:rPr>
            </w:pPr>
          </w:p>
        </w:tc>
        <w:tc>
          <w:tcPr>
            <w:tcW w:w="713" w:type="dxa"/>
            <w:tcBorders>
              <w:top w:val="nil"/>
              <w:left w:val="nil"/>
              <w:bottom w:val="single" w:color="auto" w:sz="4" w:space="0"/>
              <w:right w:val="single" w:color="auto" w:sz="4" w:space="0"/>
            </w:tcBorders>
            <w:noWrap w:val="0"/>
            <w:vAlign w:val="center"/>
          </w:tcPr>
          <w:p w14:paraId="4C7E4F1D">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7868B4E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single" w:color="auto" w:sz="4" w:space="0"/>
              <w:left w:val="nil"/>
              <w:bottom w:val="single" w:color="auto" w:sz="4" w:space="0"/>
              <w:right w:val="single" w:color="auto" w:sz="4" w:space="0"/>
            </w:tcBorders>
            <w:noWrap w:val="0"/>
            <w:vAlign w:val="center"/>
          </w:tcPr>
          <w:p w14:paraId="7606A5F8">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14:paraId="7810313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2C319BBC">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360CA1E">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22CC6B8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14:paraId="36A01896">
            <w:pPr>
              <w:widowControl/>
              <w:spacing w:line="240" w:lineRule="exact"/>
              <w:jc w:val="center"/>
              <w:rPr>
                <w:rFonts w:ascii="宋体" w:hAnsi="宋体" w:eastAsia="宋体" w:cs="宋体"/>
                <w:kern w:val="0"/>
                <w:sz w:val="18"/>
                <w:szCs w:val="18"/>
              </w:rPr>
            </w:pPr>
          </w:p>
        </w:tc>
        <w:tc>
          <w:tcPr>
            <w:tcW w:w="1555" w:type="dxa"/>
            <w:gridSpan w:val="2"/>
            <w:tcBorders>
              <w:top w:val="nil"/>
              <w:left w:val="nil"/>
              <w:bottom w:val="single" w:color="auto" w:sz="4" w:space="0"/>
              <w:right w:val="single" w:color="auto" w:sz="4" w:space="0"/>
            </w:tcBorders>
            <w:noWrap w:val="0"/>
            <w:vAlign w:val="center"/>
          </w:tcPr>
          <w:p w14:paraId="5BA8F5C2">
            <w:pPr>
              <w:widowControl/>
              <w:spacing w:line="240" w:lineRule="exact"/>
              <w:jc w:val="center"/>
              <w:rPr>
                <w:rFonts w:ascii="宋体" w:hAnsi="宋体" w:eastAsia="宋体" w:cs="宋体"/>
                <w:kern w:val="0"/>
                <w:sz w:val="18"/>
                <w:szCs w:val="18"/>
              </w:rPr>
            </w:pPr>
          </w:p>
        </w:tc>
        <w:tc>
          <w:tcPr>
            <w:tcW w:w="713" w:type="dxa"/>
            <w:tcBorders>
              <w:top w:val="nil"/>
              <w:left w:val="nil"/>
              <w:bottom w:val="single" w:color="auto" w:sz="4" w:space="0"/>
              <w:right w:val="single" w:color="auto" w:sz="4" w:space="0"/>
            </w:tcBorders>
            <w:noWrap w:val="0"/>
            <w:vAlign w:val="center"/>
          </w:tcPr>
          <w:p w14:paraId="1BD5A827">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72140E6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single" w:color="auto" w:sz="4" w:space="0"/>
              <w:left w:val="nil"/>
              <w:bottom w:val="single" w:color="auto" w:sz="4" w:space="0"/>
              <w:right w:val="single" w:color="auto" w:sz="4" w:space="0"/>
            </w:tcBorders>
            <w:noWrap w:val="0"/>
            <w:vAlign w:val="center"/>
          </w:tcPr>
          <w:p w14:paraId="5377511B">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14:paraId="1F77D6D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1390D224">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14:paraId="6B468C8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511" w:type="dxa"/>
            <w:gridSpan w:val="6"/>
            <w:tcBorders>
              <w:top w:val="single" w:color="auto" w:sz="4" w:space="0"/>
              <w:left w:val="nil"/>
              <w:bottom w:val="single" w:color="auto" w:sz="4" w:space="0"/>
              <w:right w:val="single" w:color="auto" w:sz="4" w:space="0"/>
            </w:tcBorders>
            <w:noWrap w:val="0"/>
            <w:vAlign w:val="center"/>
          </w:tcPr>
          <w:p w14:paraId="355D875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2981" w:type="dxa"/>
            <w:gridSpan w:val="5"/>
            <w:tcBorders>
              <w:top w:val="single" w:color="auto" w:sz="4" w:space="0"/>
              <w:left w:val="nil"/>
              <w:bottom w:val="single" w:color="auto" w:sz="4" w:space="0"/>
              <w:right w:val="single" w:color="auto" w:sz="4" w:space="0"/>
            </w:tcBorders>
            <w:noWrap w:val="0"/>
            <w:vAlign w:val="center"/>
          </w:tcPr>
          <w:p w14:paraId="288637C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68325ACD">
        <w:tblPrEx>
          <w:tblCellMar>
            <w:top w:w="0" w:type="dxa"/>
            <w:left w:w="108" w:type="dxa"/>
            <w:bottom w:w="0" w:type="dxa"/>
            <w:right w:w="108" w:type="dxa"/>
          </w:tblCellMar>
        </w:tblPrEx>
        <w:trPr>
          <w:trHeight w:val="1473"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14:paraId="46EBFE2E">
            <w:pPr>
              <w:widowControl/>
              <w:spacing w:line="240" w:lineRule="exact"/>
              <w:jc w:val="center"/>
              <w:rPr>
                <w:rFonts w:ascii="宋体" w:hAnsi="宋体" w:eastAsia="宋体" w:cs="宋体"/>
                <w:kern w:val="0"/>
                <w:sz w:val="18"/>
                <w:szCs w:val="18"/>
              </w:rPr>
            </w:pPr>
          </w:p>
        </w:tc>
        <w:tc>
          <w:tcPr>
            <w:tcW w:w="5511" w:type="dxa"/>
            <w:gridSpan w:val="6"/>
            <w:tcBorders>
              <w:top w:val="single" w:color="auto" w:sz="4" w:space="0"/>
              <w:left w:val="nil"/>
              <w:bottom w:val="single" w:color="auto" w:sz="4" w:space="0"/>
              <w:right w:val="single" w:color="auto" w:sz="4" w:space="0"/>
            </w:tcBorders>
            <w:noWrap w:val="0"/>
            <w:vAlign w:val="center"/>
          </w:tcPr>
          <w:p w14:paraId="14AECE2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按省市要求到</w:t>
            </w:r>
            <w:r>
              <w:rPr>
                <w:rFonts w:hint="eastAsia" w:ascii="宋体" w:hAnsi="宋体" w:eastAsia="宋体" w:cs="宋体"/>
                <w:kern w:val="0"/>
                <w:sz w:val="18"/>
                <w:szCs w:val="18"/>
                <w:lang w:val="en-US" w:eastAsia="zh-CN"/>
              </w:rPr>
              <w:t>2019</w:t>
            </w:r>
            <w:r>
              <w:rPr>
                <w:rFonts w:hint="eastAsia" w:ascii="宋体" w:hAnsi="宋体" w:eastAsia="宋体" w:cs="宋体"/>
                <w:kern w:val="0"/>
                <w:sz w:val="18"/>
                <w:szCs w:val="18"/>
              </w:rPr>
              <w:t>年完成全区人口总户数的</w:t>
            </w:r>
            <w:r>
              <w:rPr>
                <w:rFonts w:hint="eastAsia" w:ascii="宋体" w:hAnsi="宋体" w:cs="宋体"/>
                <w:kern w:val="0"/>
                <w:sz w:val="18"/>
                <w:szCs w:val="18"/>
                <w:lang w:val="en-US" w:eastAsia="zh-CN"/>
              </w:rPr>
              <w:t>30</w:t>
            </w:r>
            <w:r>
              <w:rPr>
                <w:rFonts w:hint="eastAsia" w:ascii="宋体" w:hAnsi="宋体" w:eastAsia="宋体" w:cs="宋体"/>
                <w:kern w:val="0"/>
                <w:sz w:val="18"/>
                <w:szCs w:val="18"/>
              </w:rPr>
              <w:t>％农村”法律明白人“培养工程。按要求完成全区20</w:t>
            </w:r>
            <w:r>
              <w:rPr>
                <w:rFonts w:hint="eastAsia" w:ascii="宋体" w:hAnsi="宋体" w:eastAsia="宋体" w:cs="宋体"/>
                <w:kern w:val="0"/>
                <w:sz w:val="18"/>
                <w:szCs w:val="18"/>
                <w:lang w:val="en-US" w:eastAsia="zh-CN"/>
              </w:rPr>
              <w:t>19</w:t>
            </w:r>
            <w:r>
              <w:rPr>
                <w:rFonts w:hint="eastAsia" w:ascii="宋体" w:hAnsi="宋体" w:eastAsia="宋体" w:cs="宋体"/>
                <w:kern w:val="0"/>
                <w:sz w:val="18"/>
                <w:szCs w:val="18"/>
              </w:rPr>
              <w:t>年度上百余件法案件，确保大部分人遇事找法，减少社会矛盾。完成20</w:t>
            </w:r>
            <w:r>
              <w:rPr>
                <w:rFonts w:hint="eastAsia" w:ascii="宋体" w:hAnsi="宋体" w:eastAsia="宋体" w:cs="宋体"/>
                <w:kern w:val="0"/>
                <w:sz w:val="18"/>
                <w:szCs w:val="18"/>
                <w:lang w:val="en-US" w:eastAsia="zh-CN"/>
              </w:rPr>
              <w:t>19</w:t>
            </w:r>
            <w:r>
              <w:rPr>
                <w:rFonts w:hint="eastAsia" w:ascii="宋体" w:hAnsi="宋体" w:eastAsia="宋体" w:cs="宋体"/>
                <w:kern w:val="0"/>
                <w:sz w:val="18"/>
                <w:szCs w:val="18"/>
              </w:rPr>
              <w:t>年”七五"普法收官</w:t>
            </w:r>
            <w:r>
              <w:rPr>
                <w:rFonts w:hint="eastAsia" w:ascii="宋体" w:hAnsi="宋体" w:cs="宋体"/>
                <w:kern w:val="0"/>
                <w:sz w:val="18"/>
                <w:szCs w:val="18"/>
                <w:lang w:eastAsia="zh-CN"/>
              </w:rPr>
              <w:t>准备</w:t>
            </w:r>
            <w:r>
              <w:rPr>
                <w:rFonts w:hint="eastAsia" w:ascii="宋体" w:hAnsi="宋体" w:eastAsia="宋体" w:cs="宋体"/>
                <w:kern w:val="0"/>
                <w:sz w:val="18"/>
                <w:szCs w:val="18"/>
              </w:rPr>
              <w:t>工作，助力法治政府建设的完成。完成2</w:t>
            </w:r>
            <w:r>
              <w:rPr>
                <w:rFonts w:hint="eastAsia" w:ascii="宋体" w:hAnsi="宋体" w:eastAsia="宋体" w:cs="宋体"/>
                <w:kern w:val="0"/>
                <w:sz w:val="18"/>
                <w:szCs w:val="18"/>
                <w:lang w:val="en-US" w:eastAsia="zh-CN"/>
              </w:rPr>
              <w:t>019</w:t>
            </w:r>
            <w:r>
              <w:rPr>
                <w:rFonts w:hint="eastAsia" w:ascii="宋体" w:hAnsi="宋体" w:eastAsia="宋体" w:cs="宋体"/>
                <w:kern w:val="0"/>
                <w:sz w:val="18"/>
                <w:szCs w:val="18"/>
              </w:rPr>
              <w:t>年人民调解任务，维护居民人身权益，防范社会风险。</w:t>
            </w:r>
          </w:p>
        </w:tc>
        <w:tc>
          <w:tcPr>
            <w:tcW w:w="2981" w:type="dxa"/>
            <w:gridSpan w:val="5"/>
            <w:tcBorders>
              <w:top w:val="single" w:color="auto" w:sz="4" w:space="0"/>
              <w:left w:val="nil"/>
              <w:bottom w:val="single" w:color="auto" w:sz="4" w:space="0"/>
              <w:right w:val="single" w:color="auto" w:sz="4" w:space="0"/>
            </w:tcBorders>
            <w:noWrap w:val="0"/>
            <w:vAlign w:val="center"/>
          </w:tcPr>
          <w:p w14:paraId="0E56B64B">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已完成</w:t>
            </w:r>
          </w:p>
        </w:tc>
      </w:tr>
      <w:tr w14:paraId="40D4960F">
        <w:tblPrEx>
          <w:tblCellMar>
            <w:top w:w="0" w:type="dxa"/>
            <w:left w:w="108" w:type="dxa"/>
            <w:bottom w:w="0" w:type="dxa"/>
            <w:right w:w="108" w:type="dxa"/>
          </w:tblCellMar>
        </w:tblPrEx>
        <w:trPr>
          <w:trHeight w:val="1613" w:hRule="exact"/>
          <w:jc w:val="center"/>
        </w:trPr>
        <w:tc>
          <w:tcPr>
            <w:tcW w:w="588" w:type="dxa"/>
            <w:vMerge w:val="restart"/>
            <w:tcBorders>
              <w:top w:val="nil"/>
              <w:left w:val="single" w:color="auto" w:sz="4" w:space="0"/>
              <w:right w:val="single" w:color="auto" w:sz="4" w:space="0"/>
            </w:tcBorders>
            <w:noWrap w:val="0"/>
            <w:vAlign w:val="center"/>
          </w:tcPr>
          <w:p w14:paraId="6D123B39">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90分</w:t>
            </w:r>
            <w:r>
              <w:rPr>
                <w:rFonts w:hint="eastAsia" w:ascii="宋体" w:hAnsi="宋体" w:eastAsia="宋体" w:cs="宋体"/>
                <w:kern w:val="0"/>
                <w:sz w:val="18"/>
                <w:szCs w:val="18"/>
                <w:lang w:eastAsia="zh-CN"/>
              </w:rPr>
              <w:t>）</w:t>
            </w:r>
          </w:p>
        </w:tc>
        <w:tc>
          <w:tcPr>
            <w:tcW w:w="980" w:type="dxa"/>
            <w:tcBorders>
              <w:top w:val="nil"/>
              <w:left w:val="nil"/>
              <w:bottom w:val="single" w:color="auto" w:sz="4" w:space="0"/>
              <w:right w:val="single" w:color="auto" w:sz="4" w:space="0"/>
            </w:tcBorders>
            <w:noWrap w:val="0"/>
            <w:vAlign w:val="center"/>
          </w:tcPr>
          <w:p w14:paraId="0483668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14:paraId="7E3F93A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14:paraId="5821E7B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271" w:type="dxa"/>
            <w:tcBorders>
              <w:top w:val="nil"/>
              <w:left w:val="nil"/>
              <w:bottom w:val="single" w:color="auto" w:sz="4" w:space="0"/>
              <w:right w:val="single" w:color="auto" w:sz="4" w:space="0"/>
            </w:tcBorders>
            <w:noWrap w:val="0"/>
            <w:vAlign w:val="center"/>
          </w:tcPr>
          <w:p w14:paraId="3203199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11F357A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713" w:type="dxa"/>
            <w:tcBorders>
              <w:top w:val="nil"/>
              <w:left w:val="nil"/>
              <w:bottom w:val="single" w:color="auto" w:sz="4" w:space="0"/>
              <w:right w:val="single" w:color="auto" w:sz="4" w:space="0"/>
            </w:tcBorders>
            <w:noWrap w:val="0"/>
            <w:vAlign w:val="center"/>
          </w:tcPr>
          <w:p w14:paraId="46BD1AB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273C9E0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611" w:type="dxa"/>
            <w:tcBorders>
              <w:top w:val="nil"/>
              <w:left w:val="nil"/>
              <w:bottom w:val="single" w:color="auto" w:sz="4" w:space="0"/>
              <w:right w:val="single" w:color="auto" w:sz="4" w:space="0"/>
            </w:tcBorders>
            <w:noWrap w:val="0"/>
            <w:vAlign w:val="center"/>
          </w:tcPr>
          <w:p w14:paraId="6A6E57F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949" w:type="dxa"/>
            <w:gridSpan w:val="2"/>
            <w:tcBorders>
              <w:top w:val="nil"/>
              <w:left w:val="nil"/>
              <w:bottom w:val="single" w:color="auto" w:sz="4" w:space="0"/>
              <w:right w:val="single" w:color="auto" w:sz="4" w:space="0"/>
            </w:tcBorders>
            <w:noWrap w:val="0"/>
            <w:vAlign w:val="center"/>
          </w:tcPr>
          <w:p w14:paraId="0F5DDDA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708" w:type="dxa"/>
            <w:tcBorders>
              <w:top w:val="single" w:color="auto" w:sz="4" w:space="0"/>
              <w:left w:val="nil"/>
              <w:bottom w:val="single" w:color="auto" w:sz="4" w:space="0"/>
              <w:right w:val="single" w:color="auto" w:sz="4" w:space="0"/>
            </w:tcBorders>
            <w:noWrap w:val="0"/>
            <w:vAlign w:val="center"/>
          </w:tcPr>
          <w:p w14:paraId="5510726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3281631C">
        <w:tblPrEx>
          <w:tblCellMar>
            <w:top w:w="0" w:type="dxa"/>
            <w:left w:w="108" w:type="dxa"/>
            <w:bottom w:w="0" w:type="dxa"/>
            <w:right w:w="108" w:type="dxa"/>
          </w:tblCellMar>
        </w:tblPrEx>
        <w:trPr>
          <w:trHeight w:val="818" w:hRule="exact"/>
          <w:jc w:val="center"/>
        </w:trPr>
        <w:tc>
          <w:tcPr>
            <w:tcW w:w="588" w:type="dxa"/>
            <w:vMerge w:val="continue"/>
            <w:tcBorders>
              <w:left w:val="single" w:color="auto" w:sz="4" w:space="0"/>
              <w:right w:val="single" w:color="auto" w:sz="4" w:space="0"/>
            </w:tcBorders>
            <w:noWrap w:val="0"/>
            <w:vAlign w:val="center"/>
          </w:tcPr>
          <w:p w14:paraId="2ED29952">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16C90963">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产出指标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50分</w:t>
            </w:r>
            <w:r>
              <w:rPr>
                <w:rFonts w:hint="eastAsia" w:ascii="宋体" w:hAnsi="宋体" w:eastAsia="宋体" w:cs="宋体"/>
                <w:kern w:val="0"/>
                <w:sz w:val="18"/>
                <w:szCs w:val="18"/>
                <w:lang w:eastAsia="zh-CN"/>
              </w:rPr>
              <w:t>）</w:t>
            </w:r>
          </w:p>
        </w:tc>
        <w:tc>
          <w:tcPr>
            <w:tcW w:w="1112" w:type="dxa"/>
            <w:vMerge w:val="restart"/>
            <w:tcBorders>
              <w:top w:val="nil"/>
              <w:left w:val="single" w:color="auto" w:sz="4" w:space="0"/>
              <w:bottom w:val="single" w:color="auto" w:sz="4" w:space="0"/>
              <w:right w:val="single" w:color="auto" w:sz="4" w:space="0"/>
            </w:tcBorders>
            <w:noWrap w:val="0"/>
            <w:vAlign w:val="center"/>
          </w:tcPr>
          <w:p w14:paraId="14576331">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数量指标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10分</w:t>
            </w:r>
            <w:r>
              <w:rPr>
                <w:rFonts w:hint="eastAsia" w:ascii="宋体" w:hAnsi="宋体" w:eastAsia="宋体" w:cs="宋体"/>
                <w:kern w:val="0"/>
                <w:sz w:val="18"/>
                <w:szCs w:val="18"/>
                <w:lang w:eastAsia="zh-CN"/>
              </w:rPr>
              <w:t>）</w:t>
            </w:r>
          </w:p>
        </w:tc>
        <w:tc>
          <w:tcPr>
            <w:tcW w:w="2148" w:type="dxa"/>
            <w:gridSpan w:val="3"/>
            <w:tcBorders>
              <w:top w:val="single" w:color="auto" w:sz="4" w:space="0"/>
              <w:left w:val="nil"/>
              <w:bottom w:val="single" w:color="auto" w:sz="4" w:space="0"/>
              <w:right w:val="single" w:color="auto" w:sz="4" w:space="0"/>
            </w:tcBorders>
            <w:noWrap w:val="0"/>
            <w:vAlign w:val="center"/>
          </w:tcPr>
          <w:p w14:paraId="2FE5895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指标1：完成全区人口总户数的</w:t>
            </w:r>
            <w:r>
              <w:rPr>
                <w:rFonts w:hint="eastAsia" w:ascii="宋体" w:hAnsi="宋体" w:cs="宋体"/>
                <w:color w:val="000000"/>
                <w:kern w:val="0"/>
                <w:sz w:val="18"/>
                <w:szCs w:val="18"/>
                <w:lang w:val="en-US" w:eastAsia="zh-CN"/>
              </w:rPr>
              <w:t>30</w:t>
            </w:r>
            <w:r>
              <w:rPr>
                <w:rFonts w:hint="eastAsia" w:ascii="宋体" w:hAnsi="宋体" w:eastAsia="宋体" w:cs="宋体"/>
                <w:color w:val="000000"/>
                <w:kern w:val="0"/>
                <w:sz w:val="18"/>
                <w:szCs w:val="18"/>
              </w:rPr>
              <w:t>％农村”法律明白人“培养工程</w:t>
            </w:r>
          </w:p>
        </w:tc>
        <w:tc>
          <w:tcPr>
            <w:tcW w:w="1271" w:type="dxa"/>
            <w:tcBorders>
              <w:top w:val="nil"/>
              <w:left w:val="nil"/>
              <w:bottom w:val="single" w:color="auto" w:sz="4" w:space="0"/>
              <w:right w:val="single" w:color="auto" w:sz="4" w:space="0"/>
            </w:tcBorders>
            <w:noWrap w:val="0"/>
            <w:vAlign w:val="center"/>
          </w:tcPr>
          <w:p w14:paraId="4725C9D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50%</w:t>
            </w:r>
          </w:p>
        </w:tc>
        <w:tc>
          <w:tcPr>
            <w:tcW w:w="713" w:type="dxa"/>
            <w:tcBorders>
              <w:top w:val="nil"/>
              <w:left w:val="nil"/>
              <w:bottom w:val="single" w:color="auto" w:sz="4" w:space="0"/>
              <w:right w:val="single" w:color="auto" w:sz="4" w:space="0"/>
            </w:tcBorders>
            <w:noWrap w:val="0"/>
            <w:vAlign w:val="center"/>
          </w:tcPr>
          <w:p w14:paraId="4115323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50%</w:t>
            </w:r>
          </w:p>
        </w:tc>
        <w:tc>
          <w:tcPr>
            <w:tcW w:w="611" w:type="dxa"/>
            <w:tcBorders>
              <w:top w:val="nil"/>
              <w:left w:val="nil"/>
              <w:bottom w:val="single" w:color="auto" w:sz="4" w:space="0"/>
              <w:right w:val="single" w:color="auto" w:sz="4" w:space="0"/>
            </w:tcBorders>
            <w:noWrap w:val="0"/>
            <w:vAlign w:val="center"/>
          </w:tcPr>
          <w:p w14:paraId="6F9DAF03">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949" w:type="dxa"/>
            <w:gridSpan w:val="2"/>
            <w:tcBorders>
              <w:top w:val="nil"/>
              <w:left w:val="nil"/>
              <w:bottom w:val="single" w:color="auto" w:sz="4" w:space="0"/>
              <w:right w:val="single" w:color="auto" w:sz="4" w:space="0"/>
            </w:tcBorders>
            <w:noWrap w:val="0"/>
            <w:vAlign w:val="center"/>
          </w:tcPr>
          <w:p w14:paraId="0F993EF8">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708" w:type="dxa"/>
            <w:tcBorders>
              <w:top w:val="single" w:color="auto" w:sz="4" w:space="0"/>
              <w:left w:val="nil"/>
              <w:bottom w:val="single" w:color="auto" w:sz="4" w:space="0"/>
              <w:right w:val="single" w:color="auto" w:sz="4" w:space="0"/>
            </w:tcBorders>
            <w:noWrap w:val="0"/>
            <w:vAlign w:val="center"/>
          </w:tcPr>
          <w:p w14:paraId="13B59040">
            <w:pPr>
              <w:widowControl/>
              <w:spacing w:line="240" w:lineRule="exact"/>
              <w:jc w:val="center"/>
              <w:rPr>
                <w:rFonts w:ascii="宋体" w:hAnsi="宋体" w:eastAsia="宋体" w:cs="宋体"/>
                <w:kern w:val="0"/>
                <w:sz w:val="18"/>
                <w:szCs w:val="18"/>
              </w:rPr>
            </w:pPr>
          </w:p>
        </w:tc>
      </w:tr>
      <w:tr w14:paraId="0442B6BB">
        <w:tblPrEx>
          <w:tblCellMar>
            <w:top w:w="0" w:type="dxa"/>
            <w:left w:w="108" w:type="dxa"/>
            <w:bottom w:w="0" w:type="dxa"/>
            <w:right w:w="108" w:type="dxa"/>
          </w:tblCellMar>
        </w:tblPrEx>
        <w:trPr>
          <w:trHeight w:val="721" w:hRule="exact"/>
          <w:jc w:val="center"/>
        </w:trPr>
        <w:tc>
          <w:tcPr>
            <w:tcW w:w="588" w:type="dxa"/>
            <w:vMerge w:val="continue"/>
            <w:tcBorders>
              <w:left w:val="single" w:color="auto" w:sz="4" w:space="0"/>
              <w:right w:val="single" w:color="auto" w:sz="4" w:space="0"/>
            </w:tcBorders>
            <w:noWrap w:val="0"/>
            <w:vAlign w:val="center"/>
          </w:tcPr>
          <w:p w14:paraId="6FF0EBF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269C58D">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3984928E">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785897B6">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指标2：完成全区20</w:t>
            </w:r>
            <w:r>
              <w:rPr>
                <w:rFonts w:hint="eastAsia" w:ascii="宋体" w:hAnsi="宋体" w:eastAsia="宋体" w:cs="宋体"/>
                <w:color w:val="000000"/>
                <w:kern w:val="0"/>
                <w:sz w:val="18"/>
                <w:szCs w:val="18"/>
                <w:lang w:val="en-US" w:eastAsia="zh-CN"/>
              </w:rPr>
              <w:t>19</w:t>
            </w:r>
            <w:r>
              <w:rPr>
                <w:rFonts w:hint="eastAsia" w:ascii="宋体" w:hAnsi="宋体" w:eastAsia="宋体" w:cs="宋体"/>
                <w:color w:val="000000"/>
                <w:kern w:val="0"/>
                <w:sz w:val="18"/>
                <w:szCs w:val="18"/>
              </w:rPr>
              <w:t>年度上百余件法律援助案件</w:t>
            </w:r>
          </w:p>
        </w:tc>
        <w:tc>
          <w:tcPr>
            <w:tcW w:w="1271" w:type="dxa"/>
            <w:tcBorders>
              <w:top w:val="nil"/>
              <w:left w:val="nil"/>
              <w:bottom w:val="single" w:color="auto" w:sz="4" w:space="0"/>
              <w:right w:val="single" w:color="auto" w:sz="4" w:space="0"/>
            </w:tcBorders>
            <w:noWrap w:val="0"/>
            <w:vAlign w:val="center"/>
          </w:tcPr>
          <w:p w14:paraId="5337DF6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100件</w:t>
            </w:r>
          </w:p>
        </w:tc>
        <w:tc>
          <w:tcPr>
            <w:tcW w:w="713" w:type="dxa"/>
            <w:tcBorders>
              <w:top w:val="nil"/>
              <w:left w:val="nil"/>
              <w:bottom w:val="single" w:color="auto" w:sz="4" w:space="0"/>
              <w:right w:val="single" w:color="auto" w:sz="4" w:space="0"/>
            </w:tcBorders>
            <w:noWrap w:val="0"/>
            <w:vAlign w:val="center"/>
          </w:tcPr>
          <w:p w14:paraId="55DF97C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100件</w:t>
            </w:r>
          </w:p>
        </w:tc>
        <w:tc>
          <w:tcPr>
            <w:tcW w:w="611" w:type="dxa"/>
            <w:tcBorders>
              <w:top w:val="nil"/>
              <w:left w:val="nil"/>
              <w:bottom w:val="single" w:color="auto" w:sz="4" w:space="0"/>
              <w:right w:val="single" w:color="auto" w:sz="4" w:space="0"/>
            </w:tcBorders>
            <w:noWrap w:val="0"/>
            <w:vAlign w:val="center"/>
          </w:tcPr>
          <w:p w14:paraId="5C2D3A1B">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949" w:type="dxa"/>
            <w:gridSpan w:val="2"/>
            <w:tcBorders>
              <w:top w:val="nil"/>
              <w:left w:val="nil"/>
              <w:bottom w:val="single" w:color="auto" w:sz="4" w:space="0"/>
              <w:right w:val="single" w:color="auto" w:sz="4" w:space="0"/>
            </w:tcBorders>
            <w:noWrap w:val="0"/>
            <w:vAlign w:val="center"/>
          </w:tcPr>
          <w:p w14:paraId="23062170">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708" w:type="dxa"/>
            <w:tcBorders>
              <w:top w:val="single" w:color="auto" w:sz="4" w:space="0"/>
              <w:left w:val="nil"/>
              <w:bottom w:val="single" w:color="auto" w:sz="4" w:space="0"/>
              <w:right w:val="single" w:color="auto" w:sz="4" w:space="0"/>
            </w:tcBorders>
            <w:noWrap w:val="0"/>
            <w:vAlign w:val="center"/>
          </w:tcPr>
          <w:p w14:paraId="75C0CAD5">
            <w:pPr>
              <w:widowControl/>
              <w:spacing w:line="240" w:lineRule="exact"/>
              <w:jc w:val="center"/>
              <w:rPr>
                <w:rFonts w:ascii="宋体" w:hAnsi="宋体" w:eastAsia="宋体" w:cs="宋体"/>
                <w:kern w:val="0"/>
                <w:sz w:val="18"/>
                <w:szCs w:val="18"/>
              </w:rPr>
            </w:pPr>
          </w:p>
        </w:tc>
      </w:tr>
      <w:tr w14:paraId="583D3914">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143DF401">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9F0B613">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3932C101">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274AF7A5">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71" w:type="dxa"/>
            <w:tcBorders>
              <w:top w:val="nil"/>
              <w:left w:val="nil"/>
              <w:bottom w:val="single" w:color="auto" w:sz="4" w:space="0"/>
              <w:right w:val="single" w:color="auto" w:sz="4" w:space="0"/>
            </w:tcBorders>
            <w:noWrap w:val="0"/>
            <w:vAlign w:val="center"/>
          </w:tcPr>
          <w:p w14:paraId="522A55DE">
            <w:pPr>
              <w:widowControl/>
              <w:spacing w:line="240" w:lineRule="exact"/>
              <w:jc w:val="center"/>
              <w:rPr>
                <w:rFonts w:ascii="宋体" w:hAnsi="宋体" w:eastAsia="宋体" w:cs="宋体"/>
                <w:kern w:val="0"/>
                <w:sz w:val="18"/>
                <w:szCs w:val="18"/>
              </w:rPr>
            </w:pPr>
          </w:p>
        </w:tc>
        <w:tc>
          <w:tcPr>
            <w:tcW w:w="713" w:type="dxa"/>
            <w:tcBorders>
              <w:top w:val="nil"/>
              <w:left w:val="nil"/>
              <w:bottom w:val="single" w:color="auto" w:sz="4" w:space="0"/>
              <w:right w:val="single" w:color="auto" w:sz="4" w:space="0"/>
            </w:tcBorders>
            <w:noWrap w:val="0"/>
            <w:vAlign w:val="center"/>
          </w:tcPr>
          <w:p w14:paraId="077EE931">
            <w:pPr>
              <w:widowControl/>
              <w:spacing w:line="240" w:lineRule="exact"/>
              <w:jc w:val="center"/>
              <w:rPr>
                <w:rFonts w:ascii="宋体" w:hAnsi="宋体" w:eastAsia="宋体" w:cs="宋体"/>
                <w:kern w:val="0"/>
                <w:sz w:val="18"/>
                <w:szCs w:val="18"/>
              </w:rPr>
            </w:pPr>
          </w:p>
        </w:tc>
        <w:tc>
          <w:tcPr>
            <w:tcW w:w="611" w:type="dxa"/>
            <w:tcBorders>
              <w:top w:val="nil"/>
              <w:left w:val="nil"/>
              <w:bottom w:val="single" w:color="auto" w:sz="4" w:space="0"/>
              <w:right w:val="single" w:color="auto" w:sz="4" w:space="0"/>
            </w:tcBorders>
            <w:noWrap w:val="0"/>
            <w:vAlign w:val="center"/>
          </w:tcPr>
          <w:p w14:paraId="31D9C027">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14:paraId="265660F0">
            <w:pPr>
              <w:widowControl/>
              <w:spacing w:line="240" w:lineRule="exact"/>
              <w:jc w:val="center"/>
              <w:rPr>
                <w:rFonts w:ascii="宋体" w:hAnsi="宋体" w:eastAsia="宋体" w:cs="宋体"/>
                <w:kern w:val="0"/>
                <w:sz w:val="18"/>
                <w:szCs w:val="18"/>
              </w:rPr>
            </w:pPr>
          </w:p>
        </w:tc>
        <w:tc>
          <w:tcPr>
            <w:tcW w:w="708" w:type="dxa"/>
            <w:tcBorders>
              <w:top w:val="single" w:color="auto" w:sz="4" w:space="0"/>
              <w:left w:val="nil"/>
              <w:bottom w:val="single" w:color="auto" w:sz="4" w:space="0"/>
              <w:right w:val="single" w:color="auto" w:sz="4" w:space="0"/>
            </w:tcBorders>
            <w:noWrap w:val="0"/>
            <w:vAlign w:val="center"/>
          </w:tcPr>
          <w:p w14:paraId="42E136E1">
            <w:pPr>
              <w:widowControl/>
              <w:spacing w:line="240" w:lineRule="exact"/>
              <w:jc w:val="center"/>
              <w:rPr>
                <w:rFonts w:ascii="宋体" w:hAnsi="宋体" w:eastAsia="宋体" w:cs="宋体"/>
                <w:kern w:val="0"/>
                <w:sz w:val="18"/>
                <w:szCs w:val="18"/>
              </w:rPr>
            </w:pPr>
          </w:p>
        </w:tc>
      </w:tr>
      <w:tr w14:paraId="60C39144">
        <w:tblPrEx>
          <w:tblCellMar>
            <w:top w:w="0" w:type="dxa"/>
            <w:left w:w="108" w:type="dxa"/>
            <w:bottom w:w="0" w:type="dxa"/>
            <w:right w:w="108" w:type="dxa"/>
          </w:tblCellMar>
        </w:tblPrEx>
        <w:trPr>
          <w:trHeight w:val="1282" w:hRule="exact"/>
          <w:jc w:val="center"/>
        </w:trPr>
        <w:tc>
          <w:tcPr>
            <w:tcW w:w="588" w:type="dxa"/>
            <w:vMerge w:val="continue"/>
            <w:tcBorders>
              <w:left w:val="single" w:color="auto" w:sz="4" w:space="0"/>
              <w:right w:val="single" w:color="auto" w:sz="4" w:space="0"/>
            </w:tcBorders>
            <w:noWrap w:val="0"/>
            <w:vAlign w:val="center"/>
          </w:tcPr>
          <w:p w14:paraId="1537D786">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11D8869">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162C900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rPr>
              <w:t>质量指标</w:t>
            </w:r>
            <w:r>
              <w:rPr>
                <w:rFonts w:hint="eastAsia" w:ascii="宋体" w:hAnsi="宋体" w:eastAsia="宋体" w:cs="宋体"/>
                <w:kern w:val="0"/>
                <w:sz w:val="18"/>
                <w:szCs w:val="18"/>
                <w:lang w:val="en-US" w:eastAsia="zh-CN"/>
              </w:rPr>
              <w:t>(10分）</w:t>
            </w:r>
          </w:p>
        </w:tc>
        <w:tc>
          <w:tcPr>
            <w:tcW w:w="2148" w:type="dxa"/>
            <w:gridSpan w:val="3"/>
            <w:tcBorders>
              <w:top w:val="single" w:color="auto" w:sz="4" w:space="0"/>
              <w:left w:val="nil"/>
              <w:bottom w:val="single" w:color="auto" w:sz="4" w:space="0"/>
              <w:right w:val="single" w:color="auto" w:sz="4" w:space="0"/>
            </w:tcBorders>
            <w:noWrap w:val="0"/>
            <w:vAlign w:val="center"/>
          </w:tcPr>
          <w:p w14:paraId="7BB930F8">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法律普及率达到</w:t>
            </w:r>
            <w:r>
              <w:rPr>
                <w:rFonts w:hint="eastAsia" w:ascii="宋体" w:hAnsi="宋体" w:eastAsia="宋体" w:cs="宋体"/>
                <w:color w:val="000000"/>
                <w:kern w:val="0"/>
                <w:sz w:val="18"/>
                <w:szCs w:val="18"/>
                <w:lang w:val="en-US" w:eastAsia="zh-CN"/>
              </w:rPr>
              <w:t>90%</w:t>
            </w:r>
          </w:p>
        </w:tc>
        <w:tc>
          <w:tcPr>
            <w:tcW w:w="1271" w:type="dxa"/>
            <w:tcBorders>
              <w:top w:val="nil"/>
              <w:left w:val="nil"/>
              <w:bottom w:val="single" w:color="auto" w:sz="4" w:space="0"/>
              <w:right w:val="single" w:color="auto" w:sz="4" w:space="0"/>
            </w:tcBorders>
            <w:noWrap w:val="0"/>
            <w:vAlign w:val="center"/>
          </w:tcPr>
          <w:p w14:paraId="4AB3848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713" w:type="dxa"/>
            <w:tcBorders>
              <w:top w:val="nil"/>
              <w:left w:val="nil"/>
              <w:bottom w:val="single" w:color="auto" w:sz="4" w:space="0"/>
              <w:right w:val="single" w:color="auto" w:sz="4" w:space="0"/>
            </w:tcBorders>
            <w:noWrap w:val="0"/>
            <w:vAlign w:val="center"/>
          </w:tcPr>
          <w:p w14:paraId="757F6FD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611" w:type="dxa"/>
            <w:tcBorders>
              <w:top w:val="nil"/>
              <w:left w:val="nil"/>
              <w:bottom w:val="single" w:color="auto" w:sz="4" w:space="0"/>
              <w:right w:val="single" w:color="auto" w:sz="4" w:space="0"/>
            </w:tcBorders>
            <w:noWrap w:val="0"/>
            <w:vAlign w:val="center"/>
          </w:tcPr>
          <w:p w14:paraId="302A31F8">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949" w:type="dxa"/>
            <w:gridSpan w:val="2"/>
            <w:tcBorders>
              <w:top w:val="nil"/>
              <w:left w:val="nil"/>
              <w:bottom w:val="single" w:color="auto" w:sz="4" w:space="0"/>
              <w:right w:val="single" w:color="auto" w:sz="4" w:space="0"/>
            </w:tcBorders>
            <w:noWrap w:val="0"/>
            <w:vAlign w:val="center"/>
          </w:tcPr>
          <w:p w14:paraId="0A5BB65C">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708" w:type="dxa"/>
            <w:tcBorders>
              <w:top w:val="single" w:color="auto" w:sz="4" w:space="0"/>
              <w:left w:val="nil"/>
              <w:bottom w:val="single" w:color="auto" w:sz="4" w:space="0"/>
              <w:right w:val="single" w:color="auto" w:sz="4" w:space="0"/>
            </w:tcBorders>
            <w:noWrap w:val="0"/>
            <w:vAlign w:val="center"/>
          </w:tcPr>
          <w:p w14:paraId="4AA21CFF">
            <w:pPr>
              <w:widowControl/>
              <w:spacing w:line="240" w:lineRule="exact"/>
              <w:jc w:val="center"/>
              <w:rPr>
                <w:rFonts w:ascii="宋体" w:hAnsi="宋体" w:eastAsia="宋体" w:cs="宋体"/>
                <w:kern w:val="0"/>
                <w:sz w:val="18"/>
                <w:szCs w:val="18"/>
              </w:rPr>
            </w:pPr>
          </w:p>
        </w:tc>
      </w:tr>
      <w:tr w14:paraId="7AA563B5">
        <w:tblPrEx>
          <w:tblCellMar>
            <w:top w:w="0" w:type="dxa"/>
            <w:left w:w="108" w:type="dxa"/>
            <w:bottom w:w="0" w:type="dxa"/>
            <w:right w:w="108" w:type="dxa"/>
          </w:tblCellMar>
        </w:tblPrEx>
        <w:trPr>
          <w:trHeight w:val="1464" w:hRule="exact"/>
          <w:jc w:val="center"/>
        </w:trPr>
        <w:tc>
          <w:tcPr>
            <w:tcW w:w="588" w:type="dxa"/>
            <w:vMerge w:val="continue"/>
            <w:tcBorders>
              <w:left w:val="single" w:color="auto" w:sz="4" w:space="0"/>
              <w:right w:val="single" w:color="auto" w:sz="4" w:space="0"/>
            </w:tcBorders>
            <w:noWrap w:val="0"/>
            <w:vAlign w:val="center"/>
          </w:tcPr>
          <w:p w14:paraId="1273C380">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B6DBF58">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6A9FA6CF">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636B96BE">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指标2：积极开展普法工作，促进社会有序发展</w:t>
            </w:r>
          </w:p>
        </w:tc>
        <w:tc>
          <w:tcPr>
            <w:tcW w:w="1271" w:type="dxa"/>
            <w:tcBorders>
              <w:top w:val="nil"/>
              <w:left w:val="nil"/>
              <w:bottom w:val="single" w:color="auto" w:sz="4" w:space="0"/>
              <w:right w:val="single" w:color="auto" w:sz="4" w:space="0"/>
            </w:tcBorders>
            <w:noWrap w:val="0"/>
            <w:vAlign w:val="center"/>
          </w:tcPr>
          <w:p w14:paraId="33484E2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维持民转刑案件为0的记录</w:t>
            </w:r>
          </w:p>
        </w:tc>
        <w:tc>
          <w:tcPr>
            <w:tcW w:w="713" w:type="dxa"/>
            <w:tcBorders>
              <w:top w:val="nil"/>
              <w:left w:val="nil"/>
              <w:bottom w:val="single" w:color="auto" w:sz="4" w:space="0"/>
              <w:right w:val="single" w:color="auto" w:sz="4" w:space="0"/>
            </w:tcBorders>
            <w:noWrap w:val="0"/>
            <w:vAlign w:val="center"/>
          </w:tcPr>
          <w:p w14:paraId="0EDFEF6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维持民转刑案件为0的记录</w:t>
            </w:r>
          </w:p>
        </w:tc>
        <w:tc>
          <w:tcPr>
            <w:tcW w:w="611" w:type="dxa"/>
            <w:tcBorders>
              <w:top w:val="nil"/>
              <w:left w:val="nil"/>
              <w:bottom w:val="single" w:color="auto" w:sz="4" w:space="0"/>
              <w:right w:val="single" w:color="auto" w:sz="4" w:space="0"/>
            </w:tcBorders>
            <w:noWrap w:val="0"/>
            <w:vAlign w:val="center"/>
          </w:tcPr>
          <w:p w14:paraId="753037C9">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949" w:type="dxa"/>
            <w:gridSpan w:val="2"/>
            <w:tcBorders>
              <w:top w:val="nil"/>
              <w:left w:val="nil"/>
              <w:bottom w:val="single" w:color="auto" w:sz="4" w:space="0"/>
              <w:right w:val="single" w:color="auto" w:sz="4" w:space="0"/>
            </w:tcBorders>
            <w:noWrap w:val="0"/>
            <w:vAlign w:val="center"/>
          </w:tcPr>
          <w:p w14:paraId="34798759">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708" w:type="dxa"/>
            <w:tcBorders>
              <w:top w:val="single" w:color="auto" w:sz="4" w:space="0"/>
              <w:left w:val="nil"/>
              <w:bottom w:val="single" w:color="auto" w:sz="4" w:space="0"/>
              <w:right w:val="single" w:color="auto" w:sz="4" w:space="0"/>
            </w:tcBorders>
            <w:noWrap w:val="0"/>
            <w:vAlign w:val="center"/>
          </w:tcPr>
          <w:p w14:paraId="1F030CFF">
            <w:pPr>
              <w:widowControl/>
              <w:spacing w:line="240" w:lineRule="exact"/>
              <w:jc w:val="center"/>
              <w:rPr>
                <w:rFonts w:ascii="宋体" w:hAnsi="宋体" w:eastAsia="宋体" w:cs="宋体"/>
                <w:kern w:val="0"/>
                <w:sz w:val="18"/>
                <w:szCs w:val="18"/>
              </w:rPr>
            </w:pPr>
          </w:p>
        </w:tc>
      </w:tr>
      <w:tr w14:paraId="32FC01B2">
        <w:tblPrEx>
          <w:tblCellMar>
            <w:top w:w="0" w:type="dxa"/>
            <w:left w:w="108" w:type="dxa"/>
            <w:bottom w:w="0" w:type="dxa"/>
            <w:right w:w="108" w:type="dxa"/>
          </w:tblCellMar>
        </w:tblPrEx>
        <w:trPr>
          <w:trHeight w:val="570" w:hRule="exact"/>
          <w:jc w:val="center"/>
        </w:trPr>
        <w:tc>
          <w:tcPr>
            <w:tcW w:w="588" w:type="dxa"/>
            <w:vMerge w:val="continue"/>
            <w:tcBorders>
              <w:left w:val="single" w:color="auto" w:sz="4" w:space="0"/>
              <w:right w:val="single" w:color="auto" w:sz="4" w:space="0"/>
            </w:tcBorders>
            <w:noWrap w:val="0"/>
            <w:vAlign w:val="center"/>
          </w:tcPr>
          <w:p w14:paraId="2D80DC4E">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0EE1EE4">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34399392">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39C5010F">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71" w:type="dxa"/>
            <w:tcBorders>
              <w:top w:val="nil"/>
              <w:left w:val="nil"/>
              <w:bottom w:val="single" w:color="auto" w:sz="4" w:space="0"/>
              <w:right w:val="single" w:color="auto" w:sz="4" w:space="0"/>
            </w:tcBorders>
            <w:noWrap w:val="0"/>
            <w:vAlign w:val="center"/>
          </w:tcPr>
          <w:p w14:paraId="4CA57C34">
            <w:pPr>
              <w:widowControl/>
              <w:spacing w:line="240" w:lineRule="exact"/>
              <w:jc w:val="center"/>
              <w:rPr>
                <w:rFonts w:ascii="宋体" w:hAnsi="宋体" w:eastAsia="宋体" w:cs="宋体"/>
                <w:kern w:val="0"/>
                <w:sz w:val="18"/>
                <w:szCs w:val="18"/>
              </w:rPr>
            </w:pPr>
          </w:p>
        </w:tc>
        <w:tc>
          <w:tcPr>
            <w:tcW w:w="713" w:type="dxa"/>
            <w:tcBorders>
              <w:top w:val="nil"/>
              <w:left w:val="nil"/>
              <w:bottom w:val="single" w:color="auto" w:sz="4" w:space="0"/>
              <w:right w:val="single" w:color="auto" w:sz="4" w:space="0"/>
            </w:tcBorders>
            <w:noWrap w:val="0"/>
            <w:vAlign w:val="center"/>
          </w:tcPr>
          <w:p w14:paraId="3DDF9798">
            <w:pPr>
              <w:widowControl/>
              <w:spacing w:line="240" w:lineRule="exact"/>
              <w:jc w:val="center"/>
              <w:rPr>
                <w:rFonts w:ascii="宋体" w:hAnsi="宋体" w:eastAsia="宋体" w:cs="宋体"/>
                <w:kern w:val="0"/>
                <w:sz w:val="18"/>
                <w:szCs w:val="18"/>
              </w:rPr>
            </w:pPr>
          </w:p>
        </w:tc>
        <w:tc>
          <w:tcPr>
            <w:tcW w:w="611" w:type="dxa"/>
            <w:tcBorders>
              <w:top w:val="nil"/>
              <w:left w:val="nil"/>
              <w:bottom w:val="single" w:color="auto" w:sz="4" w:space="0"/>
              <w:right w:val="single" w:color="auto" w:sz="4" w:space="0"/>
            </w:tcBorders>
            <w:noWrap w:val="0"/>
            <w:vAlign w:val="center"/>
          </w:tcPr>
          <w:p w14:paraId="584E8B15">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14:paraId="59073331">
            <w:pPr>
              <w:widowControl/>
              <w:spacing w:line="240" w:lineRule="exact"/>
              <w:jc w:val="center"/>
              <w:rPr>
                <w:rFonts w:ascii="宋体" w:hAnsi="宋体" w:eastAsia="宋体" w:cs="宋体"/>
                <w:kern w:val="0"/>
                <w:sz w:val="18"/>
                <w:szCs w:val="18"/>
              </w:rPr>
            </w:pPr>
          </w:p>
        </w:tc>
        <w:tc>
          <w:tcPr>
            <w:tcW w:w="708" w:type="dxa"/>
            <w:tcBorders>
              <w:top w:val="single" w:color="auto" w:sz="4" w:space="0"/>
              <w:left w:val="nil"/>
              <w:bottom w:val="single" w:color="auto" w:sz="4" w:space="0"/>
              <w:right w:val="single" w:color="auto" w:sz="4" w:space="0"/>
            </w:tcBorders>
            <w:noWrap w:val="0"/>
            <w:vAlign w:val="center"/>
          </w:tcPr>
          <w:p w14:paraId="603AE45F">
            <w:pPr>
              <w:widowControl/>
              <w:spacing w:line="240" w:lineRule="exact"/>
              <w:jc w:val="center"/>
              <w:rPr>
                <w:rFonts w:ascii="宋体" w:hAnsi="宋体" w:eastAsia="宋体" w:cs="宋体"/>
                <w:kern w:val="0"/>
                <w:sz w:val="18"/>
                <w:szCs w:val="18"/>
              </w:rPr>
            </w:pPr>
          </w:p>
        </w:tc>
      </w:tr>
      <w:tr w14:paraId="4BB04E7F">
        <w:tblPrEx>
          <w:tblCellMar>
            <w:top w:w="0" w:type="dxa"/>
            <w:left w:w="108" w:type="dxa"/>
            <w:bottom w:w="0" w:type="dxa"/>
            <w:right w:w="108" w:type="dxa"/>
          </w:tblCellMar>
        </w:tblPrEx>
        <w:trPr>
          <w:trHeight w:val="462" w:hRule="exact"/>
          <w:jc w:val="center"/>
        </w:trPr>
        <w:tc>
          <w:tcPr>
            <w:tcW w:w="588" w:type="dxa"/>
            <w:vMerge w:val="continue"/>
            <w:tcBorders>
              <w:left w:val="single" w:color="auto" w:sz="4" w:space="0"/>
              <w:right w:val="single" w:color="auto" w:sz="4" w:space="0"/>
            </w:tcBorders>
            <w:noWrap w:val="0"/>
            <w:vAlign w:val="center"/>
          </w:tcPr>
          <w:p w14:paraId="67C5425E">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40965F3">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403DFCB8">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时效指标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15分</w:t>
            </w:r>
            <w:r>
              <w:rPr>
                <w:rFonts w:hint="eastAsia" w:ascii="宋体" w:hAnsi="宋体" w:eastAsia="宋体" w:cs="宋体"/>
                <w:kern w:val="0"/>
                <w:sz w:val="18"/>
                <w:szCs w:val="18"/>
                <w:lang w:eastAsia="zh-CN"/>
              </w:rPr>
              <w:t>）</w:t>
            </w:r>
          </w:p>
        </w:tc>
        <w:tc>
          <w:tcPr>
            <w:tcW w:w="2148" w:type="dxa"/>
            <w:gridSpan w:val="3"/>
            <w:tcBorders>
              <w:top w:val="single" w:color="auto" w:sz="4" w:space="0"/>
              <w:left w:val="nil"/>
              <w:bottom w:val="single" w:color="auto" w:sz="4" w:space="0"/>
              <w:right w:val="single" w:color="auto" w:sz="4" w:space="0"/>
            </w:tcBorders>
            <w:noWrap w:val="0"/>
            <w:vAlign w:val="center"/>
          </w:tcPr>
          <w:p w14:paraId="02CC4628">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法律援助及时率</w:t>
            </w:r>
          </w:p>
        </w:tc>
        <w:tc>
          <w:tcPr>
            <w:tcW w:w="1271" w:type="dxa"/>
            <w:tcBorders>
              <w:top w:val="nil"/>
              <w:left w:val="nil"/>
              <w:bottom w:val="single" w:color="auto" w:sz="4" w:space="0"/>
              <w:right w:val="single" w:color="auto" w:sz="4" w:space="0"/>
            </w:tcBorders>
            <w:noWrap w:val="0"/>
            <w:vAlign w:val="center"/>
          </w:tcPr>
          <w:p w14:paraId="0029DD0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13" w:type="dxa"/>
            <w:tcBorders>
              <w:top w:val="nil"/>
              <w:left w:val="nil"/>
              <w:bottom w:val="single" w:color="auto" w:sz="4" w:space="0"/>
              <w:right w:val="single" w:color="auto" w:sz="4" w:space="0"/>
            </w:tcBorders>
            <w:noWrap w:val="0"/>
            <w:vAlign w:val="center"/>
          </w:tcPr>
          <w:p w14:paraId="26963FD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611" w:type="dxa"/>
            <w:tcBorders>
              <w:top w:val="nil"/>
              <w:left w:val="nil"/>
              <w:bottom w:val="single" w:color="auto" w:sz="4" w:space="0"/>
              <w:right w:val="single" w:color="auto" w:sz="4" w:space="0"/>
            </w:tcBorders>
            <w:noWrap w:val="0"/>
            <w:vAlign w:val="center"/>
          </w:tcPr>
          <w:p w14:paraId="3975E25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949" w:type="dxa"/>
            <w:gridSpan w:val="2"/>
            <w:tcBorders>
              <w:top w:val="nil"/>
              <w:left w:val="nil"/>
              <w:bottom w:val="single" w:color="auto" w:sz="4" w:space="0"/>
              <w:right w:val="single" w:color="auto" w:sz="4" w:space="0"/>
            </w:tcBorders>
            <w:noWrap w:val="0"/>
            <w:vAlign w:val="center"/>
          </w:tcPr>
          <w:p w14:paraId="57488B1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708" w:type="dxa"/>
            <w:tcBorders>
              <w:top w:val="single" w:color="auto" w:sz="4" w:space="0"/>
              <w:left w:val="nil"/>
              <w:bottom w:val="single" w:color="auto" w:sz="4" w:space="0"/>
              <w:right w:val="single" w:color="auto" w:sz="4" w:space="0"/>
            </w:tcBorders>
            <w:noWrap w:val="0"/>
            <w:vAlign w:val="center"/>
          </w:tcPr>
          <w:p w14:paraId="53E83823">
            <w:pPr>
              <w:widowControl/>
              <w:spacing w:line="240" w:lineRule="exact"/>
              <w:jc w:val="center"/>
              <w:rPr>
                <w:rFonts w:ascii="宋体" w:hAnsi="宋体" w:eastAsia="宋体" w:cs="宋体"/>
                <w:kern w:val="0"/>
                <w:sz w:val="18"/>
                <w:szCs w:val="18"/>
              </w:rPr>
            </w:pPr>
          </w:p>
        </w:tc>
      </w:tr>
      <w:tr w14:paraId="0852E1A2">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4F01590E">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9F787AA">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47C0818E">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4DE9689C">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1271" w:type="dxa"/>
            <w:tcBorders>
              <w:top w:val="nil"/>
              <w:left w:val="nil"/>
              <w:bottom w:val="single" w:color="auto" w:sz="4" w:space="0"/>
              <w:right w:val="single" w:color="auto" w:sz="4" w:space="0"/>
            </w:tcBorders>
            <w:noWrap w:val="0"/>
            <w:vAlign w:val="center"/>
          </w:tcPr>
          <w:p w14:paraId="7CF8D48D">
            <w:pPr>
              <w:widowControl/>
              <w:spacing w:line="240" w:lineRule="exact"/>
              <w:jc w:val="center"/>
              <w:rPr>
                <w:rFonts w:ascii="宋体" w:hAnsi="宋体" w:eastAsia="宋体" w:cs="宋体"/>
                <w:kern w:val="0"/>
                <w:sz w:val="18"/>
                <w:szCs w:val="18"/>
              </w:rPr>
            </w:pPr>
          </w:p>
        </w:tc>
        <w:tc>
          <w:tcPr>
            <w:tcW w:w="713" w:type="dxa"/>
            <w:tcBorders>
              <w:top w:val="nil"/>
              <w:left w:val="nil"/>
              <w:bottom w:val="single" w:color="auto" w:sz="4" w:space="0"/>
              <w:right w:val="single" w:color="auto" w:sz="4" w:space="0"/>
            </w:tcBorders>
            <w:noWrap w:val="0"/>
            <w:vAlign w:val="center"/>
          </w:tcPr>
          <w:p w14:paraId="14685FCD">
            <w:pPr>
              <w:widowControl/>
              <w:spacing w:line="240" w:lineRule="exact"/>
              <w:jc w:val="center"/>
              <w:rPr>
                <w:rFonts w:ascii="宋体" w:hAnsi="宋体" w:eastAsia="宋体" w:cs="宋体"/>
                <w:kern w:val="0"/>
                <w:sz w:val="18"/>
                <w:szCs w:val="18"/>
              </w:rPr>
            </w:pPr>
          </w:p>
        </w:tc>
        <w:tc>
          <w:tcPr>
            <w:tcW w:w="611" w:type="dxa"/>
            <w:tcBorders>
              <w:top w:val="nil"/>
              <w:left w:val="nil"/>
              <w:bottom w:val="single" w:color="auto" w:sz="4" w:space="0"/>
              <w:right w:val="single" w:color="auto" w:sz="4" w:space="0"/>
            </w:tcBorders>
            <w:noWrap w:val="0"/>
            <w:vAlign w:val="center"/>
          </w:tcPr>
          <w:p w14:paraId="5C4CC587">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14:paraId="51F75D8F">
            <w:pPr>
              <w:widowControl/>
              <w:spacing w:line="240" w:lineRule="exact"/>
              <w:jc w:val="center"/>
              <w:rPr>
                <w:rFonts w:ascii="宋体" w:hAnsi="宋体" w:eastAsia="宋体" w:cs="宋体"/>
                <w:kern w:val="0"/>
                <w:sz w:val="18"/>
                <w:szCs w:val="18"/>
              </w:rPr>
            </w:pPr>
          </w:p>
        </w:tc>
        <w:tc>
          <w:tcPr>
            <w:tcW w:w="708" w:type="dxa"/>
            <w:tcBorders>
              <w:top w:val="single" w:color="auto" w:sz="4" w:space="0"/>
              <w:left w:val="nil"/>
              <w:bottom w:val="single" w:color="auto" w:sz="4" w:space="0"/>
              <w:right w:val="single" w:color="auto" w:sz="4" w:space="0"/>
            </w:tcBorders>
            <w:noWrap w:val="0"/>
            <w:vAlign w:val="center"/>
          </w:tcPr>
          <w:p w14:paraId="2F7B2CBD">
            <w:pPr>
              <w:widowControl/>
              <w:spacing w:line="240" w:lineRule="exact"/>
              <w:jc w:val="center"/>
              <w:rPr>
                <w:rFonts w:ascii="宋体" w:hAnsi="宋体" w:eastAsia="宋体" w:cs="宋体"/>
                <w:kern w:val="0"/>
                <w:sz w:val="18"/>
                <w:szCs w:val="18"/>
              </w:rPr>
            </w:pPr>
          </w:p>
        </w:tc>
      </w:tr>
      <w:tr w14:paraId="08993CFF">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0531FE6E">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087ED83">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01DD6A4F">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3277E47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71" w:type="dxa"/>
            <w:tcBorders>
              <w:top w:val="nil"/>
              <w:left w:val="nil"/>
              <w:bottom w:val="single" w:color="auto" w:sz="4" w:space="0"/>
              <w:right w:val="single" w:color="auto" w:sz="4" w:space="0"/>
            </w:tcBorders>
            <w:noWrap w:val="0"/>
            <w:vAlign w:val="center"/>
          </w:tcPr>
          <w:p w14:paraId="0AED2777">
            <w:pPr>
              <w:widowControl/>
              <w:spacing w:line="240" w:lineRule="exact"/>
              <w:jc w:val="center"/>
              <w:rPr>
                <w:rFonts w:ascii="宋体" w:hAnsi="宋体" w:eastAsia="宋体" w:cs="宋体"/>
                <w:kern w:val="0"/>
                <w:sz w:val="18"/>
                <w:szCs w:val="18"/>
              </w:rPr>
            </w:pPr>
          </w:p>
        </w:tc>
        <w:tc>
          <w:tcPr>
            <w:tcW w:w="713" w:type="dxa"/>
            <w:tcBorders>
              <w:top w:val="nil"/>
              <w:left w:val="nil"/>
              <w:bottom w:val="single" w:color="auto" w:sz="4" w:space="0"/>
              <w:right w:val="single" w:color="auto" w:sz="4" w:space="0"/>
            </w:tcBorders>
            <w:noWrap w:val="0"/>
            <w:vAlign w:val="center"/>
          </w:tcPr>
          <w:p w14:paraId="0AD292D2">
            <w:pPr>
              <w:widowControl/>
              <w:spacing w:line="240" w:lineRule="exact"/>
              <w:jc w:val="center"/>
              <w:rPr>
                <w:rFonts w:ascii="宋体" w:hAnsi="宋体" w:eastAsia="宋体" w:cs="宋体"/>
                <w:kern w:val="0"/>
                <w:sz w:val="18"/>
                <w:szCs w:val="18"/>
              </w:rPr>
            </w:pPr>
          </w:p>
        </w:tc>
        <w:tc>
          <w:tcPr>
            <w:tcW w:w="611" w:type="dxa"/>
            <w:tcBorders>
              <w:top w:val="nil"/>
              <w:left w:val="nil"/>
              <w:bottom w:val="single" w:color="auto" w:sz="4" w:space="0"/>
              <w:right w:val="single" w:color="auto" w:sz="4" w:space="0"/>
            </w:tcBorders>
            <w:noWrap w:val="0"/>
            <w:vAlign w:val="center"/>
          </w:tcPr>
          <w:p w14:paraId="2E93BEE5">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14:paraId="5B2ECD32">
            <w:pPr>
              <w:widowControl/>
              <w:spacing w:line="240" w:lineRule="exact"/>
              <w:jc w:val="center"/>
              <w:rPr>
                <w:rFonts w:ascii="宋体" w:hAnsi="宋体" w:eastAsia="宋体" w:cs="宋体"/>
                <w:kern w:val="0"/>
                <w:sz w:val="18"/>
                <w:szCs w:val="18"/>
              </w:rPr>
            </w:pPr>
          </w:p>
        </w:tc>
        <w:tc>
          <w:tcPr>
            <w:tcW w:w="708" w:type="dxa"/>
            <w:tcBorders>
              <w:top w:val="single" w:color="auto" w:sz="4" w:space="0"/>
              <w:left w:val="nil"/>
              <w:bottom w:val="single" w:color="auto" w:sz="4" w:space="0"/>
              <w:right w:val="single" w:color="auto" w:sz="4" w:space="0"/>
            </w:tcBorders>
            <w:noWrap w:val="0"/>
            <w:vAlign w:val="center"/>
          </w:tcPr>
          <w:p w14:paraId="17438F2C">
            <w:pPr>
              <w:widowControl/>
              <w:spacing w:line="240" w:lineRule="exact"/>
              <w:jc w:val="center"/>
              <w:rPr>
                <w:rFonts w:ascii="宋体" w:hAnsi="宋体" w:eastAsia="宋体" w:cs="宋体"/>
                <w:kern w:val="0"/>
                <w:sz w:val="18"/>
                <w:szCs w:val="18"/>
              </w:rPr>
            </w:pPr>
          </w:p>
        </w:tc>
      </w:tr>
      <w:tr w14:paraId="452610A0">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5D807E69">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3D366DC">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7AAE2C71">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成本指标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15分）</w:t>
            </w:r>
            <w:r>
              <w:rPr>
                <w:rFonts w:hint="eastAsia" w:ascii="宋体" w:hAnsi="宋体" w:eastAsia="宋体" w:cs="宋体"/>
                <w:kern w:val="0"/>
                <w:sz w:val="18"/>
                <w:szCs w:val="18"/>
                <w:lang w:eastAsia="zh-CN"/>
              </w:rPr>
              <w:t>）</w:t>
            </w:r>
          </w:p>
        </w:tc>
        <w:tc>
          <w:tcPr>
            <w:tcW w:w="2148" w:type="dxa"/>
            <w:gridSpan w:val="3"/>
            <w:tcBorders>
              <w:top w:val="single" w:color="auto" w:sz="4" w:space="0"/>
              <w:left w:val="nil"/>
              <w:bottom w:val="single" w:color="auto" w:sz="4" w:space="0"/>
              <w:right w:val="single" w:color="auto" w:sz="4" w:space="0"/>
            </w:tcBorders>
            <w:noWrap w:val="0"/>
            <w:vAlign w:val="center"/>
          </w:tcPr>
          <w:p w14:paraId="338210CD">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法制宣传费用</w:t>
            </w:r>
          </w:p>
        </w:tc>
        <w:tc>
          <w:tcPr>
            <w:tcW w:w="1271" w:type="dxa"/>
            <w:tcBorders>
              <w:top w:val="nil"/>
              <w:left w:val="nil"/>
              <w:bottom w:val="single" w:color="auto" w:sz="4" w:space="0"/>
              <w:right w:val="single" w:color="auto" w:sz="4" w:space="0"/>
            </w:tcBorders>
            <w:noWrap w:val="0"/>
            <w:vAlign w:val="center"/>
          </w:tcPr>
          <w:p w14:paraId="150ACE39">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3万元</w:t>
            </w:r>
          </w:p>
        </w:tc>
        <w:tc>
          <w:tcPr>
            <w:tcW w:w="713" w:type="dxa"/>
            <w:tcBorders>
              <w:top w:val="nil"/>
              <w:left w:val="nil"/>
              <w:bottom w:val="single" w:color="auto" w:sz="4" w:space="0"/>
              <w:right w:val="single" w:color="auto" w:sz="4" w:space="0"/>
            </w:tcBorders>
            <w:noWrap w:val="0"/>
            <w:vAlign w:val="center"/>
          </w:tcPr>
          <w:p w14:paraId="18336A05">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3万元</w:t>
            </w:r>
          </w:p>
        </w:tc>
        <w:tc>
          <w:tcPr>
            <w:tcW w:w="611" w:type="dxa"/>
            <w:tcBorders>
              <w:top w:val="nil"/>
              <w:left w:val="nil"/>
              <w:bottom w:val="single" w:color="auto" w:sz="4" w:space="0"/>
              <w:right w:val="single" w:color="auto" w:sz="4" w:space="0"/>
            </w:tcBorders>
            <w:noWrap w:val="0"/>
            <w:vAlign w:val="center"/>
          </w:tcPr>
          <w:p w14:paraId="7D54AAA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949" w:type="dxa"/>
            <w:gridSpan w:val="2"/>
            <w:tcBorders>
              <w:top w:val="nil"/>
              <w:left w:val="nil"/>
              <w:bottom w:val="single" w:color="auto" w:sz="4" w:space="0"/>
              <w:right w:val="single" w:color="auto" w:sz="4" w:space="0"/>
            </w:tcBorders>
            <w:noWrap w:val="0"/>
            <w:vAlign w:val="center"/>
          </w:tcPr>
          <w:p w14:paraId="5E54527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708" w:type="dxa"/>
            <w:tcBorders>
              <w:top w:val="single" w:color="auto" w:sz="4" w:space="0"/>
              <w:left w:val="nil"/>
              <w:bottom w:val="single" w:color="auto" w:sz="4" w:space="0"/>
              <w:right w:val="single" w:color="auto" w:sz="4" w:space="0"/>
            </w:tcBorders>
            <w:noWrap w:val="0"/>
            <w:vAlign w:val="center"/>
          </w:tcPr>
          <w:p w14:paraId="19700B3B">
            <w:pPr>
              <w:widowControl/>
              <w:spacing w:line="240" w:lineRule="exact"/>
              <w:jc w:val="center"/>
              <w:rPr>
                <w:rFonts w:ascii="宋体" w:hAnsi="宋体" w:eastAsia="宋体" w:cs="宋体"/>
                <w:kern w:val="0"/>
                <w:sz w:val="18"/>
                <w:szCs w:val="18"/>
              </w:rPr>
            </w:pPr>
          </w:p>
        </w:tc>
      </w:tr>
      <w:tr w14:paraId="7C245232">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604D144A">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0DEC998A">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76BC71C4">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19A078F7">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1271" w:type="dxa"/>
            <w:tcBorders>
              <w:top w:val="nil"/>
              <w:left w:val="nil"/>
              <w:bottom w:val="single" w:color="auto" w:sz="4" w:space="0"/>
              <w:right w:val="single" w:color="auto" w:sz="4" w:space="0"/>
            </w:tcBorders>
            <w:noWrap w:val="0"/>
            <w:vAlign w:val="center"/>
          </w:tcPr>
          <w:p w14:paraId="4B3A4A49">
            <w:pPr>
              <w:widowControl/>
              <w:spacing w:line="240" w:lineRule="exact"/>
              <w:jc w:val="center"/>
              <w:rPr>
                <w:rFonts w:ascii="宋体" w:hAnsi="宋体" w:eastAsia="宋体" w:cs="宋体"/>
                <w:kern w:val="0"/>
                <w:sz w:val="18"/>
                <w:szCs w:val="18"/>
              </w:rPr>
            </w:pPr>
          </w:p>
        </w:tc>
        <w:tc>
          <w:tcPr>
            <w:tcW w:w="713" w:type="dxa"/>
            <w:tcBorders>
              <w:top w:val="nil"/>
              <w:left w:val="nil"/>
              <w:bottom w:val="single" w:color="auto" w:sz="4" w:space="0"/>
              <w:right w:val="single" w:color="auto" w:sz="4" w:space="0"/>
            </w:tcBorders>
            <w:noWrap w:val="0"/>
            <w:vAlign w:val="center"/>
          </w:tcPr>
          <w:p w14:paraId="5B020169">
            <w:pPr>
              <w:widowControl/>
              <w:spacing w:line="240" w:lineRule="exact"/>
              <w:jc w:val="center"/>
              <w:rPr>
                <w:rFonts w:ascii="宋体" w:hAnsi="宋体" w:eastAsia="宋体" w:cs="宋体"/>
                <w:kern w:val="0"/>
                <w:sz w:val="18"/>
                <w:szCs w:val="18"/>
              </w:rPr>
            </w:pPr>
          </w:p>
        </w:tc>
        <w:tc>
          <w:tcPr>
            <w:tcW w:w="611" w:type="dxa"/>
            <w:tcBorders>
              <w:top w:val="nil"/>
              <w:left w:val="nil"/>
              <w:bottom w:val="single" w:color="auto" w:sz="4" w:space="0"/>
              <w:right w:val="single" w:color="auto" w:sz="4" w:space="0"/>
            </w:tcBorders>
            <w:noWrap w:val="0"/>
            <w:vAlign w:val="center"/>
          </w:tcPr>
          <w:p w14:paraId="3C570E4B">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14:paraId="61AFC828">
            <w:pPr>
              <w:widowControl/>
              <w:spacing w:line="240" w:lineRule="exact"/>
              <w:jc w:val="center"/>
              <w:rPr>
                <w:rFonts w:ascii="宋体" w:hAnsi="宋体" w:eastAsia="宋体" w:cs="宋体"/>
                <w:kern w:val="0"/>
                <w:sz w:val="18"/>
                <w:szCs w:val="18"/>
              </w:rPr>
            </w:pPr>
          </w:p>
        </w:tc>
        <w:tc>
          <w:tcPr>
            <w:tcW w:w="708" w:type="dxa"/>
            <w:tcBorders>
              <w:top w:val="single" w:color="auto" w:sz="4" w:space="0"/>
              <w:left w:val="nil"/>
              <w:bottom w:val="single" w:color="auto" w:sz="4" w:space="0"/>
              <w:right w:val="single" w:color="auto" w:sz="4" w:space="0"/>
            </w:tcBorders>
            <w:noWrap w:val="0"/>
            <w:vAlign w:val="center"/>
          </w:tcPr>
          <w:p w14:paraId="6FAD54FA">
            <w:pPr>
              <w:widowControl/>
              <w:spacing w:line="240" w:lineRule="exact"/>
              <w:jc w:val="center"/>
              <w:rPr>
                <w:rFonts w:ascii="宋体" w:hAnsi="宋体" w:eastAsia="宋体" w:cs="宋体"/>
                <w:kern w:val="0"/>
                <w:sz w:val="18"/>
                <w:szCs w:val="18"/>
              </w:rPr>
            </w:pPr>
          </w:p>
        </w:tc>
      </w:tr>
      <w:tr w14:paraId="1B75FB36">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72B150CF">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D814C39">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3474030C">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2AB380C3">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71" w:type="dxa"/>
            <w:tcBorders>
              <w:top w:val="nil"/>
              <w:left w:val="nil"/>
              <w:bottom w:val="single" w:color="auto" w:sz="4" w:space="0"/>
              <w:right w:val="single" w:color="auto" w:sz="4" w:space="0"/>
            </w:tcBorders>
            <w:noWrap w:val="0"/>
            <w:vAlign w:val="center"/>
          </w:tcPr>
          <w:p w14:paraId="39D638F4">
            <w:pPr>
              <w:widowControl/>
              <w:spacing w:line="240" w:lineRule="exact"/>
              <w:jc w:val="center"/>
              <w:rPr>
                <w:rFonts w:ascii="宋体" w:hAnsi="宋体" w:eastAsia="宋体" w:cs="宋体"/>
                <w:kern w:val="0"/>
                <w:sz w:val="18"/>
                <w:szCs w:val="18"/>
              </w:rPr>
            </w:pPr>
          </w:p>
        </w:tc>
        <w:tc>
          <w:tcPr>
            <w:tcW w:w="713" w:type="dxa"/>
            <w:tcBorders>
              <w:top w:val="nil"/>
              <w:left w:val="nil"/>
              <w:bottom w:val="single" w:color="auto" w:sz="4" w:space="0"/>
              <w:right w:val="single" w:color="auto" w:sz="4" w:space="0"/>
            </w:tcBorders>
            <w:noWrap w:val="0"/>
            <w:vAlign w:val="center"/>
          </w:tcPr>
          <w:p w14:paraId="1FDE5422">
            <w:pPr>
              <w:widowControl/>
              <w:spacing w:line="240" w:lineRule="exact"/>
              <w:jc w:val="center"/>
              <w:rPr>
                <w:rFonts w:ascii="宋体" w:hAnsi="宋体" w:eastAsia="宋体" w:cs="宋体"/>
                <w:kern w:val="0"/>
                <w:sz w:val="18"/>
                <w:szCs w:val="18"/>
              </w:rPr>
            </w:pPr>
          </w:p>
        </w:tc>
        <w:tc>
          <w:tcPr>
            <w:tcW w:w="611" w:type="dxa"/>
            <w:tcBorders>
              <w:top w:val="nil"/>
              <w:left w:val="nil"/>
              <w:bottom w:val="single" w:color="auto" w:sz="4" w:space="0"/>
              <w:right w:val="single" w:color="auto" w:sz="4" w:space="0"/>
            </w:tcBorders>
            <w:noWrap w:val="0"/>
            <w:vAlign w:val="center"/>
          </w:tcPr>
          <w:p w14:paraId="19110A99">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14:paraId="3589A284">
            <w:pPr>
              <w:widowControl/>
              <w:spacing w:line="240" w:lineRule="exact"/>
              <w:jc w:val="center"/>
              <w:rPr>
                <w:rFonts w:ascii="宋体" w:hAnsi="宋体" w:eastAsia="宋体" w:cs="宋体"/>
                <w:kern w:val="0"/>
                <w:sz w:val="18"/>
                <w:szCs w:val="18"/>
              </w:rPr>
            </w:pPr>
          </w:p>
        </w:tc>
        <w:tc>
          <w:tcPr>
            <w:tcW w:w="708" w:type="dxa"/>
            <w:tcBorders>
              <w:top w:val="single" w:color="auto" w:sz="4" w:space="0"/>
              <w:left w:val="nil"/>
              <w:bottom w:val="single" w:color="auto" w:sz="4" w:space="0"/>
              <w:right w:val="single" w:color="auto" w:sz="4" w:space="0"/>
            </w:tcBorders>
            <w:noWrap w:val="0"/>
            <w:vAlign w:val="center"/>
          </w:tcPr>
          <w:p w14:paraId="61EEE15C">
            <w:pPr>
              <w:widowControl/>
              <w:spacing w:line="240" w:lineRule="exact"/>
              <w:jc w:val="center"/>
              <w:rPr>
                <w:rFonts w:ascii="宋体" w:hAnsi="宋体" w:eastAsia="宋体" w:cs="宋体"/>
                <w:kern w:val="0"/>
                <w:sz w:val="18"/>
                <w:szCs w:val="18"/>
              </w:rPr>
            </w:pPr>
          </w:p>
        </w:tc>
      </w:tr>
      <w:tr w14:paraId="259E85D5">
        <w:tblPrEx>
          <w:tblCellMar>
            <w:top w:w="0" w:type="dxa"/>
            <w:left w:w="108" w:type="dxa"/>
            <w:bottom w:w="0" w:type="dxa"/>
            <w:right w:w="108" w:type="dxa"/>
          </w:tblCellMar>
        </w:tblPrEx>
        <w:trPr>
          <w:trHeight w:val="3678" w:hRule="exact"/>
          <w:jc w:val="center"/>
        </w:trPr>
        <w:tc>
          <w:tcPr>
            <w:tcW w:w="588" w:type="dxa"/>
            <w:vMerge w:val="continue"/>
            <w:tcBorders>
              <w:left w:val="single" w:color="auto" w:sz="4" w:space="0"/>
              <w:right w:val="single" w:color="auto" w:sz="4" w:space="0"/>
            </w:tcBorders>
            <w:noWrap w:val="0"/>
            <w:vAlign w:val="center"/>
          </w:tcPr>
          <w:p w14:paraId="78C383D7">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75E6CA6B">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效益指标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30分</w:t>
            </w:r>
            <w:r>
              <w:rPr>
                <w:rFonts w:hint="eastAsia" w:ascii="宋体" w:hAnsi="宋体" w:eastAsia="宋体" w:cs="宋体"/>
                <w:kern w:val="0"/>
                <w:sz w:val="18"/>
                <w:szCs w:val="18"/>
                <w:lang w:eastAsia="zh-CN"/>
              </w:rPr>
              <w:t>）</w:t>
            </w:r>
          </w:p>
        </w:tc>
        <w:tc>
          <w:tcPr>
            <w:tcW w:w="1112" w:type="dxa"/>
            <w:vMerge w:val="restart"/>
            <w:tcBorders>
              <w:top w:val="single" w:color="auto" w:sz="4" w:space="0"/>
              <w:left w:val="single" w:color="auto" w:sz="4" w:space="0"/>
              <w:right w:val="single" w:color="auto" w:sz="4" w:space="0"/>
            </w:tcBorders>
            <w:noWrap w:val="0"/>
            <w:vAlign w:val="center"/>
          </w:tcPr>
          <w:p w14:paraId="49A7D50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6B2E0173">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15分</w:t>
            </w:r>
            <w:r>
              <w:rPr>
                <w:rFonts w:hint="eastAsia" w:ascii="宋体" w:hAnsi="宋体" w:eastAsia="宋体" w:cs="宋体"/>
                <w:kern w:val="0"/>
                <w:sz w:val="18"/>
                <w:szCs w:val="18"/>
                <w:lang w:eastAsia="zh-CN"/>
              </w:rPr>
              <w:t>）</w:t>
            </w:r>
          </w:p>
        </w:tc>
        <w:tc>
          <w:tcPr>
            <w:tcW w:w="2148" w:type="dxa"/>
            <w:gridSpan w:val="3"/>
            <w:tcBorders>
              <w:top w:val="single" w:color="auto" w:sz="4" w:space="0"/>
              <w:left w:val="nil"/>
              <w:bottom w:val="single" w:color="auto" w:sz="4" w:space="0"/>
              <w:right w:val="single" w:color="auto" w:sz="4" w:space="0"/>
            </w:tcBorders>
            <w:noWrap w:val="0"/>
            <w:vAlign w:val="center"/>
          </w:tcPr>
          <w:p w14:paraId="24ACB603">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开展人民大调解，把社会矛盾化解在基层，把矛盾消灭在萌芽状态，防止矛盾激化，维护社会和谐稳定</w:t>
            </w:r>
          </w:p>
        </w:tc>
        <w:tc>
          <w:tcPr>
            <w:tcW w:w="1271" w:type="dxa"/>
            <w:tcBorders>
              <w:top w:val="nil"/>
              <w:left w:val="nil"/>
              <w:bottom w:val="single" w:color="auto" w:sz="4" w:space="0"/>
              <w:right w:val="single" w:color="auto" w:sz="4" w:space="0"/>
            </w:tcBorders>
            <w:noWrap w:val="0"/>
            <w:vAlign w:val="center"/>
          </w:tcPr>
          <w:p w14:paraId="4697F7AC">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认真办理每一件人民调解案件，让有需要的人都得到人民调解的帮助</w:t>
            </w:r>
          </w:p>
        </w:tc>
        <w:tc>
          <w:tcPr>
            <w:tcW w:w="713" w:type="dxa"/>
            <w:tcBorders>
              <w:top w:val="nil"/>
              <w:left w:val="nil"/>
              <w:bottom w:val="single" w:color="auto" w:sz="4" w:space="0"/>
              <w:right w:val="single" w:color="auto" w:sz="4" w:space="0"/>
            </w:tcBorders>
            <w:noWrap w:val="0"/>
            <w:vAlign w:val="center"/>
          </w:tcPr>
          <w:p w14:paraId="3FB397A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认真办理每一件人民调解案件，让有需要的人都得到人民调解的帮助</w:t>
            </w:r>
          </w:p>
        </w:tc>
        <w:tc>
          <w:tcPr>
            <w:tcW w:w="611" w:type="dxa"/>
            <w:tcBorders>
              <w:top w:val="nil"/>
              <w:left w:val="nil"/>
              <w:bottom w:val="single" w:color="auto" w:sz="4" w:space="0"/>
              <w:right w:val="single" w:color="auto" w:sz="4" w:space="0"/>
            </w:tcBorders>
            <w:noWrap w:val="0"/>
            <w:vAlign w:val="center"/>
          </w:tcPr>
          <w:p w14:paraId="184D47B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949" w:type="dxa"/>
            <w:gridSpan w:val="2"/>
            <w:tcBorders>
              <w:top w:val="nil"/>
              <w:left w:val="nil"/>
              <w:bottom w:val="single" w:color="auto" w:sz="4" w:space="0"/>
              <w:right w:val="single" w:color="auto" w:sz="4" w:space="0"/>
            </w:tcBorders>
            <w:noWrap w:val="0"/>
            <w:vAlign w:val="center"/>
          </w:tcPr>
          <w:p w14:paraId="70EE199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w:t>
            </w:r>
          </w:p>
        </w:tc>
        <w:tc>
          <w:tcPr>
            <w:tcW w:w="708" w:type="dxa"/>
            <w:tcBorders>
              <w:top w:val="single" w:color="auto" w:sz="4" w:space="0"/>
              <w:left w:val="nil"/>
              <w:bottom w:val="single" w:color="auto" w:sz="4" w:space="0"/>
              <w:right w:val="single" w:color="auto" w:sz="4" w:space="0"/>
            </w:tcBorders>
            <w:noWrap w:val="0"/>
            <w:vAlign w:val="center"/>
          </w:tcPr>
          <w:p w14:paraId="3CC5290B">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普法工作持续进行中，全民知法守法意识的提高有个过程，正在不断加强。</w:t>
            </w:r>
          </w:p>
        </w:tc>
      </w:tr>
      <w:tr w14:paraId="66D69C07">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117696EA">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50E02E5">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right w:val="single" w:color="auto" w:sz="4" w:space="0"/>
            </w:tcBorders>
            <w:noWrap w:val="0"/>
            <w:vAlign w:val="center"/>
          </w:tcPr>
          <w:p w14:paraId="1B52E370">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7AC3A307">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1271" w:type="dxa"/>
            <w:tcBorders>
              <w:top w:val="nil"/>
              <w:left w:val="nil"/>
              <w:bottom w:val="single" w:color="auto" w:sz="4" w:space="0"/>
              <w:right w:val="single" w:color="auto" w:sz="4" w:space="0"/>
            </w:tcBorders>
            <w:noWrap w:val="0"/>
            <w:vAlign w:val="center"/>
          </w:tcPr>
          <w:p w14:paraId="1A19AE2D">
            <w:pPr>
              <w:widowControl/>
              <w:spacing w:line="240" w:lineRule="exact"/>
              <w:jc w:val="center"/>
              <w:rPr>
                <w:rFonts w:ascii="宋体" w:hAnsi="宋体" w:eastAsia="宋体" w:cs="宋体"/>
                <w:kern w:val="0"/>
                <w:sz w:val="18"/>
                <w:szCs w:val="18"/>
              </w:rPr>
            </w:pPr>
          </w:p>
        </w:tc>
        <w:tc>
          <w:tcPr>
            <w:tcW w:w="713" w:type="dxa"/>
            <w:tcBorders>
              <w:top w:val="nil"/>
              <w:left w:val="nil"/>
              <w:bottom w:val="single" w:color="auto" w:sz="4" w:space="0"/>
              <w:right w:val="single" w:color="auto" w:sz="4" w:space="0"/>
            </w:tcBorders>
            <w:noWrap w:val="0"/>
            <w:vAlign w:val="center"/>
          </w:tcPr>
          <w:p w14:paraId="44FAAD87">
            <w:pPr>
              <w:widowControl/>
              <w:spacing w:line="240" w:lineRule="exact"/>
              <w:jc w:val="center"/>
              <w:rPr>
                <w:rFonts w:ascii="宋体" w:hAnsi="宋体" w:eastAsia="宋体" w:cs="宋体"/>
                <w:kern w:val="0"/>
                <w:sz w:val="18"/>
                <w:szCs w:val="18"/>
              </w:rPr>
            </w:pPr>
          </w:p>
        </w:tc>
        <w:tc>
          <w:tcPr>
            <w:tcW w:w="611" w:type="dxa"/>
            <w:tcBorders>
              <w:top w:val="nil"/>
              <w:left w:val="nil"/>
              <w:bottom w:val="single" w:color="auto" w:sz="4" w:space="0"/>
              <w:right w:val="single" w:color="auto" w:sz="4" w:space="0"/>
            </w:tcBorders>
            <w:noWrap w:val="0"/>
            <w:vAlign w:val="center"/>
          </w:tcPr>
          <w:p w14:paraId="676B4E9E">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14:paraId="68CD2377">
            <w:pPr>
              <w:widowControl/>
              <w:spacing w:line="240" w:lineRule="exact"/>
              <w:jc w:val="center"/>
              <w:rPr>
                <w:rFonts w:ascii="宋体" w:hAnsi="宋体" w:eastAsia="宋体" w:cs="宋体"/>
                <w:kern w:val="0"/>
                <w:sz w:val="18"/>
                <w:szCs w:val="18"/>
              </w:rPr>
            </w:pPr>
          </w:p>
        </w:tc>
        <w:tc>
          <w:tcPr>
            <w:tcW w:w="708" w:type="dxa"/>
            <w:tcBorders>
              <w:top w:val="single" w:color="auto" w:sz="4" w:space="0"/>
              <w:left w:val="nil"/>
              <w:bottom w:val="single" w:color="auto" w:sz="4" w:space="0"/>
              <w:right w:val="single" w:color="auto" w:sz="4" w:space="0"/>
            </w:tcBorders>
            <w:noWrap w:val="0"/>
            <w:vAlign w:val="center"/>
          </w:tcPr>
          <w:p w14:paraId="71D52513">
            <w:pPr>
              <w:widowControl/>
              <w:spacing w:line="240" w:lineRule="exact"/>
              <w:jc w:val="center"/>
              <w:rPr>
                <w:rFonts w:ascii="宋体" w:hAnsi="宋体" w:eastAsia="宋体" w:cs="宋体"/>
                <w:kern w:val="0"/>
                <w:sz w:val="18"/>
                <w:szCs w:val="18"/>
              </w:rPr>
            </w:pPr>
          </w:p>
        </w:tc>
      </w:tr>
      <w:tr w14:paraId="0F780CA4">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4C0AAC02">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309F2A81">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bottom w:val="single" w:color="auto" w:sz="4" w:space="0"/>
              <w:right w:val="single" w:color="auto" w:sz="4" w:space="0"/>
            </w:tcBorders>
            <w:noWrap w:val="0"/>
            <w:vAlign w:val="center"/>
          </w:tcPr>
          <w:p w14:paraId="2679499C">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6D611F77">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71" w:type="dxa"/>
            <w:tcBorders>
              <w:top w:val="nil"/>
              <w:left w:val="nil"/>
              <w:bottom w:val="single" w:color="auto" w:sz="4" w:space="0"/>
              <w:right w:val="single" w:color="auto" w:sz="4" w:space="0"/>
            </w:tcBorders>
            <w:noWrap w:val="0"/>
            <w:vAlign w:val="center"/>
          </w:tcPr>
          <w:p w14:paraId="4CA861DB">
            <w:pPr>
              <w:widowControl/>
              <w:spacing w:line="240" w:lineRule="exact"/>
              <w:jc w:val="center"/>
              <w:rPr>
                <w:rFonts w:ascii="宋体" w:hAnsi="宋体" w:eastAsia="宋体" w:cs="宋体"/>
                <w:kern w:val="0"/>
                <w:sz w:val="18"/>
                <w:szCs w:val="18"/>
              </w:rPr>
            </w:pPr>
          </w:p>
        </w:tc>
        <w:tc>
          <w:tcPr>
            <w:tcW w:w="713" w:type="dxa"/>
            <w:tcBorders>
              <w:top w:val="nil"/>
              <w:left w:val="nil"/>
              <w:bottom w:val="single" w:color="auto" w:sz="4" w:space="0"/>
              <w:right w:val="single" w:color="auto" w:sz="4" w:space="0"/>
            </w:tcBorders>
            <w:noWrap w:val="0"/>
            <w:vAlign w:val="center"/>
          </w:tcPr>
          <w:p w14:paraId="3E3F7D5E">
            <w:pPr>
              <w:widowControl/>
              <w:spacing w:line="240" w:lineRule="exact"/>
              <w:jc w:val="center"/>
              <w:rPr>
                <w:rFonts w:ascii="宋体" w:hAnsi="宋体" w:eastAsia="宋体" w:cs="宋体"/>
                <w:kern w:val="0"/>
                <w:sz w:val="18"/>
                <w:szCs w:val="18"/>
              </w:rPr>
            </w:pPr>
          </w:p>
        </w:tc>
        <w:tc>
          <w:tcPr>
            <w:tcW w:w="611" w:type="dxa"/>
            <w:tcBorders>
              <w:top w:val="nil"/>
              <w:left w:val="nil"/>
              <w:bottom w:val="single" w:color="auto" w:sz="4" w:space="0"/>
              <w:right w:val="single" w:color="auto" w:sz="4" w:space="0"/>
            </w:tcBorders>
            <w:noWrap w:val="0"/>
            <w:vAlign w:val="center"/>
          </w:tcPr>
          <w:p w14:paraId="0112CE80">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14:paraId="17690936">
            <w:pPr>
              <w:widowControl/>
              <w:spacing w:line="240" w:lineRule="exact"/>
              <w:jc w:val="center"/>
              <w:rPr>
                <w:rFonts w:ascii="宋体" w:hAnsi="宋体" w:eastAsia="宋体" w:cs="宋体"/>
                <w:kern w:val="0"/>
                <w:sz w:val="18"/>
                <w:szCs w:val="18"/>
              </w:rPr>
            </w:pPr>
          </w:p>
        </w:tc>
        <w:tc>
          <w:tcPr>
            <w:tcW w:w="708" w:type="dxa"/>
            <w:tcBorders>
              <w:top w:val="single" w:color="auto" w:sz="4" w:space="0"/>
              <w:left w:val="nil"/>
              <w:bottom w:val="single" w:color="auto" w:sz="4" w:space="0"/>
              <w:right w:val="single" w:color="auto" w:sz="4" w:space="0"/>
            </w:tcBorders>
            <w:noWrap w:val="0"/>
            <w:vAlign w:val="center"/>
          </w:tcPr>
          <w:p w14:paraId="50C4FA23">
            <w:pPr>
              <w:widowControl/>
              <w:spacing w:line="240" w:lineRule="exact"/>
              <w:jc w:val="center"/>
              <w:rPr>
                <w:rFonts w:ascii="宋体" w:hAnsi="宋体" w:eastAsia="宋体" w:cs="宋体"/>
                <w:kern w:val="0"/>
                <w:sz w:val="18"/>
                <w:szCs w:val="18"/>
              </w:rPr>
            </w:pPr>
          </w:p>
        </w:tc>
      </w:tr>
      <w:tr w14:paraId="6A5E9BBE">
        <w:tblPrEx>
          <w:tblCellMar>
            <w:top w:w="0" w:type="dxa"/>
            <w:left w:w="108" w:type="dxa"/>
            <w:bottom w:w="0" w:type="dxa"/>
            <w:right w:w="108" w:type="dxa"/>
          </w:tblCellMar>
        </w:tblPrEx>
        <w:trPr>
          <w:trHeight w:val="775" w:hRule="exact"/>
          <w:jc w:val="center"/>
        </w:trPr>
        <w:tc>
          <w:tcPr>
            <w:tcW w:w="588" w:type="dxa"/>
            <w:vMerge w:val="continue"/>
            <w:tcBorders>
              <w:left w:val="single" w:color="auto" w:sz="4" w:space="0"/>
              <w:right w:val="single" w:color="auto" w:sz="4" w:space="0"/>
            </w:tcBorders>
            <w:noWrap w:val="0"/>
            <w:vAlign w:val="center"/>
          </w:tcPr>
          <w:p w14:paraId="49AB1B71">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D1B18AD">
            <w:pPr>
              <w:widowControl/>
              <w:spacing w:line="240" w:lineRule="exact"/>
              <w:jc w:val="center"/>
              <w:rPr>
                <w:rFonts w:ascii="宋体" w:hAnsi="宋体" w:eastAsia="宋体" w:cs="宋体"/>
                <w:kern w:val="0"/>
                <w:sz w:val="18"/>
                <w:szCs w:val="18"/>
              </w:rPr>
            </w:pPr>
          </w:p>
        </w:tc>
        <w:tc>
          <w:tcPr>
            <w:tcW w:w="1112" w:type="dxa"/>
            <w:vMerge w:val="restart"/>
            <w:tcBorders>
              <w:top w:val="single" w:color="auto" w:sz="4" w:space="0"/>
              <w:left w:val="single" w:color="auto" w:sz="4" w:space="0"/>
              <w:bottom w:val="single" w:color="auto" w:sz="4" w:space="0"/>
              <w:right w:val="single" w:color="auto" w:sz="4" w:space="0"/>
            </w:tcBorders>
            <w:noWrap w:val="0"/>
            <w:vAlign w:val="center"/>
          </w:tcPr>
          <w:p w14:paraId="776AACF3">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可持续影响指标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15分</w:t>
            </w:r>
            <w:r>
              <w:rPr>
                <w:rFonts w:hint="eastAsia" w:ascii="宋体" w:hAnsi="宋体" w:eastAsia="宋体" w:cs="宋体"/>
                <w:kern w:val="0"/>
                <w:sz w:val="18"/>
                <w:szCs w:val="18"/>
                <w:lang w:eastAsia="zh-CN"/>
              </w:rPr>
              <w:t>）</w:t>
            </w:r>
          </w:p>
        </w:tc>
        <w:tc>
          <w:tcPr>
            <w:tcW w:w="2148" w:type="dxa"/>
            <w:gridSpan w:val="3"/>
            <w:tcBorders>
              <w:top w:val="single" w:color="auto" w:sz="4" w:space="0"/>
              <w:left w:val="nil"/>
              <w:bottom w:val="single" w:color="auto" w:sz="4" w:space="0"/>
              <w:right w:val="single" w:color="auto" w:sz="4" w:space="0"/>
            </w:tcBorders>
            <w:noWrap w:val="0"/>
            <w:vAlign w:val="center"/>
          </w:tcPr>
          <w:p w14:paraId="4C8D62D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指标1：改善社会综合治理矛盾</w:t>
            </w:r>
          </w:p>
        </w:tc>
        <w:tc>
          <w:tcPr>
            <w:tcW w:w="1271" w:type="dxa"/>
            <w:tcBorders>
              <w:top w:val="nil"/>
              <w:left w:val="nil"/>
              <w:bottom w:val="single" w:color="auto" w:sz="4" w:space="0"/>
              <w:right w:val="single" w:color="auto" w:sz="4" w:space="0"/>
            </w:tcBorders>
            <w:noWrap w:val="0"/>
            <w:vAlign w:val="center"/>
          </w:tcPr>
          <w:p w14:paraId="7922235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长期并坚持</w:t>
            </w:r>
          </w:p>
        </w:tc>
        <w:tc>
          <w:tcPr>
            <w:tcW w:w="713" w:type="dxa"/>
            <w:tcBorders>
              <w:top w:val="nil"/>
              <w:left w:val="nil"/>
              <w:bottom w:val="single" w:color="auto" w:sz="4" w:space="0"/>
              <w:right w:val="single" w:color="auto" w:sz="4" w:space="0"/>
            </w:tcBorders>
            <w:noWrap w:val="0"/>
            <w:vAlign w:val="center"/>
          </w:tcPr>
          <w:p w14:paraId="0C46D9A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长期并坚持</w:t>
            </w:r>
          </w:p>
        </w:tc>
        <w:tc>
          <w:tcPr>
            <w:tcW w:w="611" w:type="dxa"/>
            <w:tcBorders>
              <w:top w:val="nil"/>
              <w:left w:val="nil"/>
              <w:bottom w:val="single" w:color="auto" w:sz="4" w:space="0"/>
              <w:right w:val="single" w:color="auto" w:sz="4" w:space="0"/>
            </w:tcBorders>
            <w:noWrap w:val="0"/>
            <w:vAlign w:val="center"/>
          </w:tcPr>
          <w:p w14:paraId="0246E0B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949" w:type="dxa"/>
            <w:gridSpan w:val="2"/>
            <w:tcBorders>
              <w:top w:val="nil"/>
              <w:left w:val="nil"/>
              <w:bottom w:val="single" w:color="auto" w:sz="4" w:space="0"/>
              <w:right w:val="single" w:color="auto" w:sz="4" w:space="0"/>
            </w:tcBorders>
            <w:noWrap w:val="0"/>
            <w:vAlign w:val="center"/>
          </w:tcPr>
          <w:p w14:paraId="3A4A40E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708" w:type="dxa"/>
            <w:tcBorders>
              <w:top w:val="single" w:color="auto" w:sz="4" w:space="0"/>
              <w:left w:val="nil"/>
              <w:bottom w:val="single" w:color="auto" w:sz="4" w:space="0"/>
              <w:right w:val="single" w:color="auto" w:sz="4" w:space="0"/>
            </w:tcBorders>
            <w:noWrap w:val="0"/>
            <w:vAlign w:val="center"/>
          </w:tcPr>
          <w:p w14:paraId="12D5F60B">
            <w:pPr>
              <w:widowControl/>
              <w:spacing w:line="240" w:lineRule="exact"/>
              <w:jc w:val="center"/>
              <w:rPr>
                <w:rFonts w:ascii="宋体" w:hAnsi="宋体" w:eastAsia="宋体" w:cs="宋体"/>
                <w:kern w:val="0"/>
                <w:sz w:val="18"/>
                <w:szCs w:val="18"/>
              </w:rPr>
            </w:pPr>
          </w:p>
        </w:tc>
      </w:tr>
      <w:tr w14:paraId="059B00CF">
        <w:tblPrEx>
          <w:tblCellMar>
            <w:top w:w="0" w:type="dxa"/>
            <w:left w:w="108" w:type="dxa"/>
            <w:bottom w:w="0" w:type="dxa"/>
            <w:right w:w="108" w:type="dxa"/>
          </w:tblCellMar>
        </w:tblPrEx>
        <w:trPr>
          <w:trHeight w:val="3840" w:hRule="exact"/>
          <w:jc w:val="center"/>
        </w:trPr>
        <w:tc>
          <w:tcPr>
            <w:tcW w:w="588" w:type="dxa"/>
            <w:vMerge w:val="continue"/>
            <w:tcBorders>
              <w:left w:val="single" w:color="auto" w:sz="4" w:space="0"/>
              <w:right w:val="single" w:color="auto" w:sz="4" w:space="0"/>
            </w:tcBorders>
            <w:noWrap w:val="0"/>
            <w:vAlign w:val="center"/>
          </w:tcPr>
          <w:p w14:paraId="12AA5685">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38A7C7B3">
            <w:pPr>
              <w:widowControl/>
              <w:spacing w:line="240" w:lineRule="exact"/>
              <w:jc w:val="center"/>
              <w:rPr>
                <w:rFonts w:ascii="宋体" w:hAnsi="宋体" w:eastAsia="宋体" w:cs="宋体"/>
                <w:kern w:val="0"/>
                <w:sz w:val="18"/>
                <w:szCs w:val="18"/>
              </w:rPr>
            </w:pPr>
          </w:p>
        </w:tc>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14:paraId="361CED84">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451A90B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指标2：提高全民知法守法意识</w:t>
            </w:r>
          </w:p>
        </w:tc>
        <w:tc>
          <w:tcPr>
            <w:tcW w:w="1271" w:type="dxa"/>
            <w:tcBorders>
              <w:top w:val="nil"/>
              <w:left w:val="nil"/>
              <w:bottom w:val="single" w:color="auto" w:sz="4" w:space="0"/>
              <w:right w:val="single" w:color="auto" w:sz="4" w:space="0"/>
            </w:tcBorders>
            <w:noWrap w:val="0"/>
            <w:vAlign w:val="center"/>
          </w:tcPr>
          <w:p w14:paraId="2455930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长期并坚持</w:t>
            </w:r>
          </w:p>
        </w:tc>
        <w:tc>
          <w:tcPr>
            <w:tcW w:w="713" w:type="dxa"/>
            <w:tcBorders>
              <w:top w:val="nil"/>
              <w:left w:val="nil"/>
              <w:bottom w:val="single" w:color="auto" w:sz="4" w:space="0"/>
              <w:right w:val="single" w:color="auto" w:sz="4" w:space="0"/>
            </w:tcBorders>
            <w:noWrap w:val="0"/>
            <w:vAlign w:val="center"/>
          </w:tcPr>
          <w:p w14:paraId="6FC2E02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长期并坚持</w:t>
            </w:r>
          </w:p>
        </w:tc>
        <w:tc>
          <w:tcPr>
            <w:tcW w:w="611" w:type="dxa"/>
            <w:tcBorders>
              <w:top w:val="nil"/>
              <w:left w:val="nil"/>
              <w:bottom w:val="single" w:color="auto" w:sz="4" w:space="0"/>
              <w:right w:val="single" w:color="auto" w:sz="4" w:space="0"/>
            </w:tcBorders>
            <w:noWrap w:val="0"/>
            <w:vAlign w:val="center"/>
          </w:tcPr>
          <w:p w14:paraId="7F3DDE4D">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949" w:type="dxa"/>
            <w:gridSpan w:val="2"/>
            <w:tcBorders>
              <w:top w:val="nil"/>
              <w:left w:val="nil"/>
              <w:bottom w:val="single" w:color="auto" w:sz="4" w:space="0"/>
              <w:right w:val="single" w:color="auto" w:sz="4" w:space="0"/>
            </w:tcBorders>
            <w:noWrap w:val="0"/>
            <w:vAlign w:val="center"/>
          </w:tcPr>
          <w:p w14:paraId="75677EF3">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708" w:type="dxa"/>
            <w:tcBorders>
              <w:top w:val="single" w:color="auto" w:sz="4" w:space="0"/>
              <w:left w:val="nil"/>
              <w:bottom w:val="single" w:color="auto" w:sz="4" w:space="0"/>
              <w:right w:val="single" w:color="auto" w:sz="4" w:space="0"/>
            </w:tcBorders>
            <w:noWrap w:val="0"/>
            <w:vAlign w:val="center"/>
          </w:tcPr>
          <w:p w14:paraId="6B7E3D2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eastAsia="zh-CN"/>
              </w:rPr>
              <w:t>普法工作持续进行中，全民知法守法意识的提高有个过程，正在不断加强。</w:t>
            </w:r>
          </w:p>
        </w:tc>
      </w:tr>
      <w:tr w14:paraId="37E91B3A">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4EFFA388">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0D675ECD">
            <w:pPr>
              <w:widowControl/>
              <w:spacing w:line="240" w:lineRule="exact"/>
              <w:jc w:val="center"/>
              <w:rPr>
                <w:rFonts w:ascii="宋体" w:hAnsi="宋体" w:eastAsia="宋体" w:cs="宋体"/>
                <w:kern w:val="0"/>
                <w:sz w:val="18"/>
                <w:szCs w:val="18"/>
              </w:rPr>
            </w:pPr>
          </w:p>
        </w:tc>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14:paraId="6D30EBBF">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00209777">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71" w:type="dxa"/>
            <w:tcBorders>
              <w:top w:val="nil"/>
              <w:left w:val="nil"/>
              <w:bottom w:val="single" w:color="auto" w:sz="4" w:space="0"/>
              <w:right w:val="single" w:color="auto" w:sz="4" w:space="0"/>
            </w:tcBorders>
            <w:noWrap w:val="0"/>
            <w:vAlign w:val="center"/>
          </w:tcPr>
          <w:p w14:paraId="3049C932">
            <w:pPr>
              <w:widowControl/>
              <w:spacing w:line="240" w:lineRule="exact"/>
              <w:jc w:val="center"/>
              <w:rPr>
                <w:rFonts w:ascii="宋体" w:hAnsi="宋体" w:eastAsia="宋体" w:cs="宋体"/>
                <w:kern w:val="0"/>
                <w:sz w:val="18"/>
                <w:szCs w:val="18"/>
              </w:rPr>
            </w:pPr>
          </w:p>
        </w:tc>
        <w:tc>
          <w:tcPr>
            <w:tcW w:w="713" w:type="dxa"/>
            <w:tcBorders>
              <w:top w:val="nil"/>
              <w:left w:val="nil"/>
              <w:bottom w:val="single" w:color="auto" w:sz="4" w:space="0"/>
              <w:right w:val="single" w:color="auto" w:sz="4" w:space="0"/>
            </w:tcBorders>
            <w:noWrap w:val="0"/>
            <w:vAlign w:val="center"/>
          </w:tcPr>
          <w:p w14:paraId="22F08862">
            <w:pPr>
              <w:widowControl/>
              <w:spacing w:line="240" w:lineRule="exact"/>
              <w:jc w:val="center"/>
              <w:rPr>
                <w:rFonts w:ascii="宋体" w:hAnsi="宋体" w:eastAsia="宋体" w:cs="宋体"/>
                <w:kern w:val="0"/>
                <w:sz w:val="18"/>
                <w:szCs w:val="18"/>
              </w:rPr>
            </w:pPr>
          </w:p>
        </w:tc>
        <w:tc>
          <w:tcPr>
            <w:tcW w:w="611" w:type="dxa"/>
            <w:tcBorders>
              <w:top w:val="nil"/>
              <w:left w:val="nil"/>
              <w:bottom w:val="single" w:color="auto" w:sz="4" w:space="0"/>
              <w:right w:val="single" w:color="auto" w:sz="4" w:space="0"/>
            </w:tcBorders>
            <w:noWrap w:val="0"/>
            <w:vAlign w:val="center"/>
          </w:tcPr>
          <w:p w14:paraId="6783371D">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14:paraId="695E5982">
            <w:pPr>
              <w:widowControl/>
              <w:spacing w:line="240" w:lineRule="exact"/>
              <w:jc w:val="center"/>
              <w:rPr>
                <w:rFonts w:ascii="宋体" w:hAnsi="宋体" w:eastAsia="宋体" w:cs="宋体"/>
                <w:kern w:val="0"/>
                <w:sz w:val="18"/>
                <w:szCs w:val="18"/>
              </w:rPr>
            </w:pPr>
          </w:p>
        </w:tc>
        <w:tc>
          <w:tcPr>
            <w:tcW w:w="708" w:type="dxa"/>
            <w:tcBorders>
              <w:top w:val="single" w:color="auto" w:sz="4" w:space="0"/>
              <w:left w:val="nil"/>
              <w:bottom w:val="single" w:color="auto" w:sz="4" w:space="0"/>
              <w:right w:val="single" w:color="auto" w:sz="4" w:space="0"/>
            </w:tcBorders>
            <w:noWrap w:val="0"/>
            <w:vAlign w:val="center"/>
          </w:tcPr>
          <w:p w14:paraId="0D900A7B">
            <w:pPr>
              <w:widowControl/>
              <w:spacing w:line="240" w:lineRule="exact"/>
              <w:jc w:val="center"/>
              <w:rPr>
                <w:rFonts w:ascii="宋体" w:hAnsi="宋体" w:eastAsia="宋体" w:cs="宋体"/>
                <w:kern w:val="0"/>
                <w:sz w:val="18"/>
                <w:szCs w:val="18"/>
              </w:rPr>
            </w:pPr>
          </w:p>
        </w:tc>
      </w:tr>
      <w:tr w14:paraId="78E4C7DD">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25D657D6">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noWrap w:val="0"/>
            <w:vAlign w:val="center"/>
          </w:tcPr>
          <w:p w14:paraId="5FC5FD9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539CD87C">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10分</w:t>
            </w:r>
            <w:r>
              <w:rPr>
                <w:rFonts w:hint="eastAsia" w:ascii="宋体" w:hAnsi="宋体" w:eastAsia="宋体" w:cs="宋体"/>
                <w:kern w:val="0"/>
                <w:sz w:val="18"/>
                <w:szCs w:val="18"/>
                <w:lang w:eastAsia="zh-CN"/>
              </w:rPr>
              <w:t>）</w:t>
            </w:r>
          </w:p>
        </w:tc>
        <w:tc>
          <w:tcPr>
            <w:tcW w:w="1112" w:type="dxa"/>
            <w:vMerge w:val="restart"/>
            <w:tcBorders>
              <w:top w:val="single" w:color="auto" w:sz="4" w:space="0"/>
              <w:left w:val="nil"/>
              <w:bottom w:val="single" w:color="auto" w:sz="4" w:space="0"/>
              <w:right w:val="single" w:color="auto" w:sz="4" w:space="0"/>
            </w:tcBorders>
            <w:noWrap w:val="0"/>
            <w:vAlign w:val="center"/>
          </w:tcPr>
          <w:p w14:paraId="3A61E892">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服务对象满意度指标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10分</w:t>
            </w:r>
            <w:r>
              <w:rPr>
                <w:rFonts w:hint="eastAsia" w:ascii="宋体" w:hAnsi="宋体" w:eastAsia="宋体" w:cs="宋体"/>
                <w:kern w:val="0"/>
                <w:sz w:val="18"/>
                <w:szCs w:val="18"/>
                <w:lang w:eastAsia="zh-CN"/>
              </w:rPr>
              <w:t>）</w:t>
            </w:r>
          </w:p>
          <w:p w14:paraId="5F8EB7F3">
            <w:pPr>
              <w:widowControl/>
              <w:spacing w:line="240" w:lineRule="exact"/>
              <w:jc w:val="center"/>
              <w:rPr>
                <w:rFonts w:ascii="宋体" w:hAnsi="宋体" w:eastAsia="宋体" w:cs="宋体"/>
                <w:kern w:val="0"/>
                <w:sz w:val="18"/>
                <w:szCs w:val="18"/>
                <w:lang w:val="en-US" w:eastAsia="zh-CN" w:bidi="ar-SA"/>
              </w:rPr>
            </w:pPr>
          </w:p>
          <w:p w14:paraId="43484800">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1084D982">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群众满意度</w:t>
            </w:r>
          </w:p>
        </w:tc>
        <w:tc>
          <w:tcPr>
            <w:tcW w:w="1271" w:type="dxa"/>
            <w:tcBorders>
              <w:top w:val="nil"/>
              <w:left w:val="nil"/>
              <w:bottom w:val="single" w:color="auto" w:sz="4" w:space="0"/>
              <w:right w:val="single" w:color="auto" w:sz="4" w:space="0"/>
            </w:tcBorders>
            <w:noWrap w:val="0"/>
            <w:vAlign w:val="center"/>
          </w:tcPr>
          <w:p w14:paraId="50FC85E5">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95%</w:t>
            </w:r>
          </w:p>
        </w:tc>
        <w:tc>
          <w:tcPr>
            <w:tcW w:w="713" w:type="dxa"/>
            <w:tcBorders>
              <w:top w:val="nil"/>
              <w:left w:val="nil"/>
              <w:bottom w:val="single" w:color="auto" w:sz="4" w:space="0"/>
              <w:right w:val="single" w:color="auto" w:sz="4" w:space="0"/>
            </w:tcBorders>
            <w:noWrap w:val="0"/>
            <w:vAlign w:val="center"/>
          </w:tcPr>
          <w:p w14:paraId="78EC10FA">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95%</w:t>
            </w:r>
          </w:p>
        </w:tc>
        <w:tc>
          <w:tcPr>
            <w:tcW w:w="611" w:type="dxa"/>
            <w:tcBorders>
              <w:top w:val="nil"/>
              <w:left w:val="nil"/>
              <w:bottom w:val="single" w:color="auto" w:sz="4" w:space="0"/>
              <w:right w:val="single" w:color="auto" w:sz="4" w:space="0"/>
            </w:tcBorders>
            <w:noWrap w:val="0"/>
            <w:vAlign w:val="center"/>
          </w:tcPr>
          <w:p w14:paraId="62A40272">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949" w:type="dxa"/>
            <w:gridSpan w:val="2"/>
            <w:tcBorders>
              <w:top w:val="nil"/>
              <w:left w:val="nil"/>
              <w:bottom w:val="single" w:color="auto" w:sz="4" w:space="0"/>
              <w:right w:val="single" w:color="auto" w:sz="4" w:space="0"/>
            </w:tcBorders>
            <w:noWrap w:val="0"/>
            <w:vAlign w:val="center"/>
          </w:tcPr>
          <w:p w14:paraId="50542CF6">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708" w:type="dxa"/>
            <w:tcBorders>
              <w:top w:val="single" w:color="auto" w:sz="4" w:space="0"/>
              <w:left w:val="nil"/>
              <w:bottom w:val="single" w:color="auto" w:sz="4" w:space="0"/>
              <w:right w:val="single" w:color="auto" w:sz="4" w:space="0"/>
            </w:tcBorders>
            <w:noWrap w:val="0"/>
            <w:vAlign w:val="center"/>
          </w:tcPr>
          <w:p w14:paraId="6CFADAD9">
            <w:pPr>
              <w:widowControl/>
              <w:spacing w:line="240" w:lineRule="exact"/>
              <w:jc w:val="center"/>
              <w:rPr>
                <w:rFonts w:ascii="宋体" w:hAnsi="宋体" w:eastAsia="宋体" w:cs="宋体"/>
                <w:kern w:val="0"/>
                <w:sz w:val="18"/>
                <w:szCs w:val="18"/>
                <w:lang w:val="en-US" w:eastAsia="zh-CN" w:bidi="ar-SA"/>
              </w:rPr>
            </w:pPr>
          </w:p>
        </w:tc>
      </w:tr>
      <w:tr w14:paraId="065B0472">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2FE4BD73">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14:paraId="5932A2BF">
            <w:pPr>
              <w:widowControl/>
              <w:spacing w:line="240" w:lineRule="exact"/>
              <w:jc w:val="center"/>
              <w:rPr>
                <w:rFonts w:ascii="宋体" w:hAnsi="宋体" w:eastAsia="宋体" w:cs="宋体"/>
                <w:kern w:val="0"/>
                <w:sz w:val="18"/>
                <w:szCs w:val="18"/>
              </w:rPr>
            </w:pPr>
          </w:p>
        </w:tc>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14:paraId="16121C47">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0F8A3410">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指标2：</w:t>
            </w:r>
            <w:r>
              <w:rPr>
                <w:rFonts w:hint="eastAsia" w:ascii="宋体" w:hAnsi="宋体" w:eastAsia="宋体" w:cs="宋体"/>
                <w:color w:val="000000"/>
                <w:kern w:val="0"/>
                <w:sz w:val="18"/>
                <w:szCs w:val="18"/>
                <w:lang w:eastAsia="zh-CN"/>
              </w:rPr>
              <w:t>社会满意度</w:t>
            </w:r>
          </w:p>
        </w:tc>
        <w:tc>
          <w:tcPr>
            <w:tcW w:w="1271" w:type="dxa"/>
            <w:tcBorders>
              <w:top w:val="nil"/>
              <w:left w:val="nil"/>
              <w:bottom w:val="single" w:color="auto" w:sz="4" w:space="0"/>
              <w:right w:val="single" w:color="auto" w:sz="4" w:space="0"/>
            </w:tcBorders>
            <w:noWrap w:val="0"/>
            <w:vAlign w:val="center"/>
          </w:tcPr>
          <w:p w14:paraId="4EAF2D23">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95%</w:t>
            </w:r>
          </w:p>
        </w:tc>
        <w:tc>
          <w:tcPr>
            <w:tcW w:w="713" w:type="dxa"/>
            <w:tcBorders>
              <w:top w:val="nil"/>
              <w:left w:val="nil"/>
              <w:bottom w:val="single" w:color="auto" w:sz="4" w:space="0"/>
              <w:right w:val="single" w:color="auto" w:sz="4" w:space="0"/>
            </w:tcBorders>
            <w:noWrap w:val="0"/>
            <w:vAlign w:val="center"/>
          </w:tcPr>
          <w:p w14:paraId="635CC2FE">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95%</w:t>
            </w:r>
          </w:p>
        </w:tc>
        <w:tc>
          <w:tcPr>
            <w:tcW w:w="611" w:type="dxa"/>
            <w:tcBorders>
              <w:top w:val="nil"/>
              <w:left w:val="nil"/>
              <w:bottom w:val="single" w:color="auto" w:sz="4" w:space="0"/>
              <w:right w:val="single" w:color="auto" w:sz="4" w:space="0"/>
            </w:tcBorders>
            <w:noWrap w:val="0"/>
            <w:vAlign w:val="center"/>
          </w:tcPr>
          <w:p w14:paraId="385EBE5A">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949" w:type="dxa"/>
            <w:gridSpan w:val="2"/>
            <w:tcBorders>
              <w:top w:val="nil"/>
              <w:left w:val="nil"/>
              <w:bottom w:val="single" w:color="auto" w:sz="4" w:space="0"/>
              <w:right w:val="single" w:color="auto" w:sz="4" w:space="0"/>
            </w:tcBorders>
            <w:noWrap w:val="0"/>
            <w:vAlign w:val="center"/>
          </w:tcPr>
          <w:p w14:paraId="14AAB4C7">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708" w:type="dxa"/>
            <w:tcBorders>
              <w:top w:val="single" w:color="auto" w:sz="4" w:space="0"/>
              <w:left w:val="nil"/>
              <w:bottom w:val="single" w:color="auto" w:sz="4" w:space="0"/>
              <w:right w:val="single" w:color="auto" w:sz="4" w:space="0"/>
            </w:tcBorders>
            <w:noWrap w:val="0"/>
            <w:vAlign w:val="center"/>
          </w:tcPr>
          <w:p w14:paraId="0E4A5792">
            <w:pPr>
              <w:widowControl/>
              <w:spacing w:line="240" w:lineRule="exact"/>
              <w:jc w:val="center"/>
              <w:rPr>
                <w:rFonts w:ascii="宋体" w:hAnsi="宋体" w:eastAsia="宋体" w:cs="宋体"/>
                <w:kern w:val="0"/>
                <w:sz w:val="18"/>
                <w:szCs w:val="18"/>
                <w:lang w:val="en-US" w:eastAsia="zh-CN" w:bidi="ar-SA"/>
              </w:rPr>
            </w:pPr>
          </w:p>
        </w:tc>
      </w:tr>
      <w:tr w14:paraId="39B87718">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bottom w:val="single" w:color="auto" w:sz="4" w:space="0"/>
              <w:right w:val="single" w:color="auto" w:sz="4" w:space="0"/>
            </w:tcBorders>
            <w:noWrap w:val="0"/>
            <w:vAlign w:val="center"/>
          </w:tcPr>
          <w:p w14:paraId="4C644465">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noWrap w:val="0"/>
            <w:vAlign w:val="center"/>
          </w:tcPr>
          <w:p w14:paraId="3333EFB6">
            <w:pPr>
              <w:widowControl/>
              <w:spacing w:line="240" w:lineRule="exact"/>
              <w:jc w:val="center"/>
              <w:rPr>
                <w:rFonts w:ascii="宋体" w:hAnsi="宋体" w:eastAsia="宋体" w:cs="宋体"/>
                <w:kern w:val="0"/>
                <w:sz w:val="18"/>
                <w:szCs w:val="18"/>
              </w:rPr>
            </w:pPr>
          </w:p>
        </w:tc>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14:paraId="1994E83E">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5AC854B1">
            <w:pPr>
              <w:widowControl/>
              <w:spacing w:line="240" w:lineRule="exact"/>
              <w:jc w:val="left"/>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w:t>
            </w:r>
          </w:p>
        </w:tc>
        <w:tc>
          <w:tcPr>
            <w:tcW w:w="1271" w:type="dxa"/>
            <w:tcBorders>
              <w:top w:val="nil"/>
              <w:left w:val="nil"/>
              <w:bottom w:val="single" w:color="auto" w:sz="4" w:space="0"/>
              <w:right w:val="single" w:color="auto" w:sz="4" w:space="0"/>
            </w:tcBorders>
            <w:noWrap w:val="0"/>
            <w:vAlign w:val="center"/>
          </w:tcPr>
          <w:p w14:paraId="36297D2A">
            <w:pPr>
              <w:widowControl/>
              <w:spacing w:line="240" w:lineRule="exact"/>
              <w:jc w:val="center"/>
              <w:rPr>
                <w:rFonts w:ascii="宋体" w:hAnsi="宋体" w:eastAsia="宋体" w:cs="宋体"/>
                <w:kern w:val="0"/>
                <w:sz w:val="18"/>
                <w:szCs w:val="18"/>
                <w:lang w:val="en-US" w:eastAsia="zh-CN" w:bidi="ar-SA"/>
              </w:rPr>
            </w:pPr>
          </w:p>
        </w:tc>
        <w:tc>
          <w:tcPr>
            <w:tcW w:w="713" w:type="dxa"/>
            <w:tcBorders>
              <w:top w:val="nil"/>
              <w:left w:val="nil"/>
              <w:bottom w:val="single" w:color="auto" w:sz="4" w:space="0"/>
              <w:right w:val="single" w:color="auto" w:sz="4" w:space="0"/>
            </w:tcBorders>
            <w:noWrap w:val="0"/>
            <w:vAlign w:val="center"/>
          </w:tcPr>
          <w:p w14:paraId="5C6707D6">
            <w:pPr>
              <w:widowControl/>
              <w:spacing w:line="240" w:lineRule="exact"/>
              <w:jc w:val="center"/>
              <w:rPr>
                <w:rFonts w:ascii="宋体" w:hAnsi="宋体" w:eastAsia="宋体" w:cs="宋体"/>
                <w:kern w:val="0"/>
                <w:sz w:val="18"/>
                <w:szCs w:val="18"/>
                <w:lang w:val="en-US" w:eastAsia="zh-CN" w:bidi="ar-SA"/>
              </w:rPr>
            </w:pPr>
          </w:p>
        </w:tc>
        <w:tc>
          <w:tcPr>
            <w:tcW w:w="611" w:type="dxa"/>
            <w:tcBorders>
              <w:top w:val="nil"/>
              <w:left w:val="nil"/>
              <w:bottom w:val="single" w:color="auto" w:sz="4" w:space="0"/>
              <w:right w:val="single" w:color="auto" w:sz="4" w:space="0"/>
            </w:tcBorders>
            <w:noWrap w:val="0"/>
            <w:vAlign w:val="center"/>
          </w:tcPr>
          <w:p w14:paraId="106B993A">
            <w:pPr>
              <w:widowControl/>
              <w:spacing w:line="240" w:lineRule="exact"/>
              <w:jc w:val="center"/>
              <w:rPr>
                <w:rFonts w:ascii="宋体" w:hAnsi="宋体" w:eastAsia="宋体" w:cs="宋体"/>
                <w:kern w:val="0"/>
                <w:sz w:val="18"/>
                <w:szCs w:val="18"/>
                <w:lang w:val="en-US" w:eastAsia="zh-CN" w:bidi="ar-SA"/>
              </w:rPr>
            </w:pPr>
          </w:p>
        </w:tc>
        <w:tc>
          <w:tcPr>
            <w:tcW w:w="949" w:type="dxa"/>
            <w:gridSpan w:val="2"/>
            <w:tcBorders>
              <w:top w:val="nil"/>
              <w:left w:val="nil"/>
              <w:bottom w:val="single" w:color="auto" w:sz="4" w:space="0"/>
              <w:right w:val="single" w:color="auto" w:sz="4" w:space="0"/>
            </w:tcBorders>
            <w:noWrap w:val="0"/>
            <w:vAlign w:val="center"/>
          </w:tcPr>
          <w:p w14:paraId="27C8D3A7">
            <w:pPr>
              <w:widowControl/>
              <w:spacing w:line="240" w:lineRule="exact"/>
              <w:jc w:val="center"/>
              <w:rPr>
                <w:rFonts w:ascii="宋体" w:hAnsi="宋体" w:eastAsia="宋体" w:cs="宋体"/>
                <w:kern w:val="0"/>
                <w:sz w:val="18"/>
                <w:szCs w:val="18"/>
                <w:lang w:val="en-US" w:eastAsia="zh-CN" w:bidi="ar-SA"/>
              </w:rPr>
            </w:pPr>
          </w:p>
        </w:tc>
        <w:tc>
          <w:tcPr>
            <w:tcW w:w="708" w:type="dxa"/>
            <w:tcBorders>
              <w:top w:val="single" w:color="auto" w:sz="4" w:space="0"/>
              <w:left w:val="nil"/>
              <w:bottom w:val="single" w:color="auto" w:sz="4" w:space="0"/>
              <w:right w:val="single" w:color="auto" w:sz="4" w:space="0"/>
            </w:tcBorders>
            <w:noWrap w:val="0"/>
            <w:vAlign w:val="center"/>
          </w:tcPr>
          <w:p w14:paraId="629B0ACE">
            <w:pPr>
              <w:widowControl/>
              <w:spacing w:line="240" w:lineRule="exact"/>
              <w:jc w:val="center"/>
              <w:rPr>
                <w:rFonts w:ascii="宋体" w:hAnsi="宋体" w:eastAsia="宋体" w:cs="宋体"/>
                <w:kern w:val="0"/>
                <w:sz w:val="18"/>
                <w:szCs w:val="18"/>
                <w:lang w:val="en-US" w:eastAsia="zh-CN" w:bidi="ar-SA"/>
              </w:rPr>
            </w:pPr>
          </w:p>
        </w:tc>
      </w:tr>
      <w:tr w14:paraId="117FDA5D">
        <w:tblPrEx>
          <w:tblCellMar>
            <w:top w:w="0" w:type="dxa"/>
            <w:left w:w="108" w:type="dxa"/>
            <w:bottom w:w="0" w:type="dxa"/>
            <w:right w:w="108" w:type="dxa"/>
          </w:tblCellMar>
        </w:tblPrEx>
        <w:trPr>
          <w:trHeight w:val="300" w:hRule="exact"/>
          <w:jc w:val="center"/>
        </w:trPr>
        <w:tc>
          <w:tcPr>
            <w:tcW w:w="6812" w:type="dxa"/>
            <w:gridSpan w:val="8"/>
            <w:tcBorders>
              <w:top w:val="single" w:color="auto" w:sz="4" w:space="0"/>
              <w:left w:val="single" w:color="auto" w:sz="4" w:space="0"/>
              <w:bottom w:val="single" w:color="auto" w:sz="4" w:space="0"/>
              <w:right w:val="single" w:color="auto" w:sz="4" w:space="0"/>
            </w:tcBorders>
            <w:noWrap w:val="0"/>
            <w:vAlign w:val="center"/>
          </w:tcPr>
          <w:p w14:paraId="19A3EA00">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611" w:type="dxa"/>
            <w:tcBorders>
              <w:top w:val="nil"/>
              <w:left w:val="nil"/>
              <w:bottom w:val="single" w:color="auto" w:sz="4" w:space="0"/>
              <w:right w:val="single" w:color="auto" w:sz="4" w:space="0"/>
            </w:tcBorders>
            <w:noWrap w:val="0"/>
            <w:vAlign w:val="center"/>
          </w:tcPr>
          <w:p w14:paraId="750206C4">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949" w:type="dxa"/>
            <w:gridSpan w:val="2"/>
            <w:tcBorders>
              <w:top w:val="nil"/>
              <w:left w:val="nil"/>
              <w:bottom w:val="single" w:color="auto" w:sz="4" w:space="0"/>
              <w:right w:val="single" w:color="auto" w:sz="4" w:space="0"/>
            </w:tcBorders>
            <w:noWrap w:val="0"/>
            <w:vAlign w:val="center"/>
          </w:tcPr>
          <w:p w14:paraId="10CAC92C">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96</w:t>
            </w:r>
          </w:p>
        </w:tc>
        <w:tc>
          <w:tcPr>
            <w:tcW w:w="708" w:type="dxa"/>
            <w:tcBorders>
              <w:top w:val="single" w:color="auto" w:sz="4" w:space="0"/>
              <w:left w:val="nil"/>
              <w:bottom w:val="single" w:color="auto" w:sz="4" w:space="0"/>
              <w:right w:val="single" w:color="auto" w:sz="4" w:space="0"/>
            </w:tcBorders>
            <w:noWrap w:val="0"/>
            <w:vAlign w:val="center"/>
          </w:tcPr>
          <w:p w14:paraId="7D31643D">
            <w:pPr>
              <w:widowControl/>
              <w:spacing w:line="240" w:lineRule="exact"/>
              <w:jc w:val="center"/>
              <w:rPr>
                <w:rFonts w:ascii="宋体" w:hAnsi="宋体" w:eastAsia="宋体" w:cs="宋体"/>
                <w:kern w:val="0"/>
                <w:sz w:val="18"/>
                <w:szCs w:val="18"/>
              </w:rPr>
            </w:pPr>
          </w:p>
        </w:tc>
      </w:tr>
    </w:tbl>
    <w:p w14:paraId="74AE1F37">
      <w:pPr>
        <w:rPr>
          <w:rFonts w:hint="eastAsia"/>
        </w:rPr>
      </w:pPr>
    </w:p>
    <w:p w14:paraId="109910BA">
      <w:pPr>
        <w:rPr>
          <w:rFonts w:hint="eastAsia"/>
        </w:rPr>
      </w:pPr>
    </w:p>
    <w:p w14:paraId="28FDC361">
      <w:pPr>
        <w:rPr>
          <w:rFonts w:hint="eastAsia"/>
        </w:rPr>
      </w:pPr>
    </w:p>
    <w:p w14:paraId="2263A55F">
      <w:pPr>
        <w:rPr>
          <w:rFonts w:hint="eastAsia"/>
        </w:rPr>
      </w:pPr>
    </w:p>
    <w:p w14:paraId="5A783448">
      <w:pPr>
        <w:rPr>
          <w:rFonts w:hint="eastAsia"/>
        </w:rPr>
      </w:pPr>
    </w:p>
    <w:p w14:paraId="138BB54A">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0A42B8D5">
      <w:pPr>
        <w:pStyle w:val="6"/>
        <w:spacing w:line="600" w:lineRule="atLeast"/>
        <w:ind w:firstLine="600"/>
        <w:rPr>
          <w:rFonts w:hint="eastAsia" w:ascii="仿宋" w:hAnsi="仿宋" w:eastAsia="仿宋"/>
          <w:sz w:val="30"/>
          <w:szCs w:val="30"/>
        </w:rPr>
      </w:pPr>
    </w:p>
    <w:p w14:paraId="0355E5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ascii="微软雅黑" w:hAnsi="微软雅黑" w:eastAsia="微软雅黑" w:cs="微软雅黑"/>
          <w:b/>
          <w:bCs/>
          <w:i w:val="0"/>
          <w:caps w:val="0"/>
          <w:color w:val="333333"/>
          <w:spacing w:val="0"/>
          <w:sz w:val="21"/>
          <w:szCs w:val="21"/>
        </w:rPr>
      </w:pPr>
      <w:r>
        <w:rPr>
          <w:rFonts w:hint="eastAsia" w:ascii="仿宋" w:hAnsi="仿宋" w:eastAsia="仿宋"/>
          <w:kern w:val="0"/>
          <w:sz w:val="30"/>
          <w:szCs w:val="30"/>
        </w:rPr>
        <w:t xml:space="preserve">   </w:t>
      </w:r>
      <w:r>
        <w:rPr>
          <w:rFonts w:hint="eastAsia" w:ascii="仿宋" w:hAnsi="仿宋" w:eastAsia="仿宋"/>
          <w:b/>
          <w:bCs/>
          <w:kern w:val="0"/>
          <w:sz w:val="30"/>
          <w:szCs w:val="30"/>
        </w:rPr>
        <w:t xml:space="preserve"> </w:t>
      </w:r>
      <w:r>
        <w:rPr>
          <w:rFonts w:ascii="仿宋" w:hAnsi="仿宋" w:eastAsia="仿宋" w:cs="仿宋"/>
          <w:b/>
          <w:bCs/>
          <w:i w:val="0"/>
          <w:caps w:val="0"/>
          <w:color w:val="000000"/>
          <w:spacing w:val="0"/>
          <w:sz w:val="30"/>
          <w:szCs w:val="30"/>
          <w:shd w:val="clear" w:fill="FFFFFF"/>
        </w:rPr>
        <w:t> </w:t>
      </w:r>
      <w:r>
        <w:rPr>
          <w:rFonts w:hint="eastAsia" w:ascii="仿宋" w:hAnsi="仿宋" w:eastAsia="仿宋" w:cs="仿宋"/>
          <w:b/>
          <w:bCs/>
          <w:i w:val="0"/>
          <w:caps w:val="0"/>
          <w:color w:val="000000"/>
          <w:spacing w:val="0"/>
          <w:sz w:val="30"/>
          <w:szCs w:val="30"/>
          <w:shd w:val="clear" w:fill="FFFFFF"/>
        </w:rPr>
        <w:t>一、收入科目</w:t>
      </w:r>
    </w:p>
    <w:p w14:paraId="70C128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（一）财政拨款收入：指</w:t>
      </w:r>
      <w:r>
        <w:rPr>
          <w:rFonts w:hint="eastAsia" w:ascii="仿宋" w:hAnsi="仿宋" w:eastAsia="仿宋" w:cs="仿宋"/>
          <w:b w:val="0"/>
          <w:i w:val="0"/>
          <w:caps w:val="0"/>
          <w:color w:val="000000"/>
          <w:spacing w:val="0"/>
          <w:sz w:val="30"/>
          <w:szCs w:val="30"/>
          <w:shd w:val="clear" w:fill="FFFFFF"/>
          <w:lang w:eastAsia="zh-CN"/>
        </w:rPr>
        <w:t>区</w:t>
      </w:r>
      <w:r>
        <w:rPr>
          <w:rFonts w:hint="eastAsia" w:ascii="仿宋" w:hAnsi="仿宋" w:eastAsia="仿宋" w:cs="仿宋"/>
          <w:b w:val="0"/>
          <w:i w:val="0"/>
          <w:caps w:val="0"/>
          <w:color w:val="000000"/>
          <w:spacing w:val="0"/>
          <w:sz w:val="30"/>
          <w:szCs w:val="30"/>
          <w:shd w:val="clear" w:fill="FFFFFF"/>
        </w:rPr>
        <w:t>财政当年拨付的资金。</w:t>
      </w:r>
    </w:p>
    <w:p w14:paraId="18E022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（二）事业收入：指事业单位开展专业业务活动及辅助</w:t>
      </w:r>
    </w:p>
    <w:p w14:paraId="6E3BC5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活动所取得的收入。</w:t>
      </w:r>
    </w:p>
    <w:p w14:paraId="055032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（三）其他收入：是指除财政拨款收入、事业收入、上级补助收入、附属单位上缴收入、经营收入等以外的各项收入。</w:t>
      </w:r>
    </w:p>
    <w:p w14:paraId="0F554F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（四）上年结转：指以前年度尚未完成，结转到本年仍按原规定用途继续使用的资金。</w:t>
      </w:r>
    </w:p>
    <w:p w14:paraId="7F388D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750"/>
        <w:jc w:val="left"/>
        <w:rPr>
          <w:rFonts w:ascii="微软雅黑" w:hAnsi="微软雅黑" w:eastAsia="微软雅黑" w:cs="微软雅黑"/>
          <w:b/>
          <w:bCs/>
          <w:i w:val="0"/>
          <w:caps w:val="0"/>
          <w:color w:val="333333"/>
          <w:spacing w:val="0"/>
          <w:sz w:val="21"/>
          <w:szCs w:val="21"/>
        </w:rPr>
      </w:pPr>
      <w:r>
        <w:rPr>
          <w:rFonts w:ascii="仿宋" w:hAnsi="仿宋" w:eastAsia="仿宋" w:cs="仿宋"/>
          <w:b/>
          <w:bCs/>
          <w:i w:val="0"/>
          <w:caps w:val="0"/>
          <w:color w:val="000000"/>
          <w:spacing w:val="0"/>
          <w:sz w:val="30"/>
          <w:szCs w:val="30"/>
          <w:shd w:val="clear" w:fill="FFFFFF"/>
        </w:rPr>
        <w:t>二、支出科目</w:t>
      </w:r>
    </w:p>
    <w:p w14:paraId="17C53E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（一）公共安全支出：指司法</w:t>
      </w:r>
      <w:r>
        <w:rPr>
          <w:rFonts w:hint="eastAsia" w:ascii="仿宋" w:hAnsi="仿宋" w:eastAsia="仿宋" w:cs="仿宋"/>
          <w:b w:val="0"/>
          <w:i w:val="0"/>
          <w:caps w:val="0"/>
          <w:color w:val="000000"/>
          <w:spacing w:val="0"/>
          <w:sz w:val="30"/>
          <w:szCs w:val="30"/>
          <w:shd w:val="clear" w:fill="FFFFFF"/>
          <w:lang w:eastAsia="zh-CN"/>
        </w:rPr>
        <w:t>局</w:t>
      </w:r>
      <w:r>
        <w:rPr>
          <w:rFonts w:hint="eastAsia" w:ascii="仿宋" w:hAnsi="仿宋" w:eastAsia="仿宋" w:cs="仿宋"/>
          <w:b w:val="0"/>
          <w:i w:val="0"/>
          <w:caps w:val="0"/>
          <w:color w:val="000000"/>
          <w:spacing w:val="0"/>
          <w:sz w:val="30"/>
          <w:szCs w:val="30"/>
          <w:shd w:val="clear" w:fill="FFFFFF"/>
        </w:rPr>
        <w:t>用于保障机构正常运行，开展司法行政各项业务活动的支出。</w:t>
      </w:r>
    </w:p>
    <w:p w14:paraId="3F36D861">
      <w:pPr>
        <w:pStyle w:val="6"/>
        <w:numPr>
          <w:ilvl w:val="0"/>
          <w:numId w:val="0"/>
        </w:numPr>
        <w:spacing w:line="600" w:lineRule="atLeast"/>
        <w:ind w:firstLine="600" w:firstLineChars="200"/>
        <w:rPr>
          <w:rFonts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w:t>
      </w:r>
      <w:r>
        <w:rPr>
          <w:rFonts w:hint="eastAsia" w:ascii="仿宋" w:hAnsi="仿宋" w:eastAsia="仿宋" w:cs="仿宋"/>
          <w:b w:val="0"/>
          <w:i w:val="0"/>
          <w:caps w:val="0"/>
          <w:color w:val="000000"/>
          <w:spacing w:val="0"/>
          <w:sz w:val="30"/>
          <w:szCs w:val="30"/>
          <w:shd w:val="clear" w:fill="FFFFFF"/>
          <w:lang w:eastAsia="zh-CN"/>
        </w:rPr>
        <w:t>二</w:t>
      </w:r>
      <w:r>
        <w:rPr>
          <w:rFonts w:hint="eastAsia" w:ascii="仿宋" w:hAnsi="仿宋" w:eastAsia="仿宋" w:cs="仿宋"/>
          <w:b w:val="0"/>
          <w:i w:val="0"/>
          <w:caps w:val="0"/>
          <w:color w:val="000000"/>
          <w:spacing w:val="0"/>
          <w:sz w:val="30"/>
          <w:szCs w:val="30"/>
          <w:shd w:val="clear" w:fill="FFFFFF"/>
        </w:rPr>
        <w:t>）社会保障和就业支出：</w:t>
      </w:r>
      <w:r>
        <w:rPr>
          <w:rFonts w:hint="eastAsia" w:ascii="仿宋" w:hAnsi="仿宋" w:eastAsia="仿宋" w:cs="仿宋"/>
          <w:sz w:val="30"/>
          <w:szCs w:val="30"/>
        </w:rPr>
        <w:t xml:space="preserve">反映司法局用于未归口管理的行政事业单位离退休经费开支，机关事业单位实施养老保险制度由单位缴纳的基本养老保险费支出。 </w:t>
      </w:r>
    </w:p>
    <w:p w14:paraId="7C9AD5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w:t>
      </w:r>
      <w:r>
        <w:rPr>
          <w:rFonts w:hint="eastAsia" w:ascii="仿宋" w:hAnsi="仿宋" w:eastAsia="仿宋" w:cs="仿宋"/>
          <w:b w:val="0"/>
          <w:i w:val="0"/>
          <w:caps w:val="0"/>
          <w:color w:val="000000"/>
          <w:spacing w:val="0"/>
          <w:sz w:val="30"/>
          <w:szCs w:val="30"/>
          <w:shd w:val="clear" w:fill="FFFFFF"/>
          <w:lang w:eastAsia="zh-CN"/>
        </w:rPr>
        <w:t>三</w:t>
      </w:r>
      <w:r>
        <w:rPr>
          <w:rFonts w:hint="eastAsia" w:ascii="仿宋" w:hAnsi="仿宋" w:eastAsia="仿宋" w:cs="仿宋"/>
          <w:b w:val="0"/>
          <w:i w:val="0"/>
          <w:caps w:val="0"/>
          <w:color w:val="000000"/>
          <w:spacing w:val="0"/>
          <w:sz w:val="30"/>
          <w:szCs w:val="30"/>
          <w:shd w:val="clear" w:fill="FFFFFF"/>
        </w:rPr>
        <w:t>）卫生和健康支出：指司法</w:t>
      </w:r>
      <w:r>
        <w:rPr>
          <w:rFonts w:hint="eastAsia" w:ascii="仿宋" w:hAnsi="仿宋" w:eastAsia="仿宋" w:cs="仿宋"/>
          <w:b w:val="0"/>
          <w:i w:val="0"/>
          <w:caps w:val="0"/>
          <w:color w:val="000000"/>
          <w:spacing w:val="0"/>
          <w:sz w:val="30"/>
          <w:szCs w:val="30"/>
          <w:shd w:val="clear" w:fill="FFFFFF"/>
          <w:lang w:eastAsia="zh-CN"/>
        </w:rPr>
        <w:t>局</w:t>
      </w:r>
      <w:r>
        <w:rPr>
          <w:rFonts w:hint="eastAsia" w:ascii="仿宋" w:hAnsi="仿宋" w:eastAsia="仿宋" w:cs="仿宋"/>
          <w:b w:val="0"/>
          <w:i w:val="0"/>
          <w:caps w:val="0"/>
          <w:color w:val="000000"/>
          <w:spacing w:val="0"/>
          <w:sz w:val="30"/>
          <w:szCs w:val="30"/>
          <w:shd w:val="clear" w:fill="FFFFFF"/>
        </w:rPr>
        <w:t>用于缴交职工基本医疗保险的补助支出。</w:t>
      </w:r>
    </w:p>
    <w:p w14:paraId="59BC62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w:t>
      </w:r>
      <w:r>
        <w:rPr>
          <w:rFonts w:hint="eastAsia" w:ascii="仿宋" w:hAnsi="仿宋" w:eastAsia="仿宋" w:cs="仿宋"/>
          <w:b w:val="0"/>
          <w:i w:val="0"/>
          <w:caps w:val="0"/>
          <w:color w:val="000000"/>
          <w:spacing w:val="0"/>
          <w:sz w:val="30"/>
          <w:szCs w:val="30"/>
          <w:shd w:val="clear" w:fill="FFFFFF"/>
          <w:lang w:eastAsia="zh-CN"/>
        </w:rPr>
        <w:t>四</w:t>
      </w:r>
      <w:r>
        <w:rPr>
          <w:rFonts w:hint="eastAsia" w:ascii="仿宋" w:hAnsi="仿宋" w:eastAsia="仿宋" w:cs="仿宋"/>
          <w:b w:val="0"/>
          <w:i w:val="0"/>
          <w:caps w:val="0"/>
          <w:color w:val="000000"/>
          <w:spacing w:val="0"/>
          <w:sz w:val="30"/>
          <w:szCs w:val="30"/>
          <w:shd w:val="clear" w:fill="FFFFFF"/>
        </w:rPr>
        <w:t>）住房保障支出：指司法</w:t>
      </w:r>
      <w:r>
        <w:rPr>
          <w:rFonts w:hint="eastAsia" w:ascii="仿宋" w:hAnsi="仿宋" w:eastAsia="仿宋" w:cs="仿宋"/>
          <w:b w:val="0"/>
          <w:i w:val="0"/>
          <w:caps w:val="0"/>
          <w:color w:val="000000"/>
          <w:spacing w:val="0"/>
          <w:sz w:val="30"/>
          <w:szCs w:val="30"/>
          <w:shd w:val="clear" w:fill="FFFFFF"/>
          <w:lang w:eastAsia="zh-CN"/>
        </w:rPr>
        <w:t>局</w:t>
      </w:r>
      <w:r>
        <w:rPr>
          <w:rFonts w:hint="eastAsia" w:ascii="仿宋" w:hAnsi="仿宋" w:eastAsia="仿宋" w:cs="仿宋"/>
          <w:b w:val="0"/>
          <w:i w:val="0"/>
          <w:caps w:val="0"/>
          <w:color w:val="000000"/>
          <w:spacing w:val="0"/>
          <w:sz w:val="30"/>
          <w:szCs w:val="30"/>
          <w:shd w:val="clear" w:fill="FFFFFF"/>
        </w:rPr>
        <w:t>及所属单位按照国家政策规定，对无房和住房未达标职工发放的住房货币化改革补贴资金。</w:t>
      </w:r>
    </w:p>
    <w:p w14:paraId="73B6D5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ascii="微软雅黑" w:hAnsi="微软雅黑" w:eastAsia="微软雅黑" w:cs="微软雅黑"/>
          <w:b/>
          <w:bCs/>
          <w:i w:val="0"/>
          <w:caps w:val="0"/>
          <w:color w:val="333333"/>
          <w:spacing w:val="0"/>
          <w:sz w:val="21"/>
          <w:szCs w:val="21"/>
        </w:rPr>
      </w:pPr>
      <w:r>
        <w:rPr>
          <w:rFonts w:ascii="仿宋" w:hAnsi="仿宋" w:eastAsia="仿宋" w:cs="仿宋"/>
          <w:b/>
          <w:bCs/>
          <w:i w:val="0"/>
          <w:caps w:val="0"/>
          <w:color w:val="000000"/>
          <w:spacing w:val="0"/>
          <w:sz w:val="30"/>
          <w:szCs w:val="30"/>
          <w:shd w:val="clear" w:fill="FFFFFF"/>
        </w:rPr>
        <w:t>三、“三公”经费</w:t>
      </w:r>
    </w:p>
    <w:p w14:paraId="60548B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纳入</w:t>
      </w:r>
      <w:r>
        <w:rPr>
          <w:rFonts w:hint="eastAsia" w:ascii="仿宋" w:hAnsi="仿宋" w:eastAsia="仿宋" w:cs="仿宋"/>
          <w:b w:val="0"/>
          <w:i w:val="0"/>
          <w:caps w:val="0"/>
          <w:color w:val="000000"/>
          <w:spacing w:val="0"/>
          <w:sz w:val="30"/>
          <w:szCs w:val="30"/>
          <w:shd w:val="clear" w:fill="FFFFFF"/>
          <w:lang w:eastAsia="zh-CN"/>
        </w:rPr>
        <w:t>区</w:t>
      </w:r>
      <w:r>
        <w:rPr>
          <w:rFonts w:hint="eastAsia" w:ascii="仿宋" w:hAnsi="仿宋" w:eastAsia="仿宋" w:cs="仿宋"/>
          <w:b w:val="0"/>
          <w:i w:val="0"/>
          <w:caps w:val="0"/>
          <w:color w:val="000000"/>
          <w:spacing w:val="0"/>
          <w:sz w:val="30"/>
          <w:szCs w:val="30"/>
          <w:shd w:val="clear" w:fill="FFFFFF"/>
        </w:rPr>
        <w:t>级财政预决算管理的“三公”经费，是指司法</w:t>
      </w:r>
      <w:r>
        <w:rPr>
          <w:rFonts w:hint="eastAsia" w:ascii="仿宋" w:hAnsi="仿宋" w:eastAsia="仿宋" w:cs="仿宋"/>
          <w:b w:val="0"/>
          <w:i w:val="0"/>
          <w:caps w:val="0"/>
          <w:color w:val="000000"/>
          <w:spacing w:val="0"/>
          <w:sz w:val="30"/>
          <w:szCs w:val="30"/>
          <w:shd w:val="clear" w:fill="FFFFFF"/>
          <w:lang w:eastAsia="zh-CN"/>
        </w:rPr>
        <w:t>局</w:t>
      </w:r>
      <w:r>
        <w:rPr>
          <w:rFonts w:hint="eastAsia" w:ascii="仿宋" w:hAnsi="仿宋" w:eastAsia="仿宋" w:cs="仿宋"/>
          <w:b w:val="0"/>
          <w:i w:val="0"/>
          <w:caps w:val="0"/>
          <w:color w:val="000000"/>
          <w:spacing w:val="0"/>
          <w:sz w:val="30"/>
          <w:szCs w:val="30"/>
          <w:shd w:val="clear" w:fill="FFFFFF"/>
        </w:rPr>
        <w:t>用于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560E2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ascii="微软雅黑" w:hAnsi="微软雅黑" w:eastAsia="微软雅黑" w:cs="微软雅黑"/>
          <w:b w:val="0"/>
          <w:i w:val="0"/>
          <w:caps w:val="0"/>
          <w:color w:val="333333"/>
          <w:spacing w:val="0"/>
          <w:sz w:val="21"/>
          <w:szCs w:val="21"/>
        </w:rPr>
      </w:pPr>
      <w:r>
        <w:rPr>
          <w:rFonts w:ascii="仿宋" w:hAnsi="仿宋" w:eastAsia="仿宋" w:cs="仿宋"/>
          <w:b/>
          <w:bCs/>
          <w:i w:val="0"/>
          <w:caps w:val="0"/>
          <w:color w:val="000000"/>
          <w:spacing w:val="0"/>
          <w:sz w:val="30"/>
          <w:szCs w:val="30"/>
          <w:shd w:val="clear" w:fill="FFFFFF"/>
        </w:rPr>
        <w:t>四、机关运行经费</w:t>
      </w:r>
    </w:p>
    <w:p w14:paraId="121FC2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9EA9E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B45A1"/>
    <w:rsid w:val="093A517B"/>
    <w:rsid w:val="0AEA0AF1"/>
    <w:rsid w:val="0E880808"/>
    <w:rsid w:val="2A443A43"/>
    <w:rsid w:val="31D75504"/>
    <w:rsid w:val="352A495A"/>
    <w:rsid w:val="3A3C1B83"/>
    <w:rsid w:val="40FD0771"/>
    <w:rsid w:val="580B143F"/>
    <w:rsid w:val="73755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image" Target="media/image9.e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8.bin"/><Relationship Id="rId17" Type="http://schemas.openxmlformats.org/officeDocument/2006/relationships/image" Target="media/image7.emf"/><Relationship Id="rId16" Type="http://schemas.openxmlformats.org/officeDocument/2006/relationships/oleObject" Target="embeddings/oleObject7.bin"/><Relationship Id="rId15" Type="http://schemas.openxmlformats.org/officeDocument/2006/relationships/image" Target="media/image6.emf"/><Relationship Id="rId14" Type="http://schemas.openxmlformats.org/officeDocument/2006/relationships/oleObject" Target="embeddings/oleObject6.bin"/><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5128</Words>
  <Characters>5631</Characters>
  <Lines>0</Lines>
  <Paragraphs>0</Paragraphs>
  <TotalTime>1</TotalTime>
  <ScaleCrop>false</ScaleCrop>
  <LinksUpToDate>false</LinksUpToDate>
  <CharactersWithSpaces>5783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道道</cp:lastModifiedBy>
  <dcterms:modified xsi:type="dcterms:W3CDTF">2026-07-06T08:17:35Z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eyJoZGlkIjoiYjEzZjA5ZWQyMzA5MzA3MmNlNmYzMWY1MGQzYjg3NjgiLCJ1c2VySWQiOiI2NzA4OTE1MDgifQ==</vt:lpwstr>
  </property>
  <property fmtid="{D5CDD505-2E9C-101B-9397-08002B2CF9AE}" pid="4" name="ICV">
    <vt:lpwstr>06D2286F332B455F8D5D564766ACB063_12</vt:lpwstr>
  </property>
</Properties>
</file>