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lang w:eastAsia="zh-CN"/>
        </w:rPr>
        <w:t>昌江区商务局202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昌江区商务局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昌江区商务局202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商务局202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lang w:val="en-US" w:eastAsia="zh-CN"/>
        </w:rPr>
        <w:t>二</w:t>
      </w:r>
      <w:r>
        <w:rPr>
          <w:rFonts w:hint="eastAsia" w:ascii="仿宋_GB2312" w:hAnsi="宋体" w:eastAsia="仿宋_GB2312" w:cs="仿宋_GB2312"/>
          <w:sz w:val="32"/>
          <w:szCs w:val="32"/>
        </w:rPr>
        <w:t>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昌江区商务局</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12"/>
        <w:tabs>
          <w:tab w:val="left" w:pos="463"/>
        </w:tabs>
        <w:spacing w:line="560" w:lineRule="exact"/>
        <w:ind w:firstLine="0" w:firstLineChars="0"/>
        <w:rPr>
          <w:rFonts w:ascii="仿宋_GB2312" w:hAnsi="宋体" w:eastAsia="仿宋_GB2312" w:cs="宋体"/>
          <w:color w:val="222120"/>
          <w:kern w:val="0"/>
          <w:sz w:val="32"/>
          <w:szCs w:val="32"/>
        </w:rPr>
      </w:pPr>
      <w:r>
        <w:rPr>
          <w:rFonts w:ascii="仿宋_GB2312" w:hAnsi="宋体" w:eastAsia="仿宋_GB2312" w:cs="宋体"/>
          <w:color w:val="222120"/>
          <w:kern w:val="0"/>
          <w:sz w:val="32"/>
          <w:szCs w:val="32"/>
        </w:rPr>
        <w:t xml:space="preserve"> </w:t>
      </w:r>
      <w:r>
        <w:rPr>
          <w:rFonts w:hint="eastAsia" w:ascii="仿宋_GB2312" w:hAnsi="宋体" w:eastAsia="仿宋_GB2312" w:cs="宋体"/>
          <w:color w:val="222120"/>
          <w:kern w:val="0"/>
          <w:sz w:val="32"/>
          <w:szCs w:val="32"/>
        </w:rPr>
        <w:t>一是贯彻执行国家、省关于国内外贸易、国际经济合作、利用外资和口岸工作法律、法规和方针、政策。</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二是在全市经济和社会发展总体规划的框架内，拟订全区国内外贸易、国际经济合作和口岸开放的发展战略及规划，并组织实施。</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三是拟订年度商务运行调控目标和措施并组织实施，统计、分析和发布重要商务信息，参与协调商务运行中涉及财政、金融、税务、统计等领域的政策问题。</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四是负责推进流通产业结构调整，指导流通企业改革和社区商业发展，负责商贸服务业行业管理，提出促进商贸中小企业发展的政策建议，推动流通标准化和连锁经营、商业特许经营、物流配送、电子商务等现代流通方式的发展。</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五是承担牵头协调整顿和规范我区市场经济秩序工作的责任，参与组织打击商务领域侵犯知识产权、商业欺诈等工作，推动商务领域信用建设，指导商业信用销售，建立市场诚信公共服务平台，对特殊流通行业进行监督管理。</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六是促进城乡市场发展，指导大宗商品批发市场规划和城市商业网点规划、商业体系建设的工作，推进农村市场体系建设，组织实施农村现代流通网络工程。</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七是承担组织实施重要消费品市场调控和重要生产资料流通管理的责任，负责建立健全生活必需品市场供应应急管理机制，监测分析市场运行、商品供求状况，调查分析商品价格信息，进行预测预警和信息引导，按分工负责重要商品储备管理和市场调控工作，负责酒类专卖相关管理工作，按有关规定对成品油流通进行监督管理。</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八是促进贸易增长方式转变，指导和协调贸易促进体系的建立，负责推动企业开拓多万元化国际市场，执行国家、省进出口商品、加工贸易管理办法和进出口管理商品、技术目录，负责组织实施重要工业品、原材料和重要农产品进出口总量计划工作，负责管理机电产品进出口工作，指导和协调加工贸易工作，负责出口加工区的指导协调和审核、报批等工作。</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九是执行国家、省对外技术贸易、出口管制以及鼓励技术和成套设备进出口的政策，推进进出口贸易标准化工作，依法监督技术引进、设备进口、国家限制出口技术的工作，依法颁发防扩散等与国家安全相关的进出口许可证件。</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十是牵头拟订服务贸易发展规划并开展相关工作，会同有关部门制定我区促进服务出口和服务外包发展的规划、政策并组织实施，推动服务外包平台建设。</w:t>
      </w:r>
    </w:p>
    <w:p>
      <w:pPr>
        <w:pStyle w:val="12"/>
        <w:spacing w:line="560" w:lineRule="exact"/>
        <w:ind w:firstLine="640"/>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十一是参与区域经济合作的组织协调工作，负责驻景商会、驻景办事机构和我区驻外商会、驻外办事机构的相关协调服务工作。</w:t>
      </w:r>
    </w:p>
    <w:p>
      <w:pPr>
        <w:pStyle w:val="12"/>
        <w:spacing w:line="560" w:lineRule="exact"/>
        <w:ind w:firstLine="640"/>
        <w:rPr>
          <w:rFonts w:hint="eastAsia"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十二是承办区人民政府交办的其他事项。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商务局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个，包括</w:t>
      </w:r>
      <w:r>
        <w:rPr>
          <w:rFonts w:hint="eastAsia" w:ascii="仿宋_GB2312" w:hAnsi="宋体" w:eastAsia="仿宋_GB2312" w:cs="仿宋_GB2312"/>
          <w:sz w:val="32"/>
          <w:szCs w:val="32"/>
          <w:lang w:val="en-US" w:eastAsia="zh-CN"/>
        </w:rPr>
        <w:t>昌江区商务局</w:t>
      </w:r>
      <w:r>
        <w:rPr>
          <w:rFonts w:hint="eastAsia" w:ascii="仿宋_GB2312" w:hAnsi="宋体" w:eastAsia="仿宋_GB2312" w:cs="仿宋_GB2312"/>
          <w:sz w:val="32"/>
          <w:szCs w:val="32"/>
        </w:rPr>
        <w:t>本级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德镇市昌江区经济合作交流中心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ab/>
      </w:r>
      <w:r>
        <w:rPr>
          <w:rFonts w:hint="eastAsia" w:ascii="仿宋_GB2312" w:hAnsi="宋体" w:eastAsia="仿宋_GB2312" w:cs="仿宋_GB2312"/>
          <w:sz w:val="32"/>
          <w:szCs w:val="32"/>
        </w:rPr>
        <w:t>景德镇市昌江区市场经营服务中心。编制数为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商务局202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商务局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821.24</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736.84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主要是增加了其他收入及上年结余</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386.06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47.01</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322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39.21</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113.19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13.78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商务局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821.24</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加736.84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主要是增加了其他收入及上年结余</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279.78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34.07</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279.3</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23.28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0.48</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80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9.4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80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103.83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12.64</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23.09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2.81</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10.17万元，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1.24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22.97万元，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商业服务等</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661.18万元，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80.22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w:t>
      </w:r>
      <w:r>
        <w:rPr>
          <w:rFonts w:hint="eastAsia" w:ascii="仿宋_GB2312" w:hAnsi="宋体" w:eastAsia="仿宋_GB2312" w:cs="仿宋_GB2312"/>
          <w:sz w:val="32"/>
          <w:szCs w:val="32"/>
          <w:lang w:val="en-US" w:eastAsia="zh-CN"/>
        </w:rPr>
        <w:t>基本工资</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84.08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10.24</w:t>
      </w:r>
      <w:r>
        <w:rPr>
          <w:rFonts w:ascii="仿宋_GB2312" w:hAnsi="宋体" w:eastAsia="仿宋_GB2312" w:cs="仿宋_GB2312"/>
          <w:sz w:val="32"/>
          <w:szCs w:val="32"/>
        </w:rPr>
        <w:t>%</w:t>
      </w:r>
      <w:r>
        <w:rPr>
          <w:rFonts w:hint="eastAsia" w:ascii="仿宋_GB2312" w:hAnsi="宋体" w:eastAsia="仿宋_GB2312" w:cs="仿宋_GB2312"/>
          <w:sz w:val="32"/>
          <w:szCs w:val="32"/>
        </w:rPr>
        <w:t>；津贴补贴</w:t>
      </w:r>
      <w:r>
        <w:rPr>
          <w:rFonts w:hint="eastAsia" w:ascii="仿宋_GB2312" w:hAnsi="宋体" w:eastAsia="仿宋_GB2312" w:cs="仿宋_GB2312"/>
          <w:sz w:val="32"/>
          <w:szCs w:val="32"/>
          <w:lang w:val="en-US" w:eastAsia="zh-CN"/>
        </w:rPr>
        <w:t>支出49.06万元，占支出预算总额的5.98%，奖金22.22万元，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2.71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伙食补助12.1万元，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1.08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机关事业单位基本养老保险缴费23.09万元，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1.47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职工基本医疗保险缴费9.07万元，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1.10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其他社会保障缴费0.62万元，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0.07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住房公积金22.97万元，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其他工资福利支出56.1万元，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6.83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eastAsia="仿宋_GB2312"/>
          <w:sz w:val="32"/>
          <w:szCs w:val="32"/>
        </w:rPr>
        <w:t>对个人和家庭的补助</w:t>
      </w:r>
      <w:r>
        <w:rPr>
          <w:rFonts w:hint="eastAsia" w:eastAsia="仿宋_GB2312"/>
          <w:sz w:val="32"/>
          <w:szCs w:val="32"/>
          <w:lang w:val="en-US" w:eastAsia="zh-CN"/>
        </w:rPr>
        <w:t>0.48万元，占支出预算总额的0.06%，</w:t>
      </w:r>
      <w:r>
        <w:rPr>
          <w:rFonts w:hint="eastAsia" w:ascii="仿宋_GB2312" w:hAnsi="宋体" w:eastAsia="仿宋_GB2312" w:cs="仿宋_GB2312"/>
          <w:sz w:val="32"/>
          <w:szCs w:val="32"/>
          <w:lang w:val="en-US" w:eastAsia="zh-CN"/>
        </w:rPr>
        <w:t>办公费5.5万元，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0.67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印刷费11.5万元，</w:t>
      </w:r>
      <w:r>
        <w:rPr>
          <w:rFonts w:hint="eastAsia" w:eastAsia="仿宋_GB2312"/>
          <w:sz w:val="32"/>
          <w:szCs w:val="32"/>
          <w:lang w:val="en-US" w:eastAsia="zh-CN"/>
        </w:rPr>
        <w:t>占支出预算总额的1.4%，取暖费0万元，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eastAsia="仿宋_GB2312"/>
          <w:sz w:val="32"/>
          <w:szCs w:val="32"/>
          <w:lang w:val="en-US" w:eastAsia="zh-CN"/>
        </w:rPr>
        <w:t>差旅费3.1万元，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0.0.38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eastAsia="仿宋_GB2312"/>
          <w:sz w:val="32"/>
          <w:szCs w:val="32"/>
          <w:lang w:val="en-US" w:eastAsia="zh-CN"/>
        </w:rPr>
        <w:t>公务接待费4.2万元，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0.51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工会经费5.7万元，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0.69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福利费1.44万元，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其他交通费6.84万元，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0.83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办公设备购置3万元，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0.37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65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7.91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商务局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386.06</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47.01</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加92.27万元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主要是增加了其他收入及上年结余</w:t>
      </w:r>
      <w:r>
        <w:rPr>
          <w:rFonts w:hint="eastAsia" w:ascii="仿宋_GB2312" w:hAnsi="宋体" w:eastAsia="仿宋_GB2312" w:cs="仿宋_GB2312"/>
          <w:sz w:val="32"/>
          <w:szCs w:val="32"/>
        </w:rPr>
        <w:t>。具体支出情况是：一般公共服务</w:t>
      </w:r>
      <w:r>
        <w:rPr>
          <w:rFonts w:hint="eastAsia" w:ascii="仿宋_GB2312" w:hAnsi="宋体" w:eastAsia="仿宋_GB2312" w:cs="仿宋_GB2312"/>
          <w:sz w:val="32"/>
          <w:szCs w:val="32"/>
          <w:lang w:val="en-US" w:eastAsia="zh-CN"/>
        </w:rPr>
        <w:t>81.84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21.2</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23.09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5.98</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10.17万元，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2.63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22.97万元，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5.99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商业服务等</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247.99万元，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64.23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hint="default" w:eastAsia="仿宋_GB2312"/>
          <w:sz w:val="32"/>
          <w:szCs w:val="32"/>
          <w:lang w:val="en-US" w:eastAsia="zh-CN"/>
        </w:rPr>
      </w:pPr>
      <w:r>
        <w:rPr>
          <w:rFonts w:hint="eastAsia" w:eastAsia="仿宋_GB2312"/>
          <w:sz w:val="32"/>
          <w:szCs w:val="32"/>
        </w:rPr>
        <w:t>2023</w:t>
      </w:r>
      <w:r>
        <w:rPr>
          <w:rFonts w:eastAsia="仿宋_GB2312"/>
          <w:sz w:val="32"/>
          <w:szCs w:val="32"/>
        </w:rPr>
        <w:t>年政府采购预算为</w:t>
      </w:r>
      <w:r>
        <w:rPr>
          <w:rFonts w:hint="eastAsia" w:eastAsia="仿宋_GB2312"/>
          <w:sz w:val="32"/>
          <w:szCs w:val="32"/>
        </w:rPr>
        <w:t>18万元</w:t>
      </w:r>
      <w:r>
        <w:rPr>
          <w:rFonts w:hint="eastAsia" w:eastAsia="仿宋_GB2312"/>
          <w:sz w:val="32"/>
          <w:szCs w:val="32"/>
          <w:lang w:eastAsia="zh-CN"/>
        </w:rPr>
        <w:t>，</w:t>
      </w:r>
      <w:r>
        <w:rPr>
          <w:rFonts w:hint="eastAsia" w:eastAsia="仿宋_GB2312"/>
          <w:sz w:val="32"/>
          <w:szCs w:val="32"/>
          <w:lang w:val="en-US" w:eastAsia="zh-CN"/>
        </w:rPr>
        <w:t>比上年增加17.6万元，主要是增加了办公设备购置预算计划。分散采购预算18万元。</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本单位本年度没有政府基金收支</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商务局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4.2</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4.2</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加0.9</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是接待招商引资外来人员预计增加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年部门整体绩效目标</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保障商务局在职人员3人的正常办公、生活秩序.</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严格落实收入目标、积极开展商务资源建设、承担牵头协调整顿和规范我区区场经济秩序工作的责任，参与组织打击商务领域侵占知识产权、商业欺诈等工作，推动商务领域信用建设，指导商业信用销售，建立区场诚信公开服务平台，对特殊流通行业进行监督管理。</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指导流通企业改革的社区商业发展，负责商贸服务行业管理，提出促进商贸中小企业发展的政策建议，推动流通标准化和连锁经营，商业特许经营，物流配送，电子商务等现代化流通方式的发展。</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完成区定规模以上服务企业、限额以上批发零售住宿餐饮企业任务，完成环境保护，减轻农民负担工作；精准扶贫,巩固脱贫成果。</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部门预算情况    </w:t>
      </w:r>
    </w:p>
    <w:p>
      <w:pPr>
        <w:ind w:firstLine="640" w:firstLineChars="200"/>
        <w:rPr>
          <w:rFonts w:eastAsia="仿宋_GB2312"/>
          <w:sz w:val="32"/>
          <w:szCs w:val="32"/>
        </w:rPr>
      </w:pPr>
      <w:r>
        <w:rPr>
          <w:rFonts w:hint="eastAsia" w:eastAsia="仿宋_GB2312"/>
          <w:sz w:val="32"/>
          <w:szCs w:val="32"/>
        </w:rPr>
        <w:t>2023</w:t>
      </w:r>
      <w:r>
        <w:rPr>
          <w:rFonts w:eastAsia="仿宋_GB2312"/>
          <w:sz w:val="32"/>
          <w:szCs w:val="32"/>
        </w:rPr>
        <w:t>年支出预算总额为</w:t>
      </w:r>
      <w:r>
        <w:rPr>
          <w:rFonts w:hint="eastAsia" w:eastAsia="仿宋_GB2312"/>
          <w:sz w:val="32"/>
          <w:szCs w:val="32"/>
        </w:rPr>
        <w:t>821.24万元</w:t>
      </w:r>
      <w:r>
        <w:rPr>
          <w:rFonts w:eastAsia="仿宋_GB2312"/>
          <w:sz w:val="32"/>
          <w:szCs w:val="32"/>
        </w:rPr>
        <w:t>。其中：按支出项目类别划分：基本支出</w:t>
      </w:r>
      <w:r>
        <w:rPr>
          <w:rFonts w:hint="eastAsia" w:eastAsia="仿宋_GB2312"/>
          <w:sz w:val="32"/>
          <w:szCs w:val="32"/>
        </w:rPr>
        <w:t>279.78万元</w:t>
      </w:r>
      <w:r>
        <w:rPr>
          <w:rFonts w:eastAsia="仿宋_GB2312"/>
          <w:sz w:val="32"/>
          <w:szCs w:val="32"/>
        </w:rPr>
        <w:t>，占支出预算总额的</w:t>
      </w:r>
      <w:r>
        <w:rPr>
          <w:rFonts w:hint="eastAsia" w:eastAsia="仿宋_GB2312"/>
          <w:sz w:val="32"/>
          <w:szCs w:val="32"/>
        </w:rPr>
        <w:t>34</w:t>
      </w:r>
      <w:r>
        <w:rPr>
          <w:rFonts w:eastAsia="仿宋_GB2312"/>
          <w:sz w:val="32"/>
          <w:szCs w:val="32"/>
        </w:rPr>
        <w:t>%，其中</w:t>
      </w:r>
      <w:r>
        <w:rPr>
          <w:rFonts w:hint="eastAsia" w:eastAsia="仿宋_GB2312"/>
          <w:sz w:val="32"/>
          <w:szCs w:val="32"/>
        </w:rPr>
        <w:t>：</w:t>
      </w:r>
      <w:r>
        <w:rPr>
          <w:rFonts w:eastAsia="仿宋_GB2312"/>
          <w:sz w:val="32"/>
          <w:szCs w:val="32"/>
        </w:rPr>
        <w:t>工资福利支出</w:t>
      </w:r>
      <w:r>
        <w:rPr>
          <w:rFonts w:hint="eastAsia" w:eastAsia="仿宋_GB2312"/>
          <w:sz w:val="32"/>
          <w:szCs w:val="32"/>
        </w:rPr>
        <w:t>279.30万元</w:t>
      </w:r>
      <w:r>
        <w:rPr>
          <w:rFonts w:eastAsia="仿宋_GB2312"/>
          <w:sz w:val="32"/>
          <w:szCs w:val="32"/>
        </w:rPr>
        <w:t>、对个人和家庭的补助</w:t>
      </w:r>
      <w:r>
        <w:rPr>
          <w:rFonts w:hint="eastAsia" w:eastAsia="仿宋_GB2312"/>
          <w:sz w:val="32"/>
          <w:szCs w:val="32"/>
        </w:rPr>
        <w:t>0.48万元。公用经费支出26.28万元，占支出预算总额3%,其中：</w:t>
      </w:r>
      <w:r>
        <w:rPr>
          <w:rFonts w:eastAsia="仿宋_GB2312"/>
          <w:sz w:val="32"/>
          <w:szCs w:val="32"/>
        </w:rPr>
        <w:t>商品和服务支出</w:t>
      </w:r>
      <w:r>
        <w:rPr>
          <w:rFonts w:hint="eastAsia" w:eastAsia="仿宋_GB2312"/>
          <w:sz w:val="32"/>
          <w:szCs w:val="32"/>
        </w:rPr>
        <w:t>23.28万元</w:t>
      </w:r>
      <w:r>
        <w:rPr>
          <w:rFonts w:eastAsia="仿宋_GB2312"/>
          <w:sz w:val="32"/>
          <w:szCs w:val="32"/>
        </w:rPr>
        <w:t>；项目支出</w:t>
      </w:r>
      <w:r>
        <w:rPr>
          <w:rFonts w:hint="eastAsia" w:eastAsia="仿宋_GB2312"/>
          <w:sz w:val="32"/>
          <w:szCs w:val="32"/>
        </w:rPr>
        <w:t>80万元</w:t>
      </w:r>
      <w:r>
        <w:rPr>
          <w:rFonts w:eastAsia="仿宋_GB2312"/>
          <w:sz w:val="32"/>
          <w:szCs w:val="32"/>
        </w:rPr>
        <w:t>，占支出预算总额</w:t>
      </w:r>
      <w:r>
        <w:rPr>
          <w:rFonts w:hint="eastAsia" w:eastAsia="仿宋_GB2312"/>
          <w:sz w:val="32"/>
          <w:szCs w:val="32"/>
        </w:rPr>
        <w:t>10</w:t>
      </w:r>
      <w:r>
        <w:rPr>
          <w:rFonts w:eastAsia="仿宋_GB2312"/>
          <w:sz w:val="32"/>
          <w:szCs w:val="32"/>
        </w:rPr>
        <w:t>%。</w:t>
      </w:r>
      <w:r>
        <w:rPr>
          <w:rFonts w:hint="eastAsia" w:eastAsia="仿宋_GB2312"/>
          <w:sz w:val="32"/>
          <w:szCs w:val="32"/>
        </w:rPr>
        <w:t>其他</w:t>
      </w:r>
      <w:r>
        <w:rPr>
          <w:rFonts w:eastAsia="仿宋_GB2312"/>
          <w:sz w:val="32"/>
          <w:szCs w:val="32"/>
        </w:rPr>
        <w:t>支出</w:t>
      </w:r>
      <w:r>
        <w:rPr>
          <w:rFonts w:hint="eastAsia" w:eastAsia="仿宋_GB2312"/>
          <w:sz w:val="32"/>
          <w:szCs w:val="32"/>
        </w:rPr>
        <w:t>322万元，</w:t>
      </w:r>
      <w:r>
        <w:rPr>
          <w:rFonts w:eastAsia="仿宋_GB2312"/>
          <w:sz w:val="32"/>
          <w:szCs w:val="32"/>
        </w:rPr>
        <w:t>占支出预算总额的</w:t>
      </w:r>
      <w:r>
        <w:rPr>
          <w:rFonts w:hint="eastAsia" w:eastAsia="仿宋_GB2312"/>
          <w:sz w:val="32"/>
          <w:szCs w:val="32"/>
        </w:rPr>
        <w:t>39</w:t>
      </w:r>
      <w:r>
        <w:rPr>
          <w:rFonts w:eastAsia="仿宋_GB2312"/>
          <w:sz w:val="32"/>
          <w:szCs w:val="32"/>
        </w:rPr>
        <w:t>%</w:t>
      </w:r>
      <w:r>
        <w:rPr>
          <w:rFonts w:hint="eastAsia" w:eastAsia="仿宋_GB2312"/>
          <w:sz w:val="32"/>
          <w:szCs w:val="32"/>
        </w:rPr>
        <w:t>。上年结转资金113.19万元，</w:t>
      </w:r>
      <w:r>
        <w:rPr>
          <w:rFonts w:eastAsia="仿宋_GB2312"/>
          <w:sz w:val="32"/>
          <w:szCs w:val="32"/>
        </w:rPr>
        <w:t>占支出预算总额的</w:t>
      </w:r>
      <w:r>
        <w:rPr>
          <w:rFonts w:hint="eastAsia" w:eastAsia="仿宋_GB2312"/>
          <w:sz w:val="32"/>
          <w:szCs w:val="32"/>
        </w:rPr>
        <w:t>13.8</w:t>
      </w:r>
      <w:r>
        <w:rPr>
          <w:rFonts w:eastAsia="仿宋_GB2312"/>
          <w:sz w:val="32"/>
          <w:szCs w:val="32"/>
        </w:rPr>
        <w:t>%</w:t>
      </w:r>
      <w:r>
        <w:rPr>
          <w:rFonts w:hint="eastAsia" w:eastAsia="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 xml:space="preserve">年实行绩效目标管理的二级项目  </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 xml:space="preserve">  个</w:t>
      </w:r>
      <w:r>
        <w:rPr>
          <w:rFonts w:hint="eastAsia" w:ascii="仿宋_GB2312" w:eastAsia="仿宋_GB2312"/>
          <w:color w:val="000000"/>
          <w:sz w:val="32"/>
          <w:szCs w:val="30"/>
          <w:lang w:eastAsia="zh-CN"/>
        </w:rPr>
        <w:t>，</w:t>
      </w:r>
      <w:r>
        <w:rPr>
          <w:rFonts w:hint="eastAsia" w:ascii="仿宋_GB2312" w:eastAsia="仿宋_GB2312"/>
          <w:color w:val="000000"/>
          <w:sz w:val="32"/>
          <w:szCs w:val="30"/>
        </w:rPr>
        <w:t xml:space="preserve">部门预算中 </w:t>
      </w:r>
      <w:r>
        <w:rPr>
          <w:rFonts w:hint="eastAsia" w:ascii="仿宋_GB2312" w:eastAsia="仿宋_GB2312"/>
          <w:color w:val="000000"/>
          <w:sz w:val="32"/>
          <w:szCs w:val="30"/>
          <w:lang w:val="en-US" w:eastAsia="zh-CN"/>
        </w:rPr>
        <w:t>80</w:t>
      </w:r>
      <w:r>
        <w:rPr>
          <w:rFonts w:hint="eastAsia" w:ascii="仿宋_GB2312" w:eastAsia="仿宋_GB2312"/>
          <w:color w:val="000000"/>
          <w:sz w:val="32"/>
          <w:szCs w:val="30"/>
        </w:rPr>
        <w:t xml:space="preserve"> 万元以上的，且进行了绩效评审的项目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60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（九）xx各二级项目情况说明（部门本级）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1.招商工作经费</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提升招商引资工作质量和水平，推动经济高质量跨越式发展。</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立项依据</w:t>
      </w:r>
    </w:p>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三定方案及招商引资条例</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实施主体</w:t>
      </w:r>
    </w:p>
    <w:p>
      <w:pPr>
        <w:widowControl/>
        <w:numPr>
          <w:ilvl w:val="0"/>
          <w:numId w:val="0"/>
        </w:numPr>
        <w:spacing w:line="600" w:lineRule="exact"/>
        <w:ind w:firstLine="640" w:firstLineChars="20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招商引资各项工作</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实施方案</w:t>
      </w:r>
    </w:p>
    <w:p>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开展精准招商推介，组织和参加各类招商引资活动，引进项目，促进经济转型和产业发展</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实施周期</w:t>
      </w:r>
    </w:p>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在2023年年底完成招商引资年初安排计划</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年度预算安排</w:t>
      </w:r>
    </w:p>
    <w:p>
      <w:pPr>
        <w:widowControl/>
        <w:numPr>
          <w:ilvl w:val="0"/>
          <w:numId w:val="0"/>
        </w:numPr>
        <w:spacing w:line="600" w:lineRule="exact"/>
        <w:ind w:firstLine="640" w:firstLineChars="20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招商工作经费年初预算为60万元，该资金全部用于招商引资各项工作支出。</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绩效目标</w:t>
      </w:r>
    </w:p>
    <w:p>
      <w:pPr>
        <w:widowControl/>
        <w:numPr>
          <w:ilvl w:val="0"/>
          <w:numId w:val="0"/>
        </w:numPr>
        <w:spacing w:line="600" w:lineRule="exact"/>
        <w:ind w:firstLine="640" w:firstLineChars="200"/>
        <w:jc w:val="left"/>
        <w:rPr>
          <w:rFonts w:hint="eastAsia" w:ascii="仿宋_GB2312" w:eastAsia="仿宋_GB2312"/>
          <w:b w:val="0"/>
          <w:bCs w:val="0"/>
          <w:color w:val="000000"/>
          <w:sz w:val="32"/>
          <w:szCs w:val="30"/>
        </w:rPr>
      </w:pPr>
      <w:r>
        <w:rPr>
          <w:rFonts w:hint="eastAsia" w:ascii="仿宋_GB2312" w:eastAsia="仿宋_GB2312"/>
          <w:b w:val="0"/>
          <w:bCs w:val="0"/>
          <w:color w:val="000000"/>
          <w:sz w:val="32"/>
          <w:szCs w:val="30"/>
        </w:rPr>
        <w:t>提升招商引资工作质量和水平，推动经济高质量跨越式发展。</w:t>
      </w:r>
    </w:p>
    <w:p>
      <w:pPr>
        <w:widowControl/>
        <w:numPr>
          <w:ilvl w:val="0"/>
          <w:numId w:val="0"/>
        </w:numPr>
        <w:spacing w:line="600" w:lineRule="exact"/>
        <w:ind w:left="112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rPr>
        <w:t>指标</w:t>
      </w:r>
      <w:r>
        <w:rPr>
          <w:rFonts w:hint="eastAsia" w:ascii="仿宋_GB2312" w:eastAsia="仿宋_GB2312"/>
          <w:color w:val="000000"/>
          <w:sz w:val="32"/>
          <w:szCs w:val="30"/>
          <w:lang w:val="en-US" w:eastAsia="zh-CN"/>
        </w:rPr>
        <w:t>如下表</w:t>
      </w:r>
    </w:p>
    <w:tbl>
      <w:tblPr>
        <w:tblStyle w:val="6"/>
        <w:tblW w:w="9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77"/>
        <w:gridCol w:w="1345"/>
        <w:gridCol w:w="1918"/>
        <w:gridCol w:w="2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赴外商务洽谈活动次数（次）</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赴外商务洽谈活动人数（人）</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引进企业数（个）</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项目完成及时率（%）</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外出招商交通成本（万元）</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外出住宿成本（万元）</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场地、设备租赁成本（万元）</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促进经济发展</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促进社会发展</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昌江区</w:t>
      </w:r>
      <w:r>
        <w:rPr>
          <w:rFonts w:ascii="黑体" w:hAnsi="宋体" w:eastAsia="黑体" w:cs="黑体"/>
          <w:sz w:val="32"/>
          <w:szCs w:val="32"/>
        </w:rPr>
        <w:t xml:space="preserve"> </w:t>
      </w:r>
      <w:r>
        <w:rPr>
          <w:rFonts w:hint="eastAsia" w:ascii="黑体" w:hAnsi="宋体" w:eastAsia="黑体" w:cs="黑体"/>
          <w:sz w:val="32"/>
          <w:szCs w:val="32"/>
          <w:lang w:eastAsia="zh-CN"/>
        </w:rPr>
        <w:t>商务局2023</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ind w:firstLine="640" w:firstLineChars="200"/>
        <w:rPr>
          <w:rFonts w:hint="eastAsia"/>
          <w:color w:val="auto"/>
        </w:rPr>
      </w:pPr>
      <w:r>
        <w:rPr>
          <w:rFonts w:hint="eastAsia" w:ascii="仿宋_GB2312" w:hAnsi="宋体" w:eastAsia="仿宋_GB2312" w:cs="宋体"/>
          <w:color w:val="auto"/>
          <w:kern w:val="0"/>
          <w:sz w:val="32"/>
          <w:szCs w:val="32"/>
        </w:rPr>
        <w:t>一般公共服务（类）财政事务（款）行政运行（项）：指财政部门行政单位及参照公务员管理的事业单位，用于保障机构正常运行，开展日常工作的基本支出。</w:t>
      </w:r>
    </w:p>
    <w:p>
      <w:pPr>
        <w:rPr>
          <w:rFonts w:ascii="仿宋_GB2312" w:eastAsia="仿宋_GB2312" w:cs="Times New Roman"/>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A15EA"/>
    <w:multiLevelType w:val="singleLevel"/>
    <w:tmpl w:val="BE6A15EA"/>
    <w:lvl w:ilvl="0" w:tentative="0">
      <w:start w:val="2"/>
      <w:numFmt w:val="decimal"/>
      <w:suff w:val="nothing"/>
      <w:lvlText w:val="%1）"/>
      <w:lvlJc w:val="left"/>
      <w:pPr>
        <w:ind w:left="1120" w:leftChars="0" w:firstLine="0" w:firstLineChars="0"/>
      </w:p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OWQyMjE5ODZhNWZkYTRjOWNmNDEwNjM2MDNmYTE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42D0727"/>
    <w:rsid w:val="162B4B72"/>
    <w:rsid w:val="18AC060B"/>
    <w:rsid w:val="19076E1D"/>
    <w:rsid w:val="1D2F3B9F"/>
    <w:rsid w:val="1EBD751D"/>
    <w:rsid w:val="1F117155"/>
    <w:rsid w:val="204B45CE"/>
    <w:rsid w:val="25705B71"/>
    <w:rsid w:val="29D76F3F"/>
    <w:rsid w:val="2DBB222D"/>
    <w:rsid w:val="31D40AAE"/>
    <w:rsid w:val="32850B4B"/>
    <w:rsid w:val="381119B2"/>
    <w:rsid w:val="3BD871B8"/>
    <w:rsid w:val="3CF55A87"/>
    <w:rsid w:val="429A727D"/>
    <w:rsid w:val="4322216B"/>
    <w:rsid w:val="4A4D0174"/>
    <w:rsid w:val="4C0B38BC"/>
    <w:rsid w:val="4C0B7195"/>
    <w:rsid w:val="4C555C2F"/>
    <w:rsid w:val="4D3B293C"/>
    <w:rsid w:val="51B40312"/>
    <w:rsid w:val="545D5338"/>
    <w:rsid w:val="56552A05"/>
    <w:rsid w:val="57CC144D"/>
    <w:rsid w:val="62B20F12"/>
    <w:rsid w:val="63973295"/>
    <w:rsid w:val="641E7445"/>
    <w:rsid w:val="6B857389"/>
    <w:rsid w:val="71452C49"/>
    <w:rsid w:val="73224148"/>
    <w:rsid w:val="772860B1"/>
    <w:rsid w:val="7AD42CD3"/>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 w:type="paragraph" w:customStyle="1" w:styleId="12">
    <w:name w:val="List Paragraph1"/>
    <w:basedOn w:val="1"/>
    <w:qFormat/>
    <w:uiPriority w:val="0"/>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4348</Words>
  <Characters>4802</Characters>
  <Lines>3</Lines>
  <Paragraphs>5</Paragraphs>
  <TotalTime>202</TotalTime>
  <ScaleCrop>false</ScaleCrop>
  <LinksUpToDate>false</LinksUpToDate>
  <CharactersWithSpaces>4870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24678</cp:lastModifiedBy>
  <cp:lastPrinted>2023-03-10T03:28:31Z</cp:lastPrinted>
  <dcterms:modified xsi:type="dcterms:W3CDTF">2023-03-10T06:11:43Z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01E223607E764CC48F9683E8E7D236D0</vt:lpwstr>
  </property>
</Properties>
</file>