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13" w:line="339" w:lineRule="auto"/>
        <w:ind w:left="3579" w:right="1122" w:hanging="2414"/>
        <w:outlineLvl w:val="0"/>
      </w:pPr>
      <w:bookmarkStart w:id="0" w:name="_GoBack"/>
      <w:bookmarkEnd w:id="0"/>
      <w:r>
        <w:rPr>
          <w:rFonts w:ascii="微软雅黑" w:hAnsi="微软雅黑" w:eastAsia="微软雅黑" w:cs="微软雅黑"/>
          <w:spacing w:val="3"/>
          <w:sz w:val="43"/>
          <w:szCs w:val="43"/>
        </w:rPr>
        <w:t>昌江区商务局 2024 年部门预算</w:t>
      </w:r>
      <w:r>
        <w:rPr>
          <w:rFonts w:ascii="微软雅黑" w:hAnsi="微软雅黑" w:eastAsia="微软雅黑" w:cs="微软雅黑"/>
          <w:spacing w:val="1"/>
          <w:sz w:val="43"/>
          <w:szCs w:val="43"/>
        </w:rPr>
        <w:t xml:space="preserve"> </w:t>
      </w:r>
      <w:r>
        <w:rPr>
          <w:spacing w:val="-22"/>
        </w:rPr>
        <w:t>目</w:t>
      </w:r>
      <w:r>
        <w:rPr>
          <w:spacing w:val="8"/>
        </w:rPr>
        <w:t xml:space="preserve">    </w:t>
      </w:r>
      <w:r>
        <w:rPr>
          <w:spacing w:val="-22"/>
        </w:rPr>
        <w:t>录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pStyle w:val="2"/>
        <w:spacing w:before="101" w:line="226" w:lineRule="auto"/>
        <w:ind w:left="667"/>
      </w:pPr>
      <w:r>
        <w:rPr>
          <w:spacing w:val="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第一部分</w:t>
      </w:r>
      <w:r>
        <w:rPr>
          <w:spacing w:val="28"/>
        </w:rPr>
        <w:t xml:space="preserve">  </w:t>
      </w:r>
      <w:r>
        <w:rPr>
          <w:spacing w:val="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昌江区商务局概况</w:t>
      </w:r>
    </w:p>
    <w:p>
      <w:pPr>
        <w:spacing w:before="180" w:line="222" w:lineRule="auto"/>
        <w:ind w:left="13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一、部门主要职责</w:t>
      </w:r>
    </w:p>
    <w:p>
      <w:pPr>
        <w:spacing w:before="187" w:line="222" w:lineRule="auto"/>
        <w:ind w:left="13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二、机构设置及人员情况</w:t>
      </w:r>
    </w:p>
    <w:p>
      <w:pPr>
        <w:pStyle w:val="2"/>
        <w:spacing w:before="187" w:line="226" w:lineRule="auto"/>
        <w:ind w:left="667"/>
      </w:pP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第二部分</w:t>
      </w:r>
      <w:r>
        <w:rPr>
          <w:spacing w:val="7"/>
        </w:rPr>
        <w:t xml:space="preserve">  </w:t>
      </w: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</w:t>
      </w:r>
      <w:r>
        <w:rPr>
          <w:spacing w:val="-46"/>
        </w:rPr>
        <w:t xml:space="preserve"> </w:t>
      </w: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2024</w:t>
      </w:r>
      <w:r>
        <w:rPr>
          <w:spacing w:val="-61"/>
        </w:rPr>
        <w:t xml:space="preserve"> </w:t>
      </w: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年部门预算表</w:t>
      </w:r>
    </w:p>
    <w:p>
      <w:pPr>
        <w:spacing w:line="180" w:lineRule="exact"/>
      </w:pPr>
    </w:p>
    <w:tbl>
      <w:tblPr>
        <w:tblStyle w:val="5"/>
        <w:tblW w:w="3975" w:type="dxa"/>
        <w:tblInd w:w="131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6"/>
        <w:gridCol w:w="338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586" w:type="dxa"/>
            <w:vAlign w:val="top"/>
          </w:tcPr>
          <w:p>
            <w:pPr>
              <w:spacing w:before="134" w:line="231" w:lineRule="auto"/>
              <w:ind w:left="8"/>
              <w:rPr>
                <w:rFonts w:ascii="仿宋" w:hAnsi="仿宋" w:eastAsia="仿宋" w:cs="仿宋"/>
                <w:sz w:val="13"/>
                <w:szCs w:val="13"/>
              </w:rPr>
            </w:pPr>
            <w:r>
              <w:rPr>
                <w:rFonts w:ascii="仿宋" w:hAnsi="仿宋" w:eastAsia="仿宋" w:cs="仿宋"/>
                <w:spacing w:val="45"/>
                <w:w w:val="125"/>
                <w:sz w:val="13"/>
                <w:szCs w:val="13"/>
              </w:rPr>
              <w:t>一</w:t>
            </w:r>
            <w:r>
              <w:rPr>
                <w:rFonts w:ascii="仿宋" w:hAnsi="仿宋" w:eastAsia="仿宋" w:cs="仿宋"/>
                <w:spacing w:val="-26"/>
                <w:sz w:val="13"/>
                <w:szCs w:val="13"/>
              </w:rPr>
              <w:t xml:space="preserve"> </w:t>
            </w:r>
            <w:r>
              <w:rPr>
                <w:rFonts w:ascii="仿宋" w:hAnsi="仿宋" w:eastAsia="仿宋" w:cs="仿宋"/>
                <w:spacing w:val="45"/>
                <w:w w:val="125"/>
                <w:sz w:val="13"/>
                <w:szCs w:val="13"/>
              </w:rPr>
              <w:t>、</w:t>
            </w:r>
          </w:p>
        </w:tc>
        <w:tc>
          <w:tcPr>
            <w:tcW w:w="3389" w:type="dxa"/>
            <w:vAlign w:val="top"/>
          </w:tcPr>
          <w:p>
            <w:pPr>
              <w:spacing w:before="1" w:line="221" w:lineRule="auto"/>
              <w:ind w:left="35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"/>
                <w:sz w:val="31"/>
                <w:szCs w:val="31"/>
              </w:rPr>
              <w:t>《收支预算总表》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86" w:type="dxa"/>
            <w:vAlign w:val="top"/>
          </w:tcPr>
          <w:p>
            <w:pPr>
              <w:spacing w:before="190" w:line="160" w:lineRule="auto"/>
              <w:jc w:val="righ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-38"/>
                <w:sz w:val="31"/>
                <w:szCs w:val="31"/>
              </w:rPr>
              <w:t>二、</w:t>
            </w:r>
          </w:p>
        </w:tc>
        <w:tc>
          <w:tcPr>
            <w:tcW w:w="3389" w:type="dxa"/>
            <w:vAlign w:val="top"/>
          </w:tcPr>
          <w:p>
            <w:pPr>
              <w:spacing w:before="120" w:line="222" w:lineRule="auto"/>
              <w:ind w:left="35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"/>
                <w:sz w:val="31"/>
                <w:szCs w:val="31"/>
              </w:rPr>
              <w:t>《部门收入总表》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586" w:type="dxa"/>
            <w:vAlign w:val="top"/>
          </w:tcPr>
          <w:p>
            <w:pPr>
              <w:spacing w:before="123" w:line="231" w:lineRule="auto"/>
              <w:jc w:val="righ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-41"/>
                <w:sz w:val="31"/>
                <w:szCs w:val="31"/>
              </w:rPr>
              <w:t>三、</w:t>
            </w:r>
          </w:p>
        </w:tc>
        <w:tc>
          <w:tcPr>
            <w:tcW w:w="3389" w:type="dxa"/>
            <w:vAlign w:val="top"/>
          </w:tcPr>
          <w:p>
            <w:pPr>
              <w:spacing w:before="122" w:line="222" w:lineRule="auto"/>
              <w:ind w:left="35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"/>
                <w:sz w:val="31"/>
                <w:szCs w:val="31"/>
              </w:rPr>
              <w:t>《部门支出总表》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6" w:type="dxa"/>
            <w:vAlign w:val="top"/>
          </w:tcPr>
          <w:p>
            <w:pPr>
              <w:spacing w:before="121" w:line="231" w:lineRule="auto"/>
              <w:jc w:val="righ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-48"/>
                <w:sz w:val="31"/>
                <w:szCs w:val="31"/>
              </w:rPr>
              <w:t>四、</w:t>
            </w:r>
          </w:p>
        </w:tc>
        <w:tc>
          <w:tcPr>
            <w:tcW w:w="3389" w:type="dxa"/>
            <w:vAlign w:val="top"/>
          </w:tcPr>
          <w:p>
            <w:pPr>
              <w:spacing w:before="121" w:line="223" w:lineRule="auto"/>
              <w:ind w:left="35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"/>
                <w:sz w:val="31"/>
                <w:szCs w:val="31"/>
              </w:rPr>
              <w:t>《财政拨款收支总表》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586" w:type="dxa"/>
            <w:vAlign w:val="top"/>
          </w:tcPr>
          <w:p>
            <w:pPr>
              <w:spacing w:before="169" w:line="258" w:lineRule="exact"/>
              <w:jc w:val="righ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-35"/>
                <w:position w:val="-3"/>
                <w:sz w:val="31"/>
                <w:szCs w:val="31"/>
              </w:rPr>
              <w:t>五、</w:t>
            </w:r>
          </w:p>
        </w:tc>
        <w:tc>
          <w:tcPr>
            <w:tcW w:w="3389" w:type="dxa"/>
            <w:vAlign w:val="top"/>
          </w:tcPr>
          <w:p>
            <w:pPr>
              <w:spacing w:before="120" w:line="183" w:lineRule="auto"/>
              <w:jc w:val="righ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-6"/>
                <w:sz w:val="31"/>
                <w:szCs w:val="31"/>
              </w:rPr>
              <w:t>《一般公共预算支出表》</w:t>
            </w:r>
          </w:p>
        </w:tc>
      </w:tr>
    </w:tbl>
    <w:p>
      <w:pPr>
        <w:spacing w:before="244" w:line="222" w:lineRule="auto"/>
        <w:ind w:left="13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六、《一般公共预算基本支出表》</w:t>
      </w:r>
    </w:p>
    <w:p>
      <w:pPr>
        <w:spacing w:before="187" w:line="223" w:lineRule="auto"/>
        <w:ind w:left="13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七、《财政拨款</w:t>
      </w:r>
      <w:r>
        <w:rPr>
          <w:rFonts w:ascii="仿宋" w:hAnsi="仿宋" w:eastAsia="仿宋" w:cs="仿宋"/>
          <w:spacing w:val="-9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-1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三公”经费支出表》</w:t>
      </w:r>
    </w:p>
    <w:p>
      <w:pPr>
        <w:spacing w:before="185" w:line="220" w:lineRule="auto"/>
        <w:ind w:left="13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八、《政府性基金预算支出表》</w:t>
      </w:r>
    </w:p>
    <w:p>
      <w:pPr>
        <w:spacing w:before="191" w:line="559" w:lineRule="exact"/>
        <w:ind w:left="13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18"/>
          <w:sz w:val="31"/>
          <w:szCs w:val="31"/>
        </w:rPr>
        <w:t>九、《国有资本经营预算支出表》</w:t>
      </w:r>
    </w:p>
    <w:p>
      <w:pPr>
        <w:spacing w:before="2" w:line="221" w:lineRule="auto"/>
        <w:ind w:left="13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十、《部门整体支出绩效目标表》</w:t>
      </w:r>
    </w:p>
    <w:p>
      <w:pPr>
        <w:spacing w:before="187" w:line="222" w:lineRule="auto"/>
        <w:ind w:left="13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十一、《项目绩效目标表》</w:t>
      </w:r>
    </w:p>
    <w:p>
      <w:pPr>
        <w:pStyle w:val="2"/>
        <w:spacing w:before="188" w:line="226" w:lineRule="auto"/>
        <w:ind w:left="667"/>
      </w:pP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第三部分</w:t>
      </w:r>
      <w:r>
        <w:rPr>
          <w:spacing w:val="8"/>
        </w:rPr>
        <w:t xml:space="preserve">  </w:t>
      </w: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</w:t>
      </w:r>
      <w:r>
        <w:rPr>
          <w:spacing w:val="-57"/>
        </w:rPr>
        <w:t xml:space="preserve"> </w:t>
      </w: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2024</w:t>
      </w:r>
      <w:r>
        <w:rPr>
          <w:spacing w:val="-61"/>
        </w:rPr>
        <w:t xml:space="preserve"> </w:t>
      </w: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年部门预算情况说明</w:t>
      </w:r>
    </w:p>
    <w:p>
      <w:pPr>
        <w:spacing w:before="180" w:line="222" w:lineRule="auto"/>
        <w:ind w:left="13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一、2024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年部门预算收支情况说明</w:t>
      </w:r>
    </w:p>
    <w:p>
      <w:pPr>
        <w:spacing w:before="186" w:line="222" w:lineRule="auto"/>
        <w:ind w:left="13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二、2024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pacing w:val="-10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-1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三公”经费预算情况说明</w:t>
      </w:r>
    </w:p>
    <w:p>
      <w:pPr>
        <w:pStyle w:val="2"/>
        <w:spacing w:before="188" w:line="227" w:lineRule="auto"/>
        <w:ind w:left="667"/>
      </w:pP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第四部分</w:t>
      </w:r>
      <w:r>
        <w:rPr>
          <w:spacing w:val="8"/>
        </w:rPr>
        <w:t xml:space="preserve">  </w:t>
      </w: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名词解释</w:t>
      </w:r>
    </w:p>
    <w:p>
      <w:pPr>
        <w:spacing w:line="227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214" w:line="222" w:lineRule="auto"/>
        <w:ind w:left="208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第一部分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昌江区商务局概况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100" w:line="226" w:lineRule="auto"/>
        <w:ind w:left="672"/>
        <w:outlineLvl w:val="0"/>
      </w:pP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一、部门主要职责</w:t>
      </w:r>
    </w:p>
    <w:p>
      <w:pPr>
        <w:spacing w:before="190" w:line="559" w:lineRule="exact"/>
        <w:ind w:left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position w:val="18"/>
          <w:sz w:val="31"/>
          <w:szCs w:val="31"/>
        </w:rPr>
        <w:t>一是贯彻执行国家、省关于国内外贸易、国际经济合作、</w:t>
      </w:r>
    </w:p>
    <w:p>
      <w:pPr>
        <w:spacing w:line="220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利用外资和口岸工作法律、法规和方针、政策。</w:t>
      </w:r>
    </w:p>
    <w:p>
      <w:pPr>
        <w:spacing w:before="188" w:line="334" w:lineRule="auto"/>
        <w:ind w:left="70" w:firstLine="6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二是在全市经济和社会发展总体规划的框架内，拟订全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区国内外贸易、国际经济合作和口岸开放的发展战略及规划，</w:t>
      </w:r>
    </w:p>
    <w:p>
      <w:pPr>
        <w:spacing w:line="220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并组织实施。</w:t>
      </w:r>
    </w:p>
    <w:p>
      <w:pPr>
        <w:spacing w:before="189" w:line="334" w:lineRule="auto"/>
        <w:ind w:left="34" w:right="239" w:firstLine="6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三是拟订年度商务运行调控目标和措施并组织实施，统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计、分析和发布重要商务信息，参与协调商务运行中涉及财</w:t>
      </w:r>
    </w:p>
    <w:p>
      <w:pPr>
        <w:spacing w:line="222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政、金融、税务、统计等领域的政策问题。</w:t>
      </w:r>
    </w:p>
    <w:p>
      <w:pPr>
        <w:spacing w:before="189" w:line="333" w:lineRule="auto"/>
        <w:ind w:left="29" w:right="239" w:firstLine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四是负责推进流通产业结构调整，指导流通企业改革和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社区商业发展，负责商贸服务业行业管理，</w:t>
      </w:r>
      <w:r>
        <w:rPr>
          <w:rFonts w:ascii="仿宋" w:hAnsi="仿宋" w:eastAsia="仿宋" w:cs="仿宋"/>
          <w:spacing w:val="8"/>
          <w:sz w:val="31"/>
          <w:szCs w:val="31"/>
        </w:rPr>
        <w:t>提出促进商贸中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小企业发展的政策建议，推动流通标准化和</w:t>
      </w:r>
      <w:r>
        <w:rPr>
          <w:rFonts w:ascii="仿宋" w:hAnsi="仿宋" w:eastAsia="仿宋" w:cs="仿宋"/>
          <w:spacing w:val="8"/>
          <w:sz w:val="31"/>
          <w:szCs w:val="31"/>
        </w:rPr>
        <w:t>连锁经营、商业</w:t>
      </w:r>
    </w:p>
    <w:p>
      <w:pPr>
        <w:spacing w:line="221" w:lineRule="auto"/>
        <w:ind w:left="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特许经营、物流配送、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电子商务等现代流通方式的发展。</w:t>
      </w:r>
    </w:p>
    <w:p>
      <w:pPr>
        <w:spacing w:before="193" w:line="333" w:lineRule="auto"/>
        <w:ind w:left="34" w:right="239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五是承担牵头协调整顿和规范我区市场经济秩序工作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的责任，参与组织打击商务领域侵犯知识产权、商业欺诈等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工作，推动商务领域信用建设，指导商业信用销售，建立市</w:t>
      </w:r>
    </w:p>
    <w:p>
      <w:pPr>
        <w:spacing w:line="221" w:lineRule="auto"/>
        <w:ind w:left="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场诚信公共服务平台，对特殊流通行业进行监督管理。</w:t>
      </w:r>
    </w:p>
    <w:p>
      <w:pPr>
        <w:spacing w:before="187" w:line="334" w:lineRule="auto"/>
        <w:ind w:left="23" w:right="24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六是促进城乡市场发展，指导大宗商品批发市场规划和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城市商业网点规划、商业体系建设的工作，推进农村市</w:t>
      </w:r>
      <w:r>
        <w:rPr>
          <w:rFonts w:ascii="仿宋" w:hAnsi="仿宋" w:eastAsia="仿宋" w:cs="仿宋"/>
          <w:spacing w:val="8"/>
          <w:sz w:val="31"/>
          <w:szCs w:val="31"/>
        </w:rPr>
        <w:t>场体</w:t>
      </w:r>
    </w:p>
    <w:p>
      <w:pPr>
        <w:spacing w:before="1" w:line="221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系建设，组织实施农村现代流通网络工程。</w:t>
      </w:r>
    </w:p>
    <w:p>
      <w:pPr>
        <w:spacing w:before="187" w:line="559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position w:val="18"/>
          <w:sz w:val="31"/>
          <w:szCs w:val="31"/>
        </w:rPr>
        <w:t>七是承担组织实施重要消费品市场调控和重要生产资</w:t>
      </w:r>
    </w:p>
    <w:p>
      <w:pPr>
        <w:spacing w:before="1" w:line="220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料流通管理的责任，负责建立健全生活必需品市场供应应急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560" w:bottom="0" w:left="1785" w:header="0" w:footer="0" w:gutter="0"/>
          <w:cols w:space="720" w:num="1"/>
        </w:sectPr>
      </w:pPr>
    </w:p>
    <w:p>
      <w:pPr>
        <w:spacing w:before="188" w:line="333" w:lineRule="auto"/>
        <w:ind w:left="65" w:right="16" w:hanging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管理机制，监测分析市场运行、商品供求状况，</w:t>
      </w:r>
      <w:r>
        <w:rPr>
          <w:rFonts w:ascii="仿宋" w:hAnsi="仿宋" w:eastAsia="仿宋" w:cs="仿宋"/>
          <w:spacing w:val="8"/>
          <w:sz w:val="31"/>
          <w:szCs w:val="31"/>
        </w:rPr>
        <w:t>调查分析商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品价格信息，进行预测预警和信息引导，按分工负责重要商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品储备管理和市场调控工作，负责酒类专卖相关管理</w:t>
      </w:r>
      <w:r>
        <w:rPr>
          <w:rFonts w:ascii="仿宋" w:hAnsi="仿宋" w:eastAsia="仿宋" w:cs="仿宋"/>
          <w:spacing w:val="4"/>
          <w:sz w:val="31"/>
          <w:szCs w:val="31"/>
        </w:rPr>
        <w:t>工作，</w:t>
      </w:r>
    </w:p>
    <w:p>
      <w:pPr>
        <w:spacing w:line="221" w:lineRule="auto"/>
        <w:ind w:left="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按有关规定对成品油流通进行监督管理。</w:t>
      </w:r>
    </w:p>
    <w:p>
      <w:pPr>
        <w:spacing w:before="193" w:line="333" w:lineRule="auto"/>
        <w:ind w:left="26" w:right="16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八是促进贸易增长方式转变，指导和协调贸易促进体系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的建立，负责推动企业开拓多万元化国际市场，执</w:t>
      </w:r>
      <w:r>
        <w:rPr>
          <w:rFonts w:ascii="仿宋" w:hAnsi="仿宋" w:eastAsia="仿宋" w:cs="仿宋"/>
          <w:spacing w:val="8"/>
          <w:sz w:val="31"/>
          <w:szCs w:val="31"/>
        </w:rPr>
        <w:t>行国家、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省进出口商品、加工贸易管理办法和进出口管理商</w:t>
      </w:r>
      <w:r>
        <w:rPr>
          <w:rFonts w:ascii="仿宋" w:hAnsi="仿宋" w:eastAsia="仿宋" w:cs="仿宋"/>
          <w:spacing w:val="8"/>
          <w:sz w:val="31"/>
          <w:szCs w:val="31"/>
        </w:rPr>
        <w:t>品、技术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目录，负责组织实施重要工业品、原材料和重要农</w:t>
      </w:r>
      <w:r>
        <w:rPr>
          <w:rFonts w:ascii="仿宋" w:hAnsi="仿宋" w:eastAsia="仿宋" w:cs="仿宋"/>
          <w:spacing w:val="8"/>
          <w:sz w:val="31"/>
          <w:szCs w:val="31"/>
        </w:rPr>
        <w:t>产品进出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口总量计划工作，负责管理机电产品进出口工作，</w:t>
      </w:r>
      <w:r>
        <w:rPr>
          <w:rFonts w:ascii="仿宋" w:hAnsi="仿宋" w:eastAsia="仿宋" w:cs="仿宋"/>
          <w:spacing w:val="8"/>
          <w:sz w:val="31"/>
          <w:szCs w:val="31"/>
        </w:rPr>
        <w:t>指导和协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调加工贸易工作，负责出口加工区的指导协调和审</w:t>
      </w:r>
      <w:r>
        <w:rPr>
          <w:rFonts w:ascii="仿宋" w:hAnsi="仿宋" w:eastAsia="仿宋" w:cs="仿宋"/>
          <w:spacing w:val="8"/>
          <w:sz w:val="31"/>
          <w:szCs w:val="31"/>
        </w:rPr>
        <w:t>核、报批</w:t>
      </w:r>
    </w:p>
    <w:p>
      <w:pPr>
        <w:spacing w:line="220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等工作。</w:t>
      </w:r>
    </w:p>
    <w:p>
      <w:pPr>
        <w:spacing w:before="191" w:line="333" w:lineRule="auto"/>
        <w:ind w:left="21" w:right="13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九是执行国家、省对外技术贸易、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出口管制以及鼓励技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术和成套设备进出口的政策，推进进出口贸易标准化工作，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依法监督技术引进、设备进口、国家限制出口技术的工作，</w:t>
      </w:r>
    </w:p>
    <w:p>
      <w:pPr>
        <w:spacing w:before="1" w:line="221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依法颁发防扩散等与国家安全相关的进出口许可证件。</w:t>
      </w:r>
    </w:p>
    <w:p>
      <w:pPr>
        <w:spacing w:before="189" w:line="333" w:lineRule="auto"/>
        <w:ind w:left="34" w:right="16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十是牵头拟订服务贸易发展规划并开展相关工作，会同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有关部门制定我区促进服务出口和服务外包发展的规划、政</w:t>
      </w:r>
    </w:p>
    <w:p>
      <w:pPr>
        <w:spacing w:line="220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策并组织实施，推动服务外包平台建设。</w:t>
      </w:r>
    </w:p>
    <w:p>
      <w:pPr>
        <w:spacing w:before="192" w:line="333" w:lineRule="auto"/>
        <w:ind w:left="31" w:right="16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十一是参与区域经济合作的组织协调工作，负责驻景商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会、驻景办事机构和我区驻外商会、驻外办事机构的相关协</w:t>
      </w:r>
    </w:p>
    <w:p>
      <w:pPr>
        <w:spacing w:before="1" w:line="220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调服务工作。</w:t>
      </w:r>
    </w:p>
    <w:p>
      <w:pPr>
        <w:spacing w:before="191" w:line="222" w:lineRule="auto"/>
        <w:ind w:left="68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十二是承办区人民政府交办的其他事项。</w:t>
      </w:r>
    </w:p>
    <w:p>
      <w:pPr>
        <w:pStyle w:val="2"/>
        <w:spacing w:before="217" w:line="226" w:lineRule="auto"/>
        <w:ind w:left="672"/>
        <w:outlineLvl w:val="0"/>
      </w:pPr>
      <w:r>
        <w:rPr>
          <w:spacing w:val="9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二、机构设置及人员情况</w:t>
      </w:r>
    </w:p>
    <w:p>
      <w:pPr>
        <w:spacing w:line="226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216" w:line="403" w:lineRule="auto"/>
        <w:ind w:left="26" w:right="13" w:firstLine="653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仿宋" w:hAnsi="仿宋" w:eastAsia="仿宋" w:cs="仿宋"/>
          <w:spacing w:val="3"/>
          <w:sz w:val="31"/>
          <w:szCs w:val="31"/>
        </w:rPr>
        <w:t>2024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年昌江区商务局共有预算单位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个，包括</w:t>
      </w:r>
      <w:r>
        <w:rPr>
          <w:rFonts w:ascii="宋体" w:hAnsi="宋体" w:eastAsia="宋体" w:cs="宋体"/>
          <w:spacing w:val="3"/>
          <w:sz w:val="24"/>
          <w:szCs w:val="24"/>
        </w:rPr>
        <w:t>昌江区商务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局本级和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2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个二级预算单位，二级预算单位具体包括</w:t>
      </w:r>
      <w:r>
        <w:rPr>
          <w:rFonts w:ascii="宋体" w:hAnsi="宋体" w:eastAsia="宋体" w:cs="宋体"/>
          <w:spacing w:val="-49"/>
          <w:sz w:val="24"/>
          <w:szCs w:val="24"/>
        </w:rPr>
        <w:t>：（</w:t>
      </w:r>
      <w:r>
        <w:rPr>
          <w:rFonts w:ascii="宋体" w:hAnsi="宋体" w:eastAsia="宋体" w:cs="宋体"/>
          <w:spacing w:val="-1"/>
          <w:sz w:val="24"/>
          <w:szCs w:val="24"/>
        </w:rPr>
        <w:t>景德镇市昌江商务景德</w:t>
      </w:r>
    </w:p>
    <w:p>
      <w:pPr>
        <w:spacing w:before="1" w:line="225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z w:val="24"/>
          <w:szCs w:val="24"/>
        </w:rPr>
        <w:t>镇市昌江区经济合作交流中心 , 景德镇市昌江区</w:t>
      </w:r>
      <w:r>
        <w:rPr>
          <w:rFonts w:ascii="宋体" w:hAnsi="宋体" w:eastAsia="宋体" w:cs="宋体"/>
          <w:spacing w:val="-1"/>
          <w:sz w:val="24"/>
          <w:szCs w:val="24"/>
        </w:rPr>
        <w:t>现代商贸业发展中心</w:t>
      </w:r>
      <w:r>
        <w:rPr>
          <w:rFonts w:ascii="仿宋" w:hAnsi="仿宋" w:eastAsia="仿宋" w:cs="仿宋"/>
          <w:spacing w:val="-1"/>
          <w:sz w:val="31"/>
          <w:szCs w:val="31"/>
        </w:rPr>
        <w:t>）。</w:t>
      </w:r>
    </w:p>
    <w:p>
      <w:pPr>
        <w:spacing w:before="223" w:line="357" w:lineRule="auto"/>
        <w:ind w:left="25" w:right="16" w:firstLine="6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编制人数共计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32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人，其中：行政编制人数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人、参照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公务员管理的事业编制人数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人、全部补助事业编制人数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人、部分补助事业编制人数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人。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实有人数共计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32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人，其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中：在职人数小计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17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人，包括行政在职人数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4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人、参照公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务员管理的事业人员在职人数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人、全部补助事业人员</w:t>
      </w:r>
      <w:r>
        <w:rPr>
          <w:rFonts w:ascii="仿宋" w:hAnsi="仿宋" w:eastAsia="仿宋" w:cs="仿宋"/>
          <w:spacing w:val="6"/>
          <w:sz w:val="31"/>
          <w:szCs w:val="31"/>
        </w:rPr>
        <w:t>在职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人数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8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人，部分补助事业人员在职人数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人；离休人</w:t>
      </w:r>
      <w:r>
        <w:rPr>
          <w:rFonts w:ascii="仿宋" w:hAnsi="仿宋" w:eastAsia="仿宋" w:cs="仿宋"/>
          <w:spacing w:val="4"/>
          <w:sz w:val="31"/>
          <w:szCs w:val="31"/>
        </w:rPr>
        <w:t>数小计</w:t>
      </w:r>
    </w:p>
    <w:p>
      <w:pPr>
        <w:spacing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人；退休人数小计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人。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99" w:line="439" w:lineRule="exact"/>
        <w:ind w:left="10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第二部分</w:t>
      </w:r>
      <w:r>
        <w:rPr>
          <w:rFonts w:ascii="宋体" w:hAnsi="宋体" w:eastAsia="宋体" w:cs="宋体"/>
          <w:spacing w:val="8"/>
          <w:position w:val="2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</w:t>
      </w:r>
      <w:r>
        <w:rPr>
          <w:rFonts w:ascii="宋体" w:hAnsi="宋体" w:eastAsia="宋体" w:cs="宋体"/>
          <w:spacing w:val="-53"/>
          <w:position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2024</w:t>
      </w:r>
      <w:r>
        <w:rPr>
          <w:rFonts w:ascii="宋体" w:hAnsi="宋体" w:eastAsia="宋体" w:cs="宋体"/>
          <w:spacing w:val="-68"/>
          <w:position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年部门预算表</w:t>
      </w:r>
    </w:p>
    <w:p>
      <w:pPr>
        <w:spacing w:before="178" w:line="221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（详见附表）</w:t>
      </w:r>
    </w:p>
    <w:p>
      <w:pPr>
        <w:spacing w:before="63" w:line="8338" w:lineRule="exact"/>
        <w:ind w:firstLine="14"/>
      </w:pPr>
      <w:r>
        <w:rPr>
          <w:position w:val="-166"/>
        </w:rPr>
        <w:drawing>
          <wp:inline distT="0" distB="0" distL="0" distR="0">
            <wp:extent cx="6216015" cy="52939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395" cy="52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338" w:lineRule="exact"/>
        <w:sectPr>
          <w:pgSz w:w="11906" w:h="16839"/>
          <w:pgMar w:top="1431" w:right="316" w:bottom="0" w:left="1785" w:header="0" w:footer="0" w:gutter="0"/>
          <w:cols w:space="720" w:num="1"/>
        </w:sect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7375" w:lineRule="exact"/>
        <w:ind w:firstLine="13"/>
      </w:pPr>
      <w:r>
        <w:rPr>
          <w:position w:val="-147"/>
        </w:rPr>
        <w:drawing>
          <wp:inline distT="0" distB="0" distL="0" distR="0">
            <wp:extent cx="6417310" cy="46824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7944" cy="46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375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line="8298" w:lineRule="exact"/>
        <w:ind w:firstLine="15"/>
      </w:pPr>
      <w:r>
        <w:rPr>
          <w:position w:val="-165"/>
        </w:rPr>
        <w:drawing>
          <wp:inline distT="0" distB="0" distL="0" distR="0">
            <wp:extent cx="6416675" cy="526923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52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98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before="184" w:line="8839" w:lineRule="exact"/>
        <w:ind w:firstLine="13"/>
      </w:pPr>
      <w:r>
        <w:rPr>
          <w:position w:val="-176"/>
        </w:rPr>
        <w:drawing>
          <wp:inline distT="0" distB="0" distL="0" distR="0">
            <wp:extent cx="6417310" cy="561213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7436" cy="56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9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7999" w:lineRule="exact"/>
        <w:ind w:firstLine="13"/>
      </w:pPr>
      <w:r>
        <w:rPr>
          <w:position w:val="-159"/>
        </w:rPr>
        <w:drawing>
          <wp:inline distT="0" distB="0" distL="0" distR="0">
            <wp:extent cx="6417310" cy="507936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7436" cy="50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999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7877" w:lineRule="exact"/>
        <w:ind w:firstLine="14"/>
      </w:pPr>
      <w:r>
        <w:rPr>
          <w:position w:val="-157"/>
        </w:rPr>
        <w:drawing>
          <wp:inline distT="0" distB="0" distL="0" distR="0">
            <wp:extent cx="6416675" cy="500126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6801" cy="500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877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6411" w:lineRule="exact"/>
        <w:ind w:firstLine="14"/>
      </w:pPr>
      <w:r>
        <w:rPr>
          <w:position w:val="-128"/>
        </w:rPr>
        <w:drawing>
          <wp:inline distT="0" distB="0" distL="0" distR="0">
            <wp:extent cx="6416675" cy="407035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7182" cy="40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411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5313" w:lineRule="exact"/>
        <w:ind w:firstLine="14"/>
      </w:pPr>
      <w:r>
        <w:rPr>
          <w:position w:val="-106"/>
        </w:rPr>
        <w:drawing>
          <wp:inline distT="0" distB="0" distL="0" distR="0">
            <wp:extent cx="6416675" cy="337375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928" cy="33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13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5626" w:lineRule="exact"/>
        <w:ind w:firstLine="13"/>
      </w:pPr>
      <w:r>
        <w:rPr>
          <w:position w:val="-112"/>
        </w:rPr>
        <w:drawing>
          <wp:inline distT="0" distB="0" distL="0" distR="0">
            <wp:extent cx="6417310" cy="35718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7563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26" w:lineRule="exact"/>
        <w:sectPr>
          <w:pgSz w:w="11906" w:h="16839"/>
          <w:pgMar w:top="1431" w:right="0" w:bottom="0" w:left="1785" w:header="0" w:footer="0" w:gutter="0"/>
          <w:cols w:space="720" w:num="1"/>
        </w:sectPr>
      </w:pPr>
    </w:p>
    <w:p>
      <w:pPr>
        <w:spacing w:before="95" w:line="11367" w:lineRule="exact"/>
        <w:ind w:firstLine="12"/>
      </w:pPr>
      <w:r>
        <w:rPr>
          <w:position w:val="-227"/>
        </w:rPr>
        <w:drawing>
          <wp:inline distT="0" distB="0" distL="0" distR="0">
            <wp:extent cx="5323205" cy="721741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332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367" w:lineRule="exact"/>
        <w:sectPr>
          <w:pgSz w:w="11906" w:h="16839"/>
          <w:pgMar w:top="1431" w:right="1723" w:bottom="0" w:left="1785" w:header="0" w:footer="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12439" w:lineRule="exact"/>
        <w:ind w:firstLine="14"/>
      </w:pPr>
      <w:r>
        <w:rPr>
          <w:position w:val="-248"/>
        </w:rPr>
        <w:drawing>
          <wp:inline distT="0" distB="0" distL="0" distR="0">
            <wp:extent cx="4803140" cy="78987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78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39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51" w:line="13440" w:lineRule="exact"/>
        <w:ind w:firstLine="14"/>
      </w:pPr>
      <w:r>
        <w:rPr>
          <w:position w:val="-268"/>
        </w:rPr>
        <w:drawing>
          <wp:inline distT="0" distB="0" distL="0" distR="0">
            <wp:extent cx="5077460" cy="85344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7967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0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99" w:line="439" w:lineRule="exact"/>
        <w:ind w:left="55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第三部分</w:t>
      </w:r>
      <w:r>
        <w:rPr>
          <w:rFonts w:ascii="宋体" w:hAnsi="宋体" w:eastAsia="宋体" w:cs="宋体"/>
          <w:spacing w:val="9"/>
          <w:position w:val="2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昌江区商务局</w:t>
      </w:r>
      <w:r>
        <w:rPr>
          <w:rFonts w:ascii="宋体" w:hAnsi="宋体" w:eastAsia="宋体" w:cs="宋体"/>
          <w:spacing w:val="-65"/>
          <w:position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2024</w:t>
      </w:r>
      <w:r>
        <w:rPr>
          <w:rFonts w:ascii="宋体" w:hAnsi="宋体" w:eastAsia="宋体" w:cs="宋体"/>
          <w:spacing w:val="-68"/>
          <w:position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年部门预算情况说明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pStyle w:val="2"/>
        <w:spacing w:before="101" w:line="600" w:lineRule="exact"/>
        <w:ind w:left="672"/>
      </w:pPr>
      <w:r>
        <w:rPr>
          <w:spacing w:val="8"/>
          <w:position w:val="2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一、2024</w:t>
      </w:r>
      <w:r>
        <w:rPr>
          <w:spacing w:val="-61"/>
          <w:position w:val="21"/>
        </w:rPr>
        <w:t xml:space="preserve"> </w:t>
      </w:r>
      <w:r>
        <w:rPr>
          <w:spacing w:val="8"/>
          <w:position w:val="2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年部门预算收支情况说明</w:t>
      </w:r>
    </w:p>
    <w:p>
      <w:pPr>
        <w:spacing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（一）收入预算情况</w:t>
      </w:r>
    </w:p>
    <w:p>
      <w:pPr>
        <w:spacing w:before="213" w:line="357" w:lineRule="auto"/>
        <w:ind w:left="34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2024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年昌江区商务局收入预算总额为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1373.39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上年预算安排增加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552.15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万元；财政拨款收入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373.31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较上年预算安排减少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12.75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万元；事业单位经营收入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较上年预算安排增加（减少）0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万元；其他</w:t>
      </w:r>
      <w:r>
        <w:rPr>
          <w:rFonts w:ascii="仿宋" w:hAnsi="仿宋" w:eastAsia="仿宋" w:cs="仿宋"/>
          <w:spacing w:val="6"/>
          <w:sz w:val="31"/>
          <w:szCs w:val="31"/>
        </w:rPr>
        <w:t>收入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800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</w:t>
      </w:r>
    </w:p>
    <w:p>
      <w:pPr>
        <w:spacing w:before="1" w:line="221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较上年预算安排增加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478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</w:t>
      </w:r>
    </w:p>
    <w:p>
      <w:pPr>
        <w:spacing w:before="226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（二）支出预算情况</w:t>
      </w:r>
    </w:p>
    <w:p>
      <w:pPr>
        <w:spacing w:before="211" w:line="600" w:lineRule="exact"/>
        <w:ind w:right="70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44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年昌江区商务局支出预算总额为</w:t>
      </w:r>
      <w:r>
        <w:rPr>
          <w:rFonts w:ascii="仿宋" w:hAnsi="仿宋" w:eastAsia="仿宋" w:cs="仿宋"/>
          <w:spacing w:val="-41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1373.39</w:t>
      </w:r>
      <w:r>
        <w:rPr>
          <w:rFonts w:ascii="仿宋" w:hAnsi="仿宋" w:eastAsia="仿宋" w:cs="仿宋"/>
          <w:spacing w:val="-44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万元，较</w:t>
      </w:r>
    </w:p>
    <w:p>
      <w:pPr>
        <w:spacing w:before="2" w:line="221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上年预算安排增加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552.15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万元；其中：</w:t>
      </w:r>
    </w:p>
    <w:p>
      <w:pPr>
        <w:spacing w:before="229" w:line="357" w:lineRule="auto"/>
        <w:ind w:left="37" w:right="82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按支出项目类别划分：基本支出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290.31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万元，较上年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预算安排增加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10.53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万元；其中：工资福利支出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268.83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元，商品和服务支出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22.36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万元，对个人和家庭的补助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0.12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万元，资本性支出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万元。项目支出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83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万元，较上年预算</w:t>
      </w:r>
    </w:p>
    <w:p>
      <w:pPr>
        <w:spacing w:before="1" w:line="222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安排增加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万元。</w:t>
      </w:r>
    </w:p>
    <w:p>
      <w:pPr>
        <w:spacing w:before="229" w:line="357" w:lineRule="auto"/>
        <w:ind w:left="3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按支出功能科目划分：一般公共服务支出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74</w:t>
      </w:r>
      <w:r>
        <w:rPr>
          <w:rFonts w:ascii="仿宋" w:hAnsi="仿宋" w:eastAsia="仿宋" w:cs="仿宋"/>
          <w:spacing w:val="2"/>
          <w:sz w:val="31"/>
          <w:szCs w:val="31"/>
        </w:rPr>
        <w:t>3.73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较上年预算安排增加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639.9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万元；社会保障和就业</w:t>
      </w:r>
      <w:r>
        <w:rPr>
          <w:rFonts w:ascii="仿宋" w:hAnsi="仿宋" w:eastAsia="仿宋" w:cs="仿宋"/>
          <w:spacing w:val="-1"/>
          <w:sz w:val="31"/>
          <w:szCs w:val="31"/>
        </w:rPr>
        <w:t>支出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24.16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万元，较上年预算安排增加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1.07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万元；卫生健康支出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11.78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万元，较上年预算安排增加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1.61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万元；住房保障支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18.12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万元，较上年预算安排增加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4.85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万元；商业</w:t>
      </w:r>
      <w:r>
        <w:rPr>
          <w:rFonts w:ascii="仿宋" w:hAnsi="仿宋" w:eastAsia="仿宋" w:cs="仿宋"/>
          <w:spacing w:val="-4"/>
          <w:sz w:val="31"/>
          <w:szCs w:val="31"/>
        </w:rPr>
        <w:t>流通支出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575.59</w:t>
      </w:r>
    </w:p>
    <w:p>
      <w:pPr>
        <w:spacing w:before="2" w:line="221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万元，较上年预算安排增加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87.59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18" w:bottom="0" w:left="1785" w:header="0" w:footer="0" w:gutter="0"/>
          <w:cols w:space="720" w:num="1"/>
        </w:sectPr>
      </w:pPr>
    </w:p>
    <w:p>
      <w:pPr>
        <w:spacing w:before="215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（三）财政拨款支出情况</w:t>
      </w:r>
    </w:p>
    <w:p>
      <w:pPr>
        <w:spacing w:before="211" w:line="600" w:lineRule="exact"/>
        <w:ind w:right="6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4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年昌江区商务局财政拨款支出预算总额</w:t>
      </w:r>
      <w:r>
        <w:rPr>
          <w:rFonts w:ascii="仿宋" w:hAnsi="仿宋" w:eastAsia="仿宋" w:cs="仿宋"/>
          <w:spacing w:val="-4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534.39</w:t>
      </w:r>
      <w:r>
        <w:rPr>
          <w:rFonts w:ascii="仿宋" w:hAnsi="仿宋" w:eastAsia="仿宋" w:cs="仿宋"/>
          <w:spacing w:val="-4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万</w:t>
      </w:r>
    </w:p>
    <w:p>
      <w:pPr>
        <w:spacing w:before="1" w:line="221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元，较上年预算安排（增加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148.35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</w:t>
      </w:r>
      <w:r>
        <w:rPr>
          <w:rFonts w:ascii="仿宋" w:hAnsi="仿宋" w:eastAsia="仿宋" w:cs="仿宋"/>
          <w:spacing w:val="26"/>
          <w:sz w:val="31"/>
          <w:szCs w:val="31"/>
        </w:rPr>
        <w:t>）；</w:t>
      </w:r>
      <w:r>
        <w:rPr>
          <w:rFonts w:ascii="仿宋" w:hAnsi="仿宋" w:eastAsia="仿宋" w:cs="仿宋"/>
          <w:spacing w:val="3"/>
          <w:sz w:val="31"/>
          <w:szCs w:val="31"/>
        </w:rPr>
        <w:t>其中：</w:t>
      </w:r>
    </w:p>
    <w:p>
      <w:pPr>
        <w:spacing w:before="229" w:line="357" w:lineRule="auto"/>
        <w:ind w:left="37" w:right="82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按支出项目类别划分：基本支出</w:t>
      </w:r>
      <w:r>
        <w:rPr>
          <w:rFonts w:ascii="仿宋" w:hAnsi="仿宋" w:eastAsia="仿宋" w:cs="仿宋"/>
          <w:spacing w:val="-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301.39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万元，较上年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预算安排增加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94.52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万元；其中：工资福利支出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279.91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元，商品和服务支出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20.36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万元，对个人和家庭的补助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0.12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万元，资本性支出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万元。项目支出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233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万元，较上年预算</w:t>
      </w:r>
    </w:p>
    <w:p>
      <w:pPr>
        <w:spacing w:before="1" w:line="222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安排增加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153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>
      <w:pPr>
        <w:spacing w:before="227" w:line="357" w:lineRule="auto"/>
        <w:ind w:left="32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按支出功能科目划分：一般公共服务支出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93.73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社会保障和就业支出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24.16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万元，卫生健康支出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11.78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</w:t>
      </w:r>
    </w:p>
    <w:p>
      <w:pPr>
        <w:spacing w:line="221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住房保障支出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18.12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万元；商业流通支出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236.59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</w:t>
      </w:r>
    </w:p>
    <w:p>
      <w:pPr>
        <w:spacing w:before="228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（四）政府性基金情况</w:t>
      </w:r>
    </w:p>
    <w:p>
      <w:pPr>
        <w:spacing w:before="212" w:line="220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2024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年昌江区商务局政府性基金支出预算为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31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（五）</w:t>
      </w:r>
      <w:r>
        <w:rPr>
          <w:rFonts w:ascii="楷体" w:hAnsi="楷体" w:eastAsia="楷体" w:cs="楷体"/>
          <w:spacing w:val="-8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国有资本经营情况</w:t>
      </w:r>
    </w:p>
    <w:p>
      <w:pPr>
        <w:spacing w:before="213" w:line="222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2024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年昌江区商务局国有资本经营支出预算为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</w:t>
      </w:r>
    </w:p>
    <w:p>
      <w:pPr>
        <w:spacing w:before="227" w:line="230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（六）机关运行经费等重要事项的说明</w:t>
      </w:r>
    </w:p>
    <w:p>
      <w:pPr>
        <w:spacing w:before="215" w:line="600" w:lineRule="exact"/>
        <w:ind w:right="81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44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年部门机关运行费预算</w:t>
      </w:r>
      <w:r>
        <w:rPr>
          <w:rFonts w:ascii="仿宋" w:hAnsi="仿宋" w:eastAsia="仿宋" w:cs="仿宋"/>
          <w:spacing w:val="-51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22.36</w:t>
      </w:r>
      <w:r>
        <w:rPr>
          <w:rFonts w:ascii="仿宋" w:hAnsi="仿宋" w:eastAsia="仿宋" w:cs="仿宋"/>
          <w:spacing w:val="-44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万元，较上年预算减</w:t>
      </w:r>
    </w:p>
    <w:p>
      <w:pPr>
        <w:spacing w:before="1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少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0.92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万元，下降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3.95%。</w:t>
      </w:r>
    </w:p>
    <w:p>
      <w:pPr>
        <w:spacing w:before="225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（七）政府采购情况</w:t>
      </w:r>
    </w:p>
    <w:p>
      <w:pPr>
        <w:spacing w:before="213" w:line="357" w:lineRule="auto"/>
        <w:ind w:left="26" w:right="147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2024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年部门所属各单位政府采购总额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22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万元，其中：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部门集中采购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万元，分散采购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万元，政府购买服务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xx</w:t>
      </w:r>
    </w:p>
    <w:p>
      <w:pPr>
        <w:spacing w:line="226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万元。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18" w:bottom="0" w:left="1785" w:header="0" w:footer="0" w:gutter="0"/>
          <w:cols w:space="720" w:num="1"/>
        </w:sectPr>
      </w:pPr>
    </w:p>
    <w:p>
      <w:pPr>
        <w:spacing w:before="214" w:line="229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（八）国有资产占有使用情况</w:t>
      </w:r>
    </w:p>
    <w:p>
      <w:pPr>
        <w:spacing w:before="218" w:line="357" w:lineRule="auto"/>
        <w:ind w:left="30" w:right="13" w:firstLine="6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截至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2023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年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8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月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31 日，部门共有车辆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辆；其中：一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般业务用车实有数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辆，特殊业务用车实有数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辆，执法执</w:t>
      </w:r>
    </w:p>
    <w:p>
      <w:pPr>
        <w:spacing w:before="1" w:line="219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勤用车实有数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辆。</w:t>
      </w:r>
    </w:p>
    <w:p>
      <w:pPr>
        <w:spacing w:before="231" w:line="600" w:lineRule="exact"/>
        <w:ind w:right="16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58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年部门预算安排购置车辆</w:t>
      </w:r>
      <w:r>
        <w:rPr>
          <w:rFonts w:ascii="仿宋" w:hAnsi="仿宋" w:eastAsia="仿宋" w:cs="仿宋"/>
          <w:spacing w:val="-38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辆，安</w:t>
      </w:r>
      <w:r>
        <w:rPr>
          <w:rFonts w:ascii="仿宋" w:hAnsi="仿宋" w:eastAsia="仿宋" w:cs="仿宋"/>
          <w:spacing w:val="1"/>
          <w:position w:val="21"/>
          <w:sz w:val="31"/>
          <w:szCs w:val="31"/>
        </w:rPr>
        <w:t>排购置单位价值</w:t>
      </w:r>
    </w:p>
    <w:p>
      <w:pPr>
        <w:spacing w:line="222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200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万元以上大型设备具体为：0。</w:t>
      </w:r>
    </w:p>
    <w:p>
      <w:pPr>
        <w:spacing w:before="224" w:line="229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（九）招商工作经费项目情况说明</w:t>
      </w:r>
    </w:p>
    <w:p>
      <w:pPr>
        <w:spacing w:before="219" w:line="222" w:lineRule="auto"/>
        <w:ind w:left="8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1）项目概述</w:t>
      </w:r>
    </w:p>
    <w:p>
      <w:pPr>
        <w:spacing w:before="226" w:line="600" w:lineRule="exact"/>
        <w:ind w:right="16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21"/>
          <w:sz w:val="31"/>
          <w:szCs w:val="31"/>
        </w:rPr>
        <w:t>提升招商引资工作质量和水平，推动经济高质</w:t>
      </w:r>
      <w:r>
        <w:rPr>
          <w:rFonts w:ascii="仿宋" w:hAnsi="仿宋" w:eastAsia="仿宋" w:cs="仿宋"/>
          <w:spacing w:val="8"/>
          <w:position w:val="21"/>
          <w:sz w:val="31"/>
          <w:szCs w:val="31"/>
        </w:rPr>
        <w:t>量跨越式</w:t>
      </w:r>
    </w:p>
    <w:p>
      <w:pPr>
        <w:spacing w:before="2" w:line="223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发展。</w:t>
      </w:r>
    </w:p>
    <w:p>
      <w:pPr>
        <w:spacing w:before="224" w:line="223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2）立项依据</w:t>
      </w:r>
    </w:p>
    <w:p>
      <w:pPr>
        <w:spacing w:before="225" w:line="600" w:lineRule="exact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1"/>
          <w:sz w:val="31"/>
          <w:szCs w:val="31"/>
        </w:rPr>
        <w:t>三定方案及招商引资条例</w:t>
      </w:r>
    </w:p>
    <w:p>
      <w:pPr>
        <w:spacing w:before="1" w:line="222" w:lineRule="auto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3）实施主体</w:t>
      </w:r>
    </w:p>
    <w:p>
      <w:pPr>
        <w:spacing w:before="227" w:line="600" w:lineRule="exact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1"/>
          <w:sz w:val="31"/>
          <w:szCs w:val="31"/>
        </w:rPr>
        <w:t>招商引资各项工作</w:t>
      </w:r>
    </w:p>
    <w:p>
      <w:pPr>
        <w:spacing w:line="222" w:lineRule="auto"/>
        <w:ind w:left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4）实施方案</w:t>
      </w:r>
    </w:p>
    <w:p>
      <w:pPr>
        <w:spacing w:before="227" w:line="60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1"/>
          <w:sz w:val="31"/>
          <w:szCs w:val="31"/>
        </w:rPr>
        <w:t>开展精准招商推介，组织和参加各类招商引资活动，引</w:t>
      </w:r>
    </w:p>
    <w:p>
      <w:pPr>
        <w:spacing w:before="1" w:line="218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进项目，促进经济转型和产业发展</w:t>
      </w:r>
    </w:p>
    <w:p>
      <w:pPr>
        <w:spacing w:before="234" w:line="222" w:lineRule="auto"/>
        <w:ind w:left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5）实施周期</w:t>
      </w:r>
    </w:p>
    <w:p>
      <w:pPr>
        <w:spacing w:before="226" w:line="600" w:lineRule="exact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1"/>
          <w:sz w:val="31"/>
          <w:szCs w:val="31"/>
        </w:rPr>
        <w:t>在</w:t>
      </w:r>
      <w:r>
        <w:rPr>
          <w:rFonts w:ascii="仿宋" w:hAnsi="仿宋" w:eastAsia="仿宋" w:cs="仿宋"/>
          <w:spacing w:val="-51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5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position w:val="21"/>
          <w:sz w:val="31"/>
          <w:szCs w:val="31"/>
        </w:rPr>
        <w:t>年年底完成招商引资年初安排计划</w:t>
      </w:r>
    </w:p>
    <w:p>
      <w:pPr>
        <w:spacing w:before="1" w:line="221" w:lineRule="auto"/>
        <w:ind w:left="68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6）年度预算安排</w:t>
      </w:r>
    </w:p>
    <w:p>
      <w:pPr>
        <w:spacing w:before="228" w:line="600" w:lineRule="exact"/>
        <w:ind w:right="16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1"/>
          <w:sz w:val="31"/>
          <w:szCs w:val="31"/>
        </w:rPr>
        <w:t>招商工作经费年初预算为</w:t>
      </w:r>
      <w:r>
        <w:rPr>
          <w:rFonts w:ascii="仿宋" w:hAnsi="仿宋" w:eastAsia="仿宋" w:cs="仿宋"/>
          <w:spacing w:val="-3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1"/>
          <w:sz w:val="31"/>
          <w:szCs w:val="31"/>
        </w:rPr>
        <w:t>54</w:t>
      </w:r>
      <w:r>
        <w:rPr>
          <w:rFonts w:ascii="仿宋" w:hAnsi="仿宋" w:eastAsia="仿宋" w:cs="仿宋"/>
          <w:spacing w:val="-40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1"/>
          <w:sz w:val="31"/>
          <w:szCs w:val="31"/>
        </w:rPr>
        <w:t>万元，该资金</w:t>
      </w:r>
      <w:r>
        <w:rPr>
          <w:rFonts w:ascii="仿宋" w:hAnsi="仿宋" w:eastAsia="仿宋" w:cs="仿宋"/>
          <w:spacing w:val="11"/>
          <w:position w:val="21"/>
          <w:sz w:val="31"/>
          <w:szCs w:val="31"/>
        </w:rPr>
        <w:t>全部用于招</w:t>
      </w:r>
    </w:p>
    <w:p>
      <w:pPr>
        <w:spacing w:line="220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商引资各项工作支出。</w:t>
      </w:r>
    </w:p>
    <w:p>
      <w:pPr>
        <w:spacing w:before="231" w:line="222" w:lineRule="auto"/>
        <w:ind w:left="68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7）绩效目标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217" w:line="600" w:lineRule="exact"/>
        <w:ind w:right="16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21"/>
          <w:sz w:val="31"/>
          <w:szCs w:val="31"/>
        </w:rPr>
        <w:t>提升招商引资工作质量和水平，推动经济高质</w:t>
      </w:r>
      <w:r>
        <w:rPr>
          <w:rFonts w:ascii="仿宋" w:hAnsi="仿宋" w:eastAsia="仿宋" w:cs="仿宋"/>
          <w:spacing w:val="8"/>
          <w:position w:val="21"/>
          <w:sz w:val="31"/>
          <w:szCs w:val="31"/>
        </w:rPr>
        <w:t>量跨越式</w:t>
      </w:r>
    </w:p>
    <w:p>
      <w:pPr>
        <w:spacing w:before="1" w:line="223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发展。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100" w:line="226" w:lineRule="auto"/>
        <w:ind w:left="672"/>
        <w:outlineLvl w:val="0"/>
      </w:pP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二、2024</w:t>
      </w:r>
      <w:r>
        <w:rPr>
          <w:spacing w:val="-57"/>
        </w:rPr>
        <w:t xml:space="preserve"> </w:t>
      </w: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年“三公”经费预算情况说明</w:t>
      </w:r>
    </w:p>
    <w:p>
      <w:pPr>
        <w:spacing w:before="221" w:line="60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position w:val="21"/>
          <w:sz w:val="31"/>
          <w:szCs w:val="31"/>
        </w:rPr>
        <w:t>2024</w:t>
      </w:r>
      <w:r>
        <w:rPr>
          <w:rFonts w:ascii="仿宋" w:hAnsi="仿宋" w:eastAsia="仿宋" w:cs="仿宋"/>
          <w:spacing w:val="-5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position w:val="21"/>
          <w:sz w:val="31"/>
          <w:szCs w:val="31"/>
        </w:rPr>
        <w:t>年昌江区商务局“</w:t>
      </w:r>
      <w:r>
        <w:rPr>
          <w:rFonts w:ascii="仿宋" w:hAnsi="仿宋" w:eastAsia="仿宋" w:cs="仿宋"/>
          <w:spacing w:val="-116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position w:val="21"/>
          <w:sz w:val="31"/>
          <w:szCs w:val="31"/>
        </w:rPr>
        <w:t>三公”经费财政拨款</w:t>
      </w:r>
      <w:r>
        <w:rPr>
          <w:rFonts w:ascii="仿宋" w:hAnsi="仿宋" w:eastAsia="仿宋" w:cs="仿宋"/>
          <w:spacing w:val="-1"/>
          <w:position w:val="21"/>
          <w:sz w:val="31"/>
          <w:szCs w:val="31"/>
        </w:rPr>
        <w:t>安排</w:t>
      </w:r>
      <w:r>
        <w:rPr>
          <w:rFonts w:ascii="仿宋" w:hAnsi="仿宋" w:eastAsia="仿宋" w:cs="仿宋"/>
          <w:spacing w:val="-40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position w:val="21"/>
          <w:sz w:val="31"/>
          <w:szCs w:val="31"/>
        </w:rPr>
        <w:t>1.5</w:t>
      </w:r>
      <w:r>
        <w:rPr>
          <w:rFonts w:ascii="仿宋" w:hAnsi="仿宋" w:eastAsia="仿宋" w:cs="仿宋"/>
          <w:spacing w:val="-47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position w:val="21"/>
          <w:sz w:val="31"/>
          <w:szCs w:val="31"/>
        </w:rPr>
        <w:t>万</w:t>
      </w:r>
    </w:p>
    <w:p>
      <w:pPr>
        <w:spacing w:line="222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元，其中：</w:t>
      </w:r>
    </w:p>
    <w:p>
      <w:pPr>
        <w:spacing w:before="226" w:line="60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position w:val="21"/>
          <w:sz w:val="31"/>
          <w:szCs w:val="31"/>
        </w:rPr>
        <w:t>因公出国（境）费用</w:t>
      </w:r>
      <w:r>
        <w:rPr>
          <w:rFonts w:ascii="仿宋" w:hAnsi="仿宋" w:eastAsia="仿宋" w:cs="仿宋"/>
          <w:spacing w:val="-28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万元，</w:t>
      </w:r>
      <w:r>
        <w:rPr>
          <w:rFonts w:ascii="仿宋" w:hAnsi="仿宋" w:eastAsia="仿宋" w:cs="仿宋"/>
          <w:spacing w:val="-77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比上年增加（减少）0</w:t>
      </w:r>
      <w:r>
        <w:rPr>
          <w:rFonts w:ascii="仿宋" w:hAnsi="仿宋" w:eastAsia="仿宋" w:cs="仿宋"/>
          <w:spacing w:val="-43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1"/>
          <w:szCs w:val="31"/>
        </w:rPr>
        <w:t>万</w:t>
      </w:r>
    </w:p>
    <w:p>
      <w:pPr>
        <w:spacing w:before="1" w:line="223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元，主要原因是：0。</w:t>
      </w:r>
    </w:p>
    <w:p>
      <w:pPr>
        <w:spacing w:before="225" w:line="600" w:lineRule="exact"/>
        <w:ind w:right="27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position w:val="21"/>
          <w:sz w:val="31"/>
          <w:szCs w:val="31"/>
        </w:rPr>
        <w:t>公务接待费</w:t>
      </w:r>
      <w:r>
        <w:rPr>
          <w:rFonts w:ascii="仿宋" w:hAnsi="仿宋" w:eastAsia="仿宋" w:cs="仿宋"/>
          <w:spacing w:val="-25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1.5</w:t>
      </w:r>
      <w:r>
        <w:rPr>
          <w:rFonts w:ascii="仿宋" w:hAnsi="仿宋" w:eastAsia="仿宋" w:cs="仿宋"/>
          <w:spacing w:val="-45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万元，</w:t>
      </w:r>
      <w:r>
        <w:rPr>
          <w:rFonts w:ascii="仿宋" w:hAnsi="仿宋" w:eastAsia="仿宋" w:cs="仿宋"/>
          <w:spacing w:val="-77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比上年增加（减少）2.7</w:t>
      </w:r>
      <w:r>
        <w:rPr>
          <w:rFonts w:ascii="仿宋" w:hAnsi="仿宋" w:eastAsia="仿宋" w:cs="仿宋"/>
          <w:spacing w:val="-4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万元，</w:t>
      </w:r>
    </w:p>
    <w:p>
      <w:pPr>
        <w:spacing w:line="223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主要原因是：。</w:t>
      </w:r>
    </w:p>
    <w:p>
      <w:pPr>
        <w:spacing w:before="225" w:line="60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1"/>
          <w:sz w:val="31"/>
          <w:szCs w:val="31"/>
        </w:rPr>
        <w:t>公务用车运行维护费</w:t>
      </w:r>
      <w:r>
        <w:rPr>
          <w:rFonts w:ascii="仿宋" w:hAnsi="仿宋" w:eastAsia="仿宋" w:cs="仿宋"/>
          <w:spacing w:val="-37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1"/>
          <w:sz w:val="31"/>
          <w:szCs w:val="31"/>
        </w:rPr>
        <w:t>0</w:t>
      </w:r>
      <w:r>
        <w:rPr>
          <w:rFonts w:ascii="仿宋" w:hAnsi="仿宋" w:eastAsia="仿宋" w:cs="仿宋"/>
          <w:spacing w:val="-3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1"/>
          <w:sz w:val="31"/>
          <w:szCs w:val="31"/>
        </w:rPr>
        <w:t>万元，</w:t>
      </w:r>
      <w:r>
        <w:rPr>
          <w:rFonts w:ascii="仿宋" w:hAnsi="仿宋" w:eastAsia="仿宋" w:cs="仿宋"/>
          <w:spacing w:val="-78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1"/>
          <w:sz w:val="31"/>
          <w:szCs w:val="31"/>
        </w:rPr>
        <w:t>比上年增加（减少）0</w:t>
      </w:r>
      <w:r>
        <w:rPr>
          <w:rFonts w:ascii="仿宋" w:hAnsi="仿宋" w:eastAsia="仿宋" w:cs="仿宋"/>
          <w:spacing w:val="-4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1"/>
          <w:sz w:val="31"/>
          <w:szCs w:val="31"/>
        </w:rPr>
        <w:t>万</w:t>
      </w:r>
    </w:p>
    <w:p>
      <w:pPr>
        <w:spacing w:before="1" w:line="223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元，主要原因是：。</w:t>
      </w:r>
    </w:p>
    <w:p>
      <w:pPr>
        <w:spacing w:before="225" w:line="600" w:lineRule="exact"/>
        <w:ind w:right="27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position w:val="21"/>
          <w:sz w:val="31"/>
          <w:szCs w:val="31"/>
        </w:rPr>
        <w:t>公务用车购置费</w:t>
      </w:r>
      <w:r>
        <w:rPr>
          <w:rFonts w:ascii="仿宋" w:hAnsi="仿宋" w:eastAsia="仿宋" w:cs="仿宋"/>
          <w:spacing w:val="-19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万元，</w:t>
      </w:r>
      <w:r>
        <w:rPr>
          <w:rFonts w:ascii="仿宋" w:hAnsi="仿宋" w:eastAsia="仿宋" w:cs="仿宋"/>
          <w:spacing w:val="-77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比上年增加（减少）0</w:t>
      </w:r>
      <w:r>
        <w:rPr>
          <w:rFonts w:ascii="仿宋" w:hAnsi="仿宋" w:eastAsia="仿宋" w:cs="仿宋"/>
          <w:spacing w:val="-42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position w:val="21"/>
          <w:sz w:val="31"/>
          <w:szCs w:val="31"/>
        </w:rPr>
        <w:t>万元，</w:t>
      </w:r>
    </w:p>
    <w:p>
      <w:pPr>
        <w:spacing w:line="223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主要原因是：。</w:t>
      </w:r>
    </w:p>
    <w:p>
      <w:pPr>
        <w:spacing w:line="223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99" w:line="439" w:lineRule="exact"/>
        <w:ind w:left="296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第四部分</w:t>
      </w:r>
      <w:r>
        <w:rPr>
          <w:rFonts w:ascii="宋体" w:hAnsi="宋体" w:eastAsia="宋体" w:cs="宋体"/>
          <w:spacing w:val="9"/>
          <w:position w:val="2"/>
          <w:sz w:val="31"/>
          <w:szCs w:val="31"/>
        </w:rPr>
        <w:t xml:space="preserve">   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名词解释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pStyle w:val="2"/>
        <w:spacing w:before="100" w:line="228" w:lineRule="auto"/>
        <w:ind w:left="672"/>
        <w:outlineLvl w:val="0"/>
      </w:pP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一、收入科目</w:t>
      </w:r>
    </w:p>
    <w:p>
      <w:pPr>
        <w:spacing w:before="218" w:line="221" w:lineRule="auto"/>
        <w:ind w:left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各部门结合实际进行解释。</w:t>
      </w:r>
    </w:p>
    <w:p>
      <w:pPr>
        <w:spacing w:before="228" w:line="231" w:lineRule="auto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（一）财政拨款：</w:t>
      </w:r>
      <w:r>
        <w:rPr>
          <w:rFonts w:ascii="仿宋" w:hAnsi="仿宋" w:eastAsia="仿宋" w:cs="仿宋"/>
          <w:spacing w:val="8"/>
          <w:sz w:val="31"/>
          <w:szCs w:val="31"/>
        </w:rPr>
        <w:t>指区级财政当年拨付的资金。</w:t>
      </w:r>
    </w:p>
    <w:p>
      <w:pPr>
        <w:spacing w:before="210" w:line="358" w:lineRule="auto"/>
        <w:ind w:left="34" w:right="249" w:firstLine="65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（二）教育收费资金收入：</w:t>
      </w:r>
      <w:r>
        <w:rPr>
          <w:rFonts w:ascii="仿宋" w:hAnsi="仿宋" w:eastAsia="仿宋" w:cs="仿宋"/>
          <w:spacing w:val="7"/>
          <w:sz w:val="31"/>
          <w:szCs w:val="31"/>
        </w:rPr>
        <w:t>反映实行专项管理的高中以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上学费、住宿费，高校委托培养费，函大、电大、夜大及短</w:t>
      </w:r>
    </w:p>
    <w:p>
      <w:pPr>
        <w:spacing w:before="1" w:line="222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训班培训费等教育收费取得的收入。</w:t>
      </w:r>
    </w:p>
    <w:p>
      <w:pPr>
        <w:spacing w:before="225" w:line="601" w:lineRule="exact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position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（三）事业收入：</w:t>
      </w:r>
      <w:r>
        <w:rPr>
          <w:rFonts w:ascii="仿宋" w:hAnsi="仿宋" w:eastAsia="仿宋" w:cs="仿宋"/>
          <w:spacing w:val="8"/>
          <w:position w:val="20"/>
          <w:sz w:val="31"/>
          <w:szCs w:val="31"/>
        </w:rPr>
        <w:t>指事业单位开展专业业务活</w:t>
      </w:r>
      <w:r>
        <w:rPr>
          <w:rFonts w:ascii="仿宋" w:hAnsi="仿宋" w:eastAsia="仿宋" w:cs="仿宋"/>
          <w:spacing w:val="7"/>
          <w:position w:val="20"/>
          <w:sz w:val="31"/>
          <w:szCs w:val="31"/>
        </w:rPr>
        <w:t>动及辅助</w:t>
      </w:r>
    </w:p>
    <w:p>
      <w:pPr>
        <w:spacing w:before="1" w:line="222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活动取得的收入。</w:t>
      </w:r>
    </w:p>
    <w:p>
      <w:pPr>
        <w:spacing w:before="225" w:line="602" w:lineRule="exact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position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（四）事业单位经营收入：</w:t>
      </w:r>
      <w:r>
        <w:rPr>
          <w:rFonts w:ascii="仿宋" w:hAnsi="仿宋" w:eastAsia="仿宋" w:cs="仿宋"/>
          <w:spacing w:val="8"/>
          <w:position w:val="20"/>
          <w:sz w:val="31"/>
          <w:szCs w:val="31"/>
        </w:rPr>
        <w:t>指事业单位在专业业务活动</w:t>
      </w:r>
    </w:p>
    <w:p>
      <w:pPr>
        <w:spacing w:line="221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及辅助活动之外开展非独立核算经营活动取得的收入。</w:t>
      </w:r>
    </w:p>
    <w:p>
      <w:pPr>
        <w:spacing w:before="226" w:line="358" w:lineRule="auto"/>
        <w:ind w:left="36" w:right="249" w:firstLine="65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（五）附属单位上缴收入：</w:t>
      </w:r>
      <w:r>
        <w:rPr>
          <w:rFonts w:ascii="仿宋" w:hAnsi="仿宋" w:eastAsia="仿宋" w:cs="仿宋"/>
          <w:spacing w:val="8"/>
          <w:sz w:val="31"/>
          <w:szCs w:val="31"/>
        </w:rPr>
        <w:t>反映事业单位附属的独立核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算单位按规定标准或比例缴纳的各项收入。包括附属的事业</w:t>
      </w:r>
    </w:p>
    <w:p>
      <w:pPr>
        <w:spacing w:line="221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单位上缴的收入和附属的企业上缴的利润等。</w:t>
      </w:r>
    </w:p>
    <w:p>
      <w:pPr>
        <w:spacing w:before="228" w:line="601" w:lineRule="exact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position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（六）上级补助收入：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反映事业单位从主管部门和上级</w:t>
      </w:r>
    </w:p>
    <w:p>
      <w:pPr>
        <w:spacing w:line="221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单位取得的非财政补助收入。</w:t>
      </w:r>
    </w:p>
    <w:p>
      <w:pPr>
        <w:spacing w:before="228" w:line="601" w:lineRule="exact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position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（七）其他收入：</w:t>
      </w:r>
      <w:r>
        <w:rPr>
          <w:rFonts w:ascii="仿宋" w:hAnsi="仿宋" w:eastAsia="仿宋" w:cs="仿宋"/>
          <w:spacing w:val="8"/>
          <w:position w:val="21"/>
          <w:sz w:val="31"/>
          <w:szCs w:val="31"/>
        </w:rPr>
        <w:t>指除财政拨款、事业收入、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事业单位</w:t>
      </w:r>
    </w:p>
    <w:p>
      <w:pPr>
        <w:spacing w:line="223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经营收入等以外的各项收入。</w:t>
      </w:r>
    </w:p>
    <w:p>
      <w:pPr>
        <w:spacing w:before="224" w:line="602" w:lineRule="exact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position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（八）使用非财政拨款结余：</w:t>
      </w:r>
      <w:r>
        <w:rPr>
          <w:rFonts w:ascii="仿宋" w:hAnsi="仿宋" w:eastAsia="仿宋" w:cs="仿宋"/>
          <w:spacing w:val="7"/>
          <w:position w:val="21"/>
          <w:sz w:val="31"/>
          <w:szCs w:val="31"/>
        </w:rPr>
        <w:t>填列历年滚存的非限定用</w:t>
      </w:r>
    </w:p>
    <w:p>
      <w:pPr>
        <w:spacing w:before="1" w:line="221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途的非统计财政拨款结余弥补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2024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年收支差额的数额。</w:t>
      </w:r>
    </w:p>
    <w:p>
      <w:pPr>
        <w:spacing w:before="226" w:line="602" w:lineRule="exact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position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（九）上年结转和结余：</w:t>
      </w:r>
      <w:r>
        <w:rPr>
          <w:rFonts w:ascii="仿宋" w:hAnsi="仿宋" w:eastAsia="仿宋" w:cs="仿宋"/>
          <w:spacing w:val="11"/>
          <w:position w:val="21"/>
          <w:sz w:val="31"/>
          <w:szCs w:val="31"/>
        </w:rPr>
        <w:t>填列</w:t>
      </w:r>
      <w:r>
        <w:rPr>
          <w:rFonts w:ascii="仿宋" w:hAnsi="仿宋" w:eastAsia="仿宋" w:cs="仿宋"/>
          <w:spacing w:val="-38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1"/>
          <w:sz w:val="31"/>
          <w:szCs w:val="31"/>
        </w:rPr>
        <w:t>2023</w:t>
      </w:r>
      <w:r>
        <w:rPr>
          <w:rFonts w:ascii="仿宋" w:hAnsi="仿宋" w:eastAsia="仿宋" w:cs="仿宋"/>
          <w:spacing w:val="-54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1"/>
          <w:sz w:val="31"/>
          <w:szCs w:val="31"/>
        </w:rPr>
        <w:t>年全部结转和结余</w:t>
      </w:r>
    </w:p>
    <w:p>
      <w:pPr>
        <w:spacing w:before="1" w:line="218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的资金数，包括当年结转结余资金和历年滚存结转结余资金。</w:t>
      </w:r>
    </w:p>
    <w:p>
      <w:pPr>
        <w:spacing w:line="218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550" w:bottom="0" w:left="1785" w:header="0" w:footer="0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pStyle w:val="2"/>
        <w:spacing w:before="100" w:line="228" w:lineRule="auto"/>
        <w:ind w:left="672"/>
        <w:outlineLvl w:val="0"/>
      </w:pPr>
      <w:r>
        <w:rPr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二、支出科目</w:t>
      </w:r>
    </w:p>
    <w:p>
      <w:pPr>
        <w:spacing w:before="218" w:line="600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1"/>
          <w:sz w:val="31"/>
          <w:szCs w:val="31"/>
        </w:rPr>
        <w:t>1、行政运行：反映行政单位（包括实行公务员管理的</w:t>
      </w:r>
    </w:p>
    <w:p>
      <w:pPr>
        <w:spacing w:line="221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事业单位）的基本支出。</w:t>
      </w:r>
    </w:p>
    <w:p>
      <w:pPr>
        <w:spacing w:before="228" w:line="600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1"/>
          <w:sz w:val="31"/>
          <w:szCs w:val="31"/>
        </w:rPr>
        <w:t>2、一般行政管理事务：反映行政单位（包括实行公务</w:t>
      </w:r>
    </w:p>
    <w:p>
      <w:pPr>
        <w:spacing w:line="221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员管理的事业单位）未单独设置项级科目的其他项目支出。</w:t>
      </w:r>
    </w:p>
    <w:p>
      <w:pPr>
        <w:spacing w:before="229" w:line="600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1"/>
          <w:sz w:val="31"/>
          <w:szCs w:val="31"/>
        </w:rPr>
        <w:t>3、行政单位医疗：财政部门安排的办公室职工基本医</w:t>
      </w:r>
    </w:p>
    <w:p>
      <w:pPr>
        <w:spacing w:line="221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疗保险缴费缴费。</w:t>
      </w:r>
    </w:p>
    <w:p>
      <w:pPr>
        <w:spacing w:before="230" w:line="357" w:lineRule="auto"/>
        <w:ind w:left="26" w:right="14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4、住房公积金：反映按人力资源和社会保</w:t>
      </w:r>
      <w:r>
        <w:rPr>
          <w:rFonts w:ascii="仿宋" w:hAnsi="仿宋" w:eastAsia="仿宋" w:cs="仿宋"/>
          <w:spacing w:val="14"/>
          <w:sz w:val="31"/>
          <w:szCs w:val="31"/>
        </w:rPr>
        <w:t>障部、财政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部规定的基本工资和津贴补贴以及规定比例为职工缴纳的</w:t>
      </w:r>
    </w:p>
    <w:p>
      <w:pPr>
        <w:spacing w:before="1" w:line="221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住房公积金。</w:t>
      </w:r>
    </w:p>
    <w:p>
      <w:pPr>
        <w:spacing w:before="229" w:line="357" w:lineRule="auto"/>
        <w:ind w:left="26" w:right="13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 xml:space="preserve">5、社会保障和就业支出：反映按人力资源和社会保障 </w:t>
      </w:r>
      <w:r>
        <w:rPr>
          <w:rFonts w:ascii="仿宋" w:hAnsi="仿宋" w:eastAsia="仿宋" w:cs="仿宋"/>
          <w:spacing w:val="9"/>
          <w:sz w:val="31"/>
          <w:szCs w:val="31"/>
        </w:rPr>
        <w:t>部、财政部规定的基本工资和津贴补贴以及规定比例为</w:t>
      </w:r>
      <w:r>
        <w:rPr>
          <w:rFonts w:ascii="仿宋" w:hAnsi="仿宋" w:eastAsia="仿宋" w:cs="仿宋"/>
          <w:spacing w:val="8"/>
          <w:sz w:val="31"/>
          <w:szCs w:val="31"/>
        </w:rPr>
        <w:t>职工</w:t>
      </w:r>
    </w:p>
    <w:p>
      <w:pPr>
        <w:spacing w:line="221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缴纳的社保支出。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02" w:line="228" w:lineRule="auto"/>
        <w:ind w:left="673"/>
        <w:outlineLvl w:val="0"/>
      </w:pPr>
      <w:r>
        <w:rPr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三、相关专业名词</w:t>
      </w:r>
    </w:p>
    <w:p>
      <w:pPr>
        <w:spacing w:before="221" w:line="357" w:lineRule="auto"/>
        <w:ind w:left="30" w:right="13" w:firstLine="66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（一）机关运行费：</w:t>
      </w:r>
      <w:r>
        <w:rPr>
          <w:rFonts w:ascii="仿宋" w:hAnsi="仿宋" w:eastAsia="仿宋" w:cs="仿宋"/>
          <w:spacing w:val="7"/>
          <w:sz w:val="31"/>
          <w:szCs w:val="31"/>
        </w:rPr>
        <w:t>指用一般公共预算财政拨款安排的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为保障行政单位（含参照公务员法管理的事业</w:t>
      </w:r>
      <w:r>
        <w:rPr>
          <w:rFonts w:ascii="仿宋" w:hAnsi="仿宋" w:eastAsia="仿宋" w:cs="仿宋"/>
          <w:spacing w:val="8"/>
          <w:sz w:val="31"/>
          <w:szCs w:val="31"/>
        </w:rPr>
        <w:t>单位）运行用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于购买货物和服务的各项资金，包括办公费、印刷费、邮电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费、差旅费、会议费、福利费、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日常维修费、专用材料及一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般设备购置费、办公用房水电费、办公用房取暖费、办公用</w:t>
      </w:r>
    </w:p>
    <w:p>
      <w:pPr>
        <w:spacing w:before="1" w:line="219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房物业管理费、公务用车运行维护费以及其他费用。</w:t>
      </w:r>
    </w:p>
    <w:p>
      <w:pPr>
        <w:spacing w:line="219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221" w:line="357" w:lineRule="auto"/>
        <w:ind w:left="18" w:firstLine="67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（二）“三公</w:t>
      </w:r>
      <w:r>
        <w:rPr>
          <w:rFonts w:ascii="楷体" w:hAnsi="楷体" w:eastAsia="楷体" w:cs="楷体"/>
          <w:spacing w:val="-97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”经费：</w:t>
      </w:r>
      <w:r>
        <w:rPr>
          <w:rFonts w:ascii="仿宋" w:hAnsi="仿宋" w:eastAsia="仿宋" w:cs="仿宋"/>
          <w:spacing w:val="-13"/>
          <w:sz w:val="31"/>
          <w:szCs w:val="31"/>
        </w:rPr>
        <w:t>指用财政拨款安排的因公出国（境）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费、公务用车购置及运行维护费和公务接待费。其中，因公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出国（境）费反映单位公务出国（境）的国际旅费、国外城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市间交通费、住宿费、伙食费、培训费、公杂费等支出；公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2"/>
          <w:sz w:val="31"/>
          <w:szCs w:val="31"/>
        </w:rPr>
        <w:t>务用车购置及运行维护费反映单位公务用车车辆购置</w:t>
      </w:r>
      <w:r>
        <w:rPr>
          <w:rFonts w:ascii="仿宋" w:hAnsi="仿宋" w:eastAsia="仿宋" w:cs="仿宋"/>
          <w:spacing w:val="21"/>
          <w:sz w:val="31"/>
          <w:szCs w:val="31"/>
        </w:rPr>
        <w:t>支出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（含车辆购置税、牌照费</w:t>
      </w:r>
      <w:r>
        <w:rPr>
          <w:rFonts w:ascii="仿宋" w:hAnsi="仿宋" w:eastAsia="仿宋" w:cs="仿宋"/>
          <w:spacing w:val="-33"/>
          <w:sz w:val="31"/>
          <w:szCs w:val="31"/>
        </w:rPr>
        <w:t>），</w:t>
      </w:r>
      <w:r>
        <w:rPr>
          <w:rFonts w:ascii="仿宋" w:hAnsi="仿宋" w:eastAsia="仿宋" w:cs="仿宋"/>
          <w:spacing w:val="6"/>
          <w:sz w:val="31"/>
          <w:szCs w:val="31"/>
        </w:rPr>
        <w:t>按规定保留的公务用车燃料费、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维修费、过桥过路费、保险费、安全奖励费用等支出；公务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接待费反映单位按规定开支的各类公务接待（含外宾接待）</w:t>
      </w:r>
    </w:p>
    <w:p>
      <w:pPr>
        <w:spacing w:before="1" w:line="223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支出。</w:t>
      </w:r>
    </w:p>
    <w:sectPr>
      <w:pgSz w:w="11906" w:h="16839"/>
      <w:pgMar w:top="1431" w:right="164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59F5A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黑体" w:hAnsi="黑体" w:eastAsia="黑体" w:cs="黑体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2024-03-15T14:46:00Z</dcterms:created>
  <dc:creator>NTKO</dc:creator>
  <cp:lastModifiedBy>7</cp:lastModifiedBy>
  <dcterms:modified xsi:type="dcterms:W3CDTF">2024-03-20T09:38:53Z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2024-03-20T17:38:42Z</vt:filetime>
  </property>
  <property fmtid="{D5CDD505-2E9C-101B-9397-08002B2CF9AE}" pid="4" name="KSOProductBuildVer">
    <vt:lpwstr>2052-12.1.0.16417</vt:lpwstr>
  </property>
  <property fmtid="{D5CDD505-2E9C-101B-9397-08002B2CF9AE}" pid="5" name="ICV">
    <vt:lpwstr>E485EA6BF963450C8CB062689A42D744_13</vt:lpwstr>
  </property>
</Properties>
</file>