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  <w:bookmarkStart w:id="0" w:name="_GoBack"/>
      <w:bookmarkEnd w:id="0"/>
      <w:r>
        <w:rPr>
          <w:rFonts w:hint="eastAsia" w:ascii="黑体" w:eastAsia="黑体"/>
          <w:sz w:val="44"/>
          <w:szCs w:val="36"/>
        </w:rPr>
        <w:t>昌江区</w:t>
      </w:r>
      <w:r>
        <w:rPr>
          <w:rFonts w:hint="eastAsia" w:ascii="黑体" w:eastAsia="黑体"/>
          <w:sz w:val="44"/>
          <w:szCs w:val="36"/>
          <w:lang w:eastAsia="zh-CN"/>
        </w:rPr>
        <w:t>信访局</w:t>
      </w:r>
      <w:r>
        <w:rPr>
          <w:rFonts w:hint="eastAsia" w:ascii="黑体" w:eastAsia="黑体"/>
          <w:sz w:val="44"/>
          <w:szCs w:val="36"/>
        </w:rPr>
        <w:t xml:space="preserve"> 20</w:t>
      </w:r>
      <w:r>
        <w:rPr>
          <w:rFonts w:hint="eastAsia" w:ascii="黑体" w:eastAsia="黑体"/>
          <w:sz w:val="44"/>
          <w:szCs w:val="36"/>
          <w:lang w:val="en-US" w:eastAsia="zh-CN"/>
        </w:rPr>
        <w:t>21</w:t>
      </w:r>
      <w:r>
        <w:rPr>
          <w:rFonts w:hint="eastAsia" w:ascii="黑体" w:eastAsia="黑体"/>
          <w:sz w:val="44"/>
          <w:szCs w:val="36"/>
        </w:rPr>
        <w:t>年部门预算</w:t>
      </w:r>
    </w:p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</w:p>
    <w:p>
      <w:pPr>
        <w:spacing w:line="600" w:lineRule="exact"/>
        <w:jc w:val="center"/>
        <w:rPr>
          <w:rFonts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>目    录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第一部分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信访局</w:t>
      </w:r>
      <w:r>
        <w:rPr>
          <w:rFonts w:hint="eastAsia" w:ascii="仿宋_GB2312" w:eastAsia="仿宋_GB2312"/>
          <w:b/>
          <w:sz w:val="32"/>
          <w:szCs w:val="30"/>
        </w:rPr>
        <w:t>概况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 xml:space="preserve">   </w:t>
      </w:r>
      <w:r>
        <w:rPr>
          <w:rFonts w:hint="eastAsia" w:ascii="仿宋_GB2312" w:eastAsia="仿宋_GB2312"/>
          <w:sz w:val="32"/>
          <w:szCs w:val="30"/>
        </w:rPr>
        <w:t xml:space="preserve"> </w:t>
      </w:r>
      <w:r>
        <w:rPr>
          <w:rFonts w:hint="eastAsia" w:ascii="楷体_GB2312" w:eastAsia="楷体_GB2312"/>
          <w:sz w:val="32"/>
          <w:szCs w:val="30"/>
        </w:rPr>
        <w:t>一、部门主要职责</w:t>
      </w:r>
    </w:p>
    <w:p>
      <w:pPr>
        <w:widowControl/>
        <w:spacing w:line="600" w:lineRule="exact"/>
        <w:ind w:firstLine="640"/>
        <w:jc w:val="left"/>
        <w:rPr>
          <w:rFonts w:ascii="楷体_GB2312" w:hAnsi="Calibri" w:eastAsia="楷体_GB2312" w:cs="宋体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二、部门基本情况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信访局</w:t>
      </w:r>
      <w:r>
        <w:rPr>
          <w:rFonts w:hint="eastAsia" w:ascii="仿宋_GB2312" w:eastAsia="仿宋_GB2312"/>
          <w:b/>
          <w:sz w:val="32"/>
          <w:szCs w:val="30"/>
        </w:rPr>
        <w:t>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一、20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21</w:t>
      </w:r>
      <w:r>
        <w:rPr>
          <w:rFonts w:hint="eastAsia" w:ascii="楷体_GB2312" w:eastAsia="楷体_GB2312"/>
          <w:sz w:val="32"/>
          <w:szCs w:val="30"/>
        </w:rPr>
        <w:t>年部门预算收支情况说明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</w:t>
      </w:r>
      <w:r>
        <w:rPr>
          <w:rFonts w:hint="eastAsia" w:ascii="楷体_GB2312" w:eastAsia="楷体_GB2312"/>
          <w:sz w:val="32"/>
          <w:szCs w:val="30"/>
        </w:rPr>
        <w:t>20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21</w:t>
      </w:r>
      <w:r>
        <w:rPr>
          <w:rFonts w:hint="eastAsia" w:ascii="楷体_GB2312" w:eastAsia="楷体_GB2312"/>
          <w:sz w:val="32"/>
          <w:szCs w:val="30"/>
        </w:rPr>
        <w:t>年“三公”经费预算情况说明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信访局</w:t>
      </w:r>
      <w:r>
        <w:rPr>
          <w:rFonts w:hint="eastAsia" w:ascii="仿宋_GB2312" w:eastAsia="仿宋_GB2312"/>
          <w:b/>
          <w:sz w:val="32"/>
          <w:szCs w:val="30"/>
        </w:rPr>
        <w:t xml:space="preserve"> 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一、收支预算总表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二、部门收入总表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三、部门支出总</w:t>
      </w:r>
      <w:r>
        <w:rPr>
          <w:rFonts w:hint="eastAsia" w:ascii="楷体_GB2312" w:eastAsia="楷体_GB2312"/>
          <w:sz w:val="32"/>
          <w:szCs w:val="30"/>
        </w:rPr>
        <w:t>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四、财政拨款收支总表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五、一般公共预算支出表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六、一般公共预算基本支出表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七、一般公共预算“三公”经费支出表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八、政府性基金预算支出表</w:t>
      </w:r>
    </w:p>
    <w:p>
      <w:pPr>
        <w:widowControl/>
        <w:spacing w:line="600" w:lineRule="exact"/>
        <w:ind w:firstLine="1280" w:firstLineChars="400"/>
        <w:jc w:val="left"/>
        <w:rPr>
          <w:rFonts w:hint="default" w:ascii="楷体_GB2312" w:eastAsia="楷体_GB2312"/>
          <w:sz w:val="32"/>
          <w:szCs w:val="30"/>
          <w:lang w:val="en-US" w:eastAsia="zh-CN"/>
        </w:rPr>
      </w:pPr>
      <w:r>
        <w:rPr>
          <w:rFonts w:hint="eastAsia" w:ascii="楷体_GB2312" w:eastAsia="楷体_GB2312"/>
          <w:sz w:val="32"/>
          <w:szCs w:val="30"/>
          <w:lang w:val="en-US" w:eastAsia="zh-CN"/>
        </w:rPr>
        <w:t>九、支出总表(引用)</w:t>
      </w:r>
    </w:p>
    <w:p>
      <w:pPr>
        <w:widowControl/>
        <w:spacing w:line="600" w:lineRule="exact"/>
        <w:ind w:firstLine="1280" w:firstLineChars="400"/>
        <w:jc w:val="left"/>
        <w:rPr>
          <w:rFonts w:hint="default" w:ascii="楷体_GB2312" w:eastAsia="楷体_GB2312"/>
          <w:sz w:val="32"/>
          <w:szCs w:val="30"/>
          <w:lang w:val="en-US" w:eastAsia="zh-CN"/>
        </w:rPr>
      </w:pPr>
      <w:r>
        <w:rPr>
          <w:rFonts w:hint="eastAsia" w:ascii="楷体_GB2312" w:eastAsia="楷体_GB2312"/>
          <w:sz w:val="32"/>
          <w:szCs w:val="30"/>
          <w:lang w:val="en-US" w:eastAsia="zh-CN"/>
        </w:rPr>
        <w:t>十、财拨总表（引用）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ascii="仿宋_GB2312" w:eastAsia="仿宋_GB2312"/>
          <w:b/>
          <w:sz w:val="32"/>
          <w:szCs w:val="30"/>
        </w:rPr>
        <w:br w:type="page"/>
      </w:r>
      <w:r>
        <w:rPr>
          <w:rFonts w:hint="eastAsia" w:ascii="仿宋_GB2312" w:eastAsia="仿宋_GB2312"/>
          <w:b/>
          <w:sz w:val="32"/>
          <w:szCs w:val="30"/>
        </w:rPr>
        <w:t>第一部分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信访局</w:t>
      </w:r>
      <w:r>
        <w:rPr>
          <w:rFonts w:hint="eastAsia" w:ascii="仿宋_GB2312" w:eastAsia="仿宋_GB2312"/>
          <w:b/>
          <w:sz w:val="32"/>
          <w:szCs w:val="30"/>
        </w:rPr>
        <w:t>概况</w:t>
      </w: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一、部门主要职责</w:t>
      </w:r>
    </w:p>
    <w:p>
      <w:pPr>
        <w:widowControl/>
        <w:spacing w:line="580" w:lineRule="exact"/>
        <w:ind w:firstLine="640"/>
        <w:jc w:val="left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（</w:t>
      </w:r>
      <w:r>
        <w:rPr>
          <w:rFonts w:ascii="仿宋_GB2312" w:hAnsi="仿宋" w:eastAsia="仿宋_GB2312" w:cs="Times New Roman"/>
          <w:sz w:val="30"/>
          <w:szCs w:val="30"/>
        </w:rPr>
        <w:t>1</w:t>
      </w:r>
      <w:r>
        <w:rPr>
          <w:rFonts w:hint="eastAsia" w:ascii="仿宋_GB2312" w:hAnsi="仿宋" w:eastAsia="仿宋_GB2312" w:cs="Times New Roman"/>
          <w:sz w:val="30"/>
          <w:szCs w:val="30"/>
        </w:rPr>
        <w:t>）贯彻执行中央及省、市、区有关信访的方针、政策和法律、法规、规章；承办市委、市人大常委会、市政府、市政协等领导机关及市直属部门转办、交办的信访事项；处理区委、区政府领导交办的信访事项；督促检查上级领导机关交办事项和领导同志有关批示件的落实情况。（</w:t>
      </w:r>
      <w:r>
        <w:rPr>
          <w:rFonts w:ascii="仿宋_GB2312" w:hAnsi="仿宋" w:eastAsia="仿宋_GB2312" w:cs="Times New Roman"/>
          <w:sz w:val="30"/>
          <w:szCs w:val="30"/>
        </w:rPr>
        <w:t>2</w:t>
      </w:r>
      <w:r>
        <w:rPr>
          <w:rFonts w:hint="eastAsia" w:ascii="仿宋_GB2312" w:hAnsi="仿宋" w:eastAsia="仿宋_GB2312" w:cs="Times New Roman"/>
          <w:sz w:val="30"/>
          <w:szCs w:val="30"/>
        </w:rPr>
        <w:t>）负责受理人民群众的来信、来访，向乡（镇）、街道和有关部门交办信访事项，保证信访渠道畅通；及时、准确地向区委、区政府领导反映来信来访中提出的重要建议、意见和问题；办理和协调处理重要的信访事项，并对落实情况进行督促检查；综合分析信访信息，开展调查研究，提出制定有关方针、政策的建议。（</w:t>
      </w:r>
      <w:r>
        <w:rPr>
          <w:rFonts w:ascii="仿宋_GB2312" w:hAnsi="仿宋" w:eastAsia="仿宋_GB2312" w:cs="Times New Roman"/>
          <w:sz w:val="30"/>
          <w:szCs w:val="30"/>
        </w:rPr>
        <w:t>3</w:t>
      </w:r>
      <w:r>
        <w:rPr>
          <w:rFonts w:hint="eastAsia" w:ascii="仿宋_GB2312" w:hAnsi="仿宋" w:eastAsia="仿宋_GB2312" w:cs="Times New Roman"/>
          <w:sz w:val="30"/>
          <w:szCs w:val="30"/>
        </w:rPr>
        <w:t>）协调处理跨区、跨地区、跨部门的重要信访问题；协调处理群众集体赴京、赴省、赴市、来区上访和异常、突发信访事件；检查、协调区直各部门信访工作和乡（镇）、街道党政机关的信访工作。（</w:t>
      </w:r>
      <w:r>
        <w:rPr>
          <w:rFonts w:ascii="仿宋_GB2312" w:hAnsi="仿宋" w:eastAsia="仿宋_GB2312" w:cs="Times New Roman"/>
          <w:sz w:val="30"/>
          <w:szCs w:val="30"/>
        </w:rPr>
        <w:t>4</w:t>
      </w:r>
      <w:r>
        <w:rPr>
          <w:rFonts w:hint="eastAsia" w:ascii="仿宋_GB2312" w:hAnsi="仿宋" w:eastAsia="仿宋_GB2312" w:cs="Times New Roman"/>
          <w:sz w:val="30"/>
          <w:szCs w:val="30"/>
        </w:rPr>
        <w:t>）研究、起草有关信访工作的政策、法规草案；总结推广各地区、各部门信访工作的经验，提出改进和加强信访工作的意见和建议，指导全区的信访业务工作；负责信访工作的宣传和信息发布；负责组织实施全区信访工作的目标管理与考核。（</w:t>
      </w:r>
      <w:r>
        <w:rPr>
          <w:rFonts w:ascii="仿宋_GB2312" w:hAnsi="仿宋" w:eastAsia="仿宋_GB2312" w:cs="Times New Roman"/>
          <w:sz w:val="30"/>
          <w:szCs w:val="30"/>
        </w:rPr>
        <w:t>5</w:t>
      </w:r>
      <w:r>
        <w:rPr>
          <w:rFonts w:hint="eastAsia" w:ascii="仿宋_GB2312" w:hAnsi="仿宋" w:eastAsia="仿宋_GB2312" w:cs="Times New Roman"/>
          <w:sz w:val="30"/>
          <w:szCs w:val="30"/>
        </w:rPr>
        <w:t>）了解并掌握全区信访工作队伍建设情况；组织信访干部的培训；指导信访部门办公自动化建设。（</w:t>
      </w:r>
      <w:r>
        <w:rPr>
          <w:rFonts w:ascii="仿宋_GB2312" w:hAnsi="仿宋" w:eastAsia="仿宋_GB2312" w:cs="Times New Roman"/>
          <w:sz w:val="30"/>
          <w:szCs w:val="30"/>
        </w:rPr>
        <w:t>6</w:t>
      </w:r>
      <w:r>
        <w:rPr>
          <w:rFonts w:hint="eastAsia" w:ascii="仿宋_GB2312" w:hAnsi="仿宋" w:eastAsia="仿宋_GB2312" w:cs="Times New Roman"/>
          <w:sz w:val="30"/>
          <w:szCs w:val="30"/>
        </w:rPr>
        <w:t>）承办区委、区政府和市信访局交办的其他事项。</w:t>
      </w:r>
    </w:p>
    <w:p>
      <w:pPr>
        <w:widowControl/>
        <w:spacing w:line="580" w:lineRule="exact"/>
        <w:ind w:firstLine="640"/>
        <w:jc w:val="left"/>
        <w:rPr>
          <w:rFonts w:ascii="楷体_GB2312" w:hAnsi="Calibri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二、部门基本情况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eastAsia="仿宋_GB2312"/>
          <w:sz w:val="32"/>
          <w:szCs w:val="32"/>
        </w:rPr>
        <w:t>本部门共有预算单位1个，编制人数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人，</w:t>
      </w:r>
      <w:r>
        <w:rPr>
          <w:rFonts w:hint="eastAsia" w:ascii="仿宋_GB2312" w:hAnsi="Times New Roman" w:eastAsia="仿宋_GB2312" w:cs="Times New Roman"/>
          <w:sz w:val="32"/>
          <w:szCs w:val="30"/>
        </w:rPr>
        <w:t>现共有在编在岗人员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0"/>
        </w:rPr>
        <w:t>人，行政编制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0"/>
        </w:rPr>
        <w:t>人，事业编制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0"/>
        </w:rPr>
        <w:t>人。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信访局</w:t>
      </w:r>
      <w:r>
        <w:rPr>
          <w:rFonts w:hint="eastAsia" w:ascii="仿宋_GB2312" w:eastAsia="仿宋_GB2312"/>
          <w:b/>
          <w:sz w:val="32"/>
          <w:szCs w:val="30"/>
        </w:rPr>
        <w:t xml:space="preserve"> 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ind w:firstLine="643" w:firstLineChars="20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一、20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21</w:t>
      </w:r>
      <w:r>
        <w:rPr>
          <w:rFonts w:hint="eastAsia" w:ascii="楷体_GB2312" w:eastAsia="楷体_GB2312"/>
          <w:b/>
          <w:sz w:val="32"/>
          <w:szCs w:val="30"/>
        </w:rPr>
        <w:t>年部门预算收支情况说明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（一）收入预算情况</w:t>
      </w:r>
    </w:p>
    <w:p>
      <w:pPr>
        <w:spacing w:line="500" w:lineRule="exact"/>
        <w:ind w:firstLine="570"/>
        <w:rPr>
          <w:rFonts w:ascii="仿宋_GB2312" w:hAnsi="Times New Roman" w:eastAsia="仿宋_GB2312" w:cs="Times New Roman"/>
          <w:sz w:val="32"/>
          <w:szCs w:val="30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年收入预算总额为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63.87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元，其中：经费拨款（补助）收入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63.87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元，占收入预算总额的100%。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较20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年收入的预算安排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6.39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（二）支出预算情况</w:t>
      </w:r>
    </w:p>
    <w:p>
      <w:pPr>
        <w:spacing w:line="500" w:lineRule="exact"/>
        <w:ind w:firstLine="57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年支出预算总额为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63.87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元。其中：</w:t>
      </w:r>
    </w:p>
    <w:p>
      <w:pPr>
        <w:widowControl/>
        <w:spacing w:line="580" w:lineRule="exact"/>
        <w:ind w:firstLine="64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按支出项目类别划分：基本支出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56.67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元，占支出预算总额的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88.73</w:t>
      </w:r>
      <w:r>
        <w:rPr>
          <w:rFonts w:ascii="Times New Roman" w:hAnsi="Times New Roman" w:eastAsia="仿宋_GB2312" w:cs="Times New Roman"/>
          <w:sz w:val="32"/>
          <w:szCs w:val="32"/>
        </w:rPr>
        <w:t>%，其中工资福利支出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52.35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商品和服务支出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4.32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元；项目支出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元，占支出预算总额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11.27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（三）财政拨款支出情况</w:t>
      </w:r>
    </w:p>
    <w:p>
      <w:pPr>
        <w:widowControl/>
        <w:spacing w:line="580" w:lineRule="exact"/>
        <w:ind w:firstLine="640"/>
        <w:jc w:val="lef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eastAsia="仿宋_GB2312"/>
          <w:sz w:val="32"/>
          <w:szCs w:val="32"/>
        </w:rPr>
        <w:t>年经费拨款（补助）支出预算</w:t>
      </w:r>
      <w:r>
        <w:rPr>
          <w:rFonts w:hint="eastAsia" w:eastAsia="仿宋_GB2312"/>
          <w:sz w:val="32"/>
          <w:szCs w:val="32"/>
          <w:lang w:val="en-US" w:eastAsia="zh-CN"/>
        </w:rPr>
        <w:t>63.87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元，</w:t>
      </w:r>
      <w:r>
        <w:rPr>
          <w:rFonts w:hint="eastAsia" w:eastAsia="仿宋_GB2312"/>
          <w:sz w:val="32"/>
          <w:szCs w:val="32"/>
        </w:rPr>
        <w:t>较上年</w:t>
      </w:r>
      <w:r>
        <w:rPr>
          <w:rFonts w:hint="eastAsia" w:eastAsia="仿宋_GB2312"/>
          <w:sz w:val="32"/>
          <w:szCs w:val="32"/>
          <w:lang w:eastAsia="zh-CN"/>
        </w:rPr>
        <w:t>降低了</w:t>
      </w:r>
      <w:r>
        <w:rPr>
          <w:rFonts w:hint="eastAsia" w:eastAsia="仿宋_GB2312"/>
          <w:sz w:val="32"/>
          <w:szCs w:val="32"/>
          <w:lang w:val="en-US" w:eastAsia="zh-CN"/>
        </w:rPr>
        <w:t>6.39</w:t>
      </w:r>
      <w:r>
        <w:rPr>
          <w:rFonts w:hint="eastAsia" w:eastAsia="仿宋_GB2312"/>
          <w:sz w:val="32"/>
          <w:szCs w:val="32"/>
        </w:rPr>
        <w:t>%。具体支出情况是：一般公共服务支出</w:t>
      </w:r>
      <w:r>
        <w:rPr>
          <w:rFonts w:hint="eastAsia" w:eastAsia="仿宋_GB2312"/>
          <w:sz w:val="32"/>
          <w:szCs w:val="32"/>
          <w:lang w:val="en-US" w:eastAsia="zh-CN"/>
        </w:rPr>
        <w:t>53.11</w:t>
      </w:r>
      <w:r>
        <w:rPr>
          <w:rFonts w:hint="eastAsia" w:eastAsia="仿宋_GB2312"/>
          <w:sz w:val="32"/>
          <w:szCs w:val="32"/>
        </w:rPr>
        <w:t>万元，社会和保障就业支出</w:t>
      </w:r>
      <w:r>
        <w:rPr>
          <w:rFonts w:hint="eastAsia" w:eastAsia="仿宋_GB2312"/>
          <w:sz w:val="32"/>
          <w:szCs w:val="32"/>
          <w:lang w:val="en-US" w:eastAsia="zh-CN"/>
        </w:rPr>
        <w:t>4.15</w:t>
      </w:r>
      <w:r>
        <w:rPr>
          <w:rFonts w:hint="eastAsia" w:eastAsia="仿宋_GB2312"/>
          <w:sz w:val="32"/>
          <w:szCs w:val="32"/>
        </w:rPr>
        <w:t>万元，卫生健康支出</w:t>
      </w:r>
      <w:r>
        <w:rPr>
          <w:rFonts w:hint="eastAsia" w:eastAsia="仿宋_GB2312"/>
          <w:sz w:val="32"/>
          <w:szCs w:val="32"/>
          <w:lang w:val="en-US" w:eastAsia="zh-CN"/>
        </w:rPr>
        <w:t>1.87</w:t>
      </w:r>
      <w:r>
        <w:rPr>
          <w:rFonts w:hint="eastAsia" w:eastAsia="仿宋_GB2312"/>
          <w:sz w:val="32"/>
          <w:szCs w:val="32"/>
        </w:rPr>
        <w:t>万元，住房保障支出</w:t>
      </w:r>
      <w:r>
        <w:rPr>
          <w:rFonts w:hint="eastAsia" w:eastAsia="仿宋_GB2312"/>
          <w:sz w:val="32"/>
          <w:szCs w:val="32"/>
          <w:lang w:val="en-US" w:eastAsia="zh-CN"/>
        </w:rPr>
        <w:t>4.74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（四）政府性基金情况</w:t>
      </w:r>
    </w:p>
    <w:p>
      <w:pPr>
        <w:widowControl/>
        <w:spacing w:line="580" w:lineRule="exact"/>
        <w:ind w:firstLine="640"/>
        <w:jc w:val="left"/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0"/>
        </w:rPr>
        <w:t>20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sz w:val="32"/>
          <w:szCs w:val="30"/>
        </w:rPr>
        <w:t>年昌江区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信访局</w:t>
      </w:r>
      <w:r>
        <w:rPr>
          <w:rFonts w:hint="eastAsia" w:ascii="仿宋_GB2312" w:hAnsi="Times New Roman" w:eastAsia="仿宋_GB2312" w:cs="Times New Roman"/>
          <w:sz w:val="32"/>
          <w:szCs w:val="30"/>
        </w:rPr>
        <w:t>无政府性基金预算拨款安排的支出，较上年无变化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（五）机关运行经费等重要事项的说明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ascii="仿宋_GB2312" w:hAnsi="Times New Roman" w:eastAsia="仿宋_GB2312" w:cs="Times New Roman"/>
          <w:sz w:val="32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0"/>
        </w:rPr>
        <w:t>20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sz w:val="32"/>
          <w:szCs w:val="30"/>
        </w:rPr>
        <w:t>年部门机关运行费用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4.32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万元，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较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上年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减少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1.91万元</w:t>
      </w:r>
      <w:r>
        <w:rPr>
          <w:rFonts w:hint="eastAsia" w:ascii="仿宋_GB2312" w:hAnsi="Times New Roman" w:eastAsia="仿宋_GB2312" w:cs="Times New Roman"/>
          <w:sz w:val="32"/>
          <w:szCs w:val="30"/>
        </w:rPr>
        <w:t>，其中：</w:t>
      </w:r>
    </w:p>
    <w:p>
      <w:pPr>
        <w:widowControl/>
        <w:shd w:val="clear" w:color="auto" w:fill="FFFFFF"/>
        <w:spacing w:line="500" w:lineRule="exact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0"/>
        </w:rPr>
        <w:t>办公费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1.05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万元，印刷费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0.3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万元，差旅费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2.45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公务接待费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0.2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万元，其他商品和服务支出0.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（六）政府采购情况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年政府采购预算为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元。</w:t>
      </w: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</w:t>
      </w:r>
      <w:r>
        <w:rPr>
          <w:rFonts w:hint="eastAsia" w:ascii="楷体_GB2312" w:eastAsia="楷体_GB2312"/>
          <w:b/>
          <w:sz w:val="32"/>
          <w:szCs w:val="30"/>
        </w:rPr>
        <w:t>20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21</w:t>
      </w:r>
      <w:r>
        <w:rPr>
          <w:rFonts w:hint="eastAsia" w:ascii="楷体_GB2312" w:eastAsia="楷体_GB2312"/>
          <w:b/>
          <w:sz w:val="32"/>
          <w:szCs w:val="30"/>
        </w:rPr>
        <w:t>年“三公</w:t>
      </w:r>
      <w:r>
        <w:rPr>
          <w:rFonts w:ascii="楷体_GB2312" w:eastAsia="楷体_GB2312"/>
          <w:b/>
          <w:sz w:val="32"/>
          <w:szCs w:val="30"/>
        </w:rPr>
        <w:t>”</w:t>
      </w:r>
      <w:r>
        <w:rPr>
          <w:rFonts w:hint="eastAsia" w:ascii="楷体_GB2312" w:eastAsia="楷体_GB2312"/>
          <w:b/>
          <w:sz w:val="32"/>
          <w:szCs w:val="30"/>
        </w:rPr>
        <w:t>经费预算情况说明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年三公经费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年初预算安排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元，其中：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因公出国（境）费0万元。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公务接</w:t>
      </w:r>
      <w:r>
        <w:rPr>
          <w:rFonts w:ascii="Times New Roman" w:hAnsi="Times New Roman" w:eastAsia="仿宋_GB2312" w:cs="Times New Roman"/>
          <w:sz w:val="32"/>
          <w:szCs w:val="32"/>
        </w:rPr>
        <w:t>待费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，与上年比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0.8万元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公务用车运行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维护</w:t>
      </w:r>
      <w:r>
        <w:rPr>
          <w:rFonts w:ascii="Times New Roman" w:hAnsi="Times New Roman" w:eastAsia="仿宋_GB2312" w:cs="Times New Roman"/>
          <w:sz w:val="32"/>
          <w:szCs w:val="32"/>
        </w:rPr>
        <w:t>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信访局</w:t>
      </w:r>
      <w:r>
        <w:rPr>
          <w:rFonts w:hint="eastAsia" w:ascii="仿宋_GB2312" w:eastAsia="仿宋_GB2312"/>
          <w:b/>
          <w:sz w:val="32"/>
          <w:szCs w:val="30"/>
        </w:rPr>
        <w:t xml:space="preserve"> 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0"/>
        </w:rPr>
        <w:t>张表（详见附件2）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对部门预算中涉及的支出功能分类科目（明细到项级），结合部门实际，参照《20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0"/>
        </w:rPr>
        <w:t>年政府收支分类科目》的规范说明进行解释。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样式：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一般公共服务（类）财政事务（款）行政运行（项）：指行政单位及参照公务员法管理的事业单位，用于保障机构正常运行、开展日常工作的基本支出。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D62FC"/>
    <w:rsid w:val="005A74B9"/>
    <w:rsid w:val="00755490"/>
    <w:rsid w:val="00766133"/>
    <w:rsid w:val="00CC7A40"/>
    <w:rsid w:val="0A1A103F"/>
    <w:rsid w:val="0E051D04"/>
    <w:rsid w:val="0FFD0F72"/>
    <w:rsid w:val="1F73380E"/>
    <w:rsid w:val="27F31DF1"/>
    <w:rsid w:val="28AD2040"/>
    <w:rsid w:val="3584103C"/>
    <w:rsid w:val="43F00DC7"/>
    <w:rsid w:val="5FB31D1C"/>
    <w:rsid w:val="7CEE2074"/>
    <w:rsid w:val="7D7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</Words>
  <Characters>1099</Characters>
  <Lines>9</Lines>
  <Paragraphs>2</Paragraphs>
  <TotalTime>3</TotalTime>
  <ScaleCrop>false</ScaleCrop>
  <LinksUpToDate>false</LinksUpToDate>
  <CharactersWithSpaces>1289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2018-01-30T02:23:00Z</dcterms:created>
  <dc:creator>dell</dc:creator>
  <cp:lastModifiedBy>Administrator</cp:lastModifiedBy>
  <cp:lastPrinted>2016-11-21T09:06:00Z</cp:lastPrinted>
  <dcterms:modified xsi:type="dcterms:W3CDTF">2021-04-21T02:39:55Z</dcterms:modified>
  <dc:title>昌江区xxx 2017年部门预算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D41DCA05B19241F286694BEF54918982</vt:lpwstr>
  </property>
</Properties>
</file>