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3"/>
        <w:spacing w:before="0" w:after="0" w:line="240" w:lineRule="auto"/>
        <w:jc w:val="center"/>
        <w:rPr>
          <w:rFonts w:hint="eastAsia" w:ascii="黑体" w:hAnsi="黑体" w:eastAsia="黑体" w:cs="黑体"/>
          <w:lang w:val="en-US" w:eastAsia="zh-CN"/>
        </w:rPr>
      </w:pPr>
      <w:r>
        <w:rPr>
          <w:rFonts w:hint="eastAsia" w:ascii="黑体" w:hAnsi="黑体" w:eastAsia="黑体" w:cs="黑体"/>
          <w:lang w:val="en-US" w:eastAsia="zh-CN"/>
        </w:rPr>
        <w:t>昌江区信访局</w:t>
      </w:r>
      <w:r>
        <w:rPr>
          <w:rFonts w:hint="eastAsia" w:ascii="黑体" w:hAnsi="黑体" w:eastAsia="黑体" w:cs="黑体"/>
          <w:lang w:eastAsia="zh-CN"/>
        </w:rPr>
        <w:t>202</w:t>
      </w:r>
      <w:r>
        <w:rPr>
          <w:rFonts w:hint="eastAsia" w:ascii="黑体" w:hAnsi="黑体" w:eastAsia="黑体" w:cs="黑体"/>
          <w:lang w:val="en-US" w:eastAsia="zh-CN"/>
        </w:rPr>
        <w:t>3</w:t>
      </w:r>
      <w:r>
        <w:rPr>
          <w:rFonts w:hint="eastAsia" w:ascii="黑体" w:hAnsi="黑体" w:eastAsia="黑体" w:cs="黑体"/>
        </w:rPr>
        <w:t>年部门预算</w:t>
      </w:r>
      <w:r>
        <w:rPr>
          <w:rFonts w:hint="eastAsia" w:ascii="黑体" w:hAnsi="黑体" w:eastAsia="黑体" w:cs="黑体"/>
          <w:lang w:val="en-US" w:eastAsia="zh-CN"/>
        </w:rPr>
        <w:t>公开</w:t>
      </w:r>
    </w:p>
    <w:p>
      <w:pPr>
        <w:pStyle w:val="3"/>
        <w:spacing w:before="0" w:after="0" w:line="240" w:lineRule="auto"/>
        <w:jc w:val="center"/>
        <w:rPr>
          <w:rFonts w:ascii="黑体" w:hAnsi="黑体" w:eastAsia="黑体" w:cs="黑体"/>
        </w:rPr>
      </w:pPr>
      <w:r>
        <w:rPr>
          <w:rFonts w:hint="eastAsia" w:ascii="黑体" w:hAnsi="黑体" w:eastAsia="黑体" w:cs="黑体"/>
        </w:rPr>
        <w:t>（样式）</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eastAsia="zh-CN"/>
        </w:rPr>
        <w:t>昌江区信访</w:t>
      </w:r>
      <w:r>
        <w:rPr>
          <w:rFonts w:hint="eastAsia" w:ascii="黑体" w:hAnsi="宋体" w:eastAsia="黑体" w:cs="黑体"/>
          <w:sz w:val="32"/>
          <w:szCs w:val="32"/>
        </w:rPr>
        <w:t>局概况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昌江区信访</w:t>
      </w:r>
      <w:r>
        <w:rPr>
          <w:rFonts w:hint="eastAsia" w:ascii="黑体" w:hAnsi="宋体" w:eastAsia="黑体" w:cs="黑体"/>
          <w:sz w:val="32"/>
          <w:szCs w:val="32"/>
        </w:rPr>
        <w:t>局</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2023</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2023</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信访</w:t>
      </w:r>
      <w:r>
        <w:rPr>
          <w:rFonts w:hint="eastAsia" w:ascii="黑体" w:hAnsi="宋体" w:eastAsia="黑体" w:cs="黑体"/>
          <w:sz w:val="32"/>
          <w:szCs w:val="32"/>
        </w:rPr>
        <w:t>局</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lang w:val="en-US" w:eastAsia="zh-CN"/>
        </w:rPr>
        <w:t>二</w:t>
      </w:r>
      <w:r>
        <w:rPr>
          <w:rFonts w:hint="eastAsia" w:ascii="仿宋_GB2312" w:hAnsi="宋体" w:eastAsia="仿宋_GB2312" w:cs="仿宋_GB2312"/>
          <w:sz w:val="32"/>
          <w:szCs w:val="32"/>
        </w:rPr>
        <w:t>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eastAsia="zh-CN"/>
        </w:rPr>
        <w:t>昌江区信访</w:t>
      </w:r>
      <w:r>
        <w:rPr>
          <w:rFonts w:hint="eastAsia" w:ascii="黑体" w:hAnsi="宋体" w:eastAsia="黑体" w:cs="黑体"/>
          <w:sz w:val="32"/>
          <w:szCs w:val="32"/>
        </w:rPr>
        <w:t>局概况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widowControl/>
        <w:shd w:val="clear" w:color="auto" w:fill="FFFFFF"/>
        <w:spacing w:before="100" w:beforeAutospacing="1" w:after="100" w:afterAutospacing="1" w:line="480" w:lineRule="atLeast"/>
        <w:ind w:firstLine="480"/>
        <w:jc w:val="left"/>
        <w:rPr>
          <w:rFonts w:hint="eastAsia" w:asciiTheme="minorEastAsia" w:hAnsiTheme="minorEastAsia" w:eastAsiaTheme="minorEastAsia" w:cstheme="minorEastAsia"/>
          <w:color w:val="1E1E1E"/>
          <w:kern w:val="0"/>
          <w:sz w:val="32"/>
          <w:szCs w:val="32"/>
        </w:rPr>
      </w:pPr>
      <w:r>
        <w:rPr>
          <w:rFonts w:hint="eastAsia" w:asciiTheme="minorEastAsia" w:hAnsiTheme="minorEastAsia" w:eastAsiaTheme="minorEastAsia" w:cstheme="minorEastAsia"/>
          <w:color w:val="1E1E1E"/>
          <w:kern w:val="0"/>
          <w:sz w:val="32"/>
          <w:szCs w:val="32"/>
        </w:rPr>
        <w:t>1)贯彻执行中央和省、市有关信访工作的方针、政策、指示、拟定本区的信访工作规定和制度。</w:t>
      </w:r>
    </w:p>
    <w:p>
      <w:pPr>
        <w:widowControl/>
        <w:shd w:val="clear" w:color="auto" w:fill="FFFFFF"/>
        <w:spacing w:before="100" w:beforeAutospacing="1" w:after="100" w:afterAutospacing="1" w:line="480" w:lineRule="atLeast"/>
        <w:ind w:firstLine="480"/>
        <w:jc w:val="left"/>
        <w:rPr>
          <w:rFonts w:hint="eastAsia" w:asciiTheme="minorEastAsia" w:hAnsiTheme="minorEastAsia" w:eastAsiaTheme="minorEastAsia" w:cstheme="minorEastAsia"/>
          <w:color w:val="1E1E1E"/>
          <w:kern w:val="0"/>
          <w:sz w:val="32"/>
          <w:szCs w:val="32"/>
        </w:rPr>
      </w:pPr>
      <w:r>
        <w:rPr>
          <w:rFonts w:hint="eastAsia" w:asciiTheme="minorEastAsia" w:hAnsiTheme="minorEastAsia" w:eastAsiaTheme="minorEastAsia" w:cstheme="minorEastAsia"/>
          <w:color w:val="1E1E1E"/>
          <w:kern w:val="0"/>
          <w:sz w:val="32"/>
          <w:szCs w:val="32"/>
        </w:rPr>
        <w:t>(2)负责处理上级交办和区委、区政府领导批办的信访案件。</w:t>
      </w:r>
    </w:p>
    <w:p>
      <w:pPr>
        <w:widowControl/>
        <w:shd w:val="clear" w:color="auto" w:fill="FFFFFF"/>
        <w:spacing w:before="100" w:beforeAutospacing="1" w:after="100" w:afterAutospacing="1" w:line="480" w:lineRule="atLeast"/>
        <w:ind w:firstLine="480"/>
        <w:jc w:val="left"/>
        <w:rPr>
          <w:rFonts w:hint="eastAsia" w:asciiTheme="minorEastAsia" w:hAnsiTheme="minorEastAsia" w:eastAsiaTheme="minorEastAsia" w:cstheme="minorEastAsia"/>
          <w:color w:val="1E1E1E"/>
          <w:kern w:val="0"/>
          <w:sz w:val="32"/>
          <w:szCs w:val="32"/>
        </w:rPr>
      </w:pPr>
      <w:r>
        <w:rPr>
          <w:rFonts w:hint="eastAsia" w:asciiTheme="minorEastAsia" w:hAnsiTheme="minorEastAsia" w:eastAsiaTheme="minorEastAsia" w:cstheme="minorEastAsia"/>
          <w:color w:val="1E1E1E"/>
          <w:kern w:val="0"/>
          <w:sz w:val="32"/>
          <w:szCs w:val="32"/>
        </w:rPr>
        <w:t>(3)负责接待和处理人民群众来信来访，积极与有关部门协商解决政策范围内的信访问题。</w:t>
      </w:r>
    </w:p>
    <w:p>
      <w:pPr>
        <w:widowControl/>
        <w:shd w:val="clear" w:color="auto" w:fill="FFFFFF"/>
        <w:spacing w:before="100" w:beforeAutospacing="1" w:after="100" w:afterAutospacing="1" w:line="480" w:lineRule="atLeast"/>
        <w:ind w:firstLine="480"/>
        <w:jc w:val="left"/>
        <w:rPr>
          <w:rFonts w:hint="eastAsia" w:asciiTheme="minorEastAsia" w:hAnsiTheme="minorEastAsia" w:eastAsiaTheme="minorEastAsia" w:cstheme="minorEastAsia"/>
          <w:color w:val="1E1E1E"/>
          <w:kern w:val="0"/>
          <w:sz w:val="32"/>
          <w:szCs w:val="32"/>
        </w:rPr>
      </w:pPr>
      <w:r>
        <w:rPr>
          <w:rFonts w:hint="eastAsia" w:asciiTheme="minorEastAsia" w:hAnsiTheme="minorEastAsia" w:eastAsiaTheme="minorEastAsia" w:cstheme="minorEastAsia"/>
          <w:color w:val="1E1E1E"/>
          <w:kern w:val="0"/>
          <w:sz w:val="32"/>
          <w:szCs w:val="32"/>
        </w:rPr>
        <w:t>(4)搞好信访预测，及时掌握群众集体上访苗头，耐心劝阻集体上访；做好信访老户的稳定工作。</w:t>
      </w:r>
    </w:p>
    <w:p>
      <w:pPr>
        <w:widowControl/>
        <w:shd w:val="clear" w:color="auto" w:fill="FFFFFF"/>
        <w:spacing w:before="100" w:beforeAutospacing="1" w:after="100" w:afterAutospacing="1" w:line="480" w:lineRule="atLeast"/>
        <w:ind w:firstLine="480"/>
        <w:jc w:val="left"/>
        <w:rPr>
          <w:rFonts w:hint="eastAsia" w:asciiTheme="minorEastAsia" w:hAnsiTheme="minorEastAsia" w:eastAsiaTheme="minorEastAsia" w:cstheme="minorEastAsia"/>
          <w:color w:val="1E1E1E"/>
          <w:kern w:val="0"/>
          <w:sz w:val="32"/>
          <w:szCs w:val="32"/>
        </w:rPr>
      </w:pPr>
      <w:r>
        <w:rPr>
          <w:rFonts w:hint="eastAsia" w:asciiTheme="minorEastAsia" w:hAnsiTheme="minorEastAsia" w:eastAsiaTheme="minorEastAsia" w:cstheme="minorEastAsia"/>
          <w:color w:val="1E1E1E"/>
          <w:kern w:val="0"/>
          <w:sz w:val="32"/>
          <w:szCs w:val="32"/>
        </w:rPr>
        <w:t>(5)收集、筛选信访信息，及时报送区委、区政府领导，为领导决策当参谋。</w:t>
      </w:r>
    </w:p>
    <w:p>
      <w:pPr>
        <w:widowControl/>
        <w:shd w:val="clear" w:color="auto" w:fill="FFFFFF"/>
        <w:spacing w:before="100" w:beforeAutospacing="1" w:after="100" w:afterAutospacing="1" w:line="480" w:lineRule="atLeast"/>
        <w:ind w:firstLine="480"/>
        <w:jc w:val="left"/>
        <w:rPr>
          <w:rFonts w:hint="eastAsia" w:asciiTheme="minorEastAsia" w:hAnsiTheme="minorEastAsia" w:eastAsiaTheme="minorEastAsia" w:cstheme="minorEastAsia"/>
          <w:color w:val="1E1E1E"/>
          <w:kern w:val="0"/>
          <w:sz w:val="32"/>
          <w:szCs w:val="32"/>
        </w:rPr>
      </w:pPr>
      <w:r>
        <w:rPr>
          <w:rFonts w:hint="eastAsia" w:asciiTheme="minorEastAsia" w:hAnsiTheme="minorEastAsia" w:eastAsiaTheme="minorEastAsia" w:cstheme="minorEastAsia"/>
          <w:color w:val="1E1E1E"/>
          <w:kern w:val="0"/>
          <w:sz w:val="32"/>
          <w:szCs w:val="32"/>
        </w:rPr>
        <w:t>(6)检查、督促、指导全区的信访工作，发现问题，解决问题，组织交流信访工作经验。</w:t>
      </w:r>
    </w:p>
    <w:p>
      <w:pPr>
        <w:widowControl/>
        <w:shd w:val="clear" w:color="auto" w:fill="FFFFFF"/>
        <w:spacing w:before="100" w:beforeAutospacing="1" w:after="100" w:afterAutospacing="1" w:line="480" w:lineRule="atLeast"/>
        <w:ind w:firstLine="480"/>
        <w:jc w:val="left"/>
        <w:rPr>
          <w:rFonts w:hint="eastAsia" w:asciiTheme="minorEastAsia" w:hAnsiTheme="minorEastAsia" w:eastAsiaTheme="minorEastAsia" w:cstheme="minorEastAsia"/>
          <w:color w:val="1E1E1E"/>
          <w:kern w:val="0"/>
          <w:sz w:val="32"/>
          <w:szCs w:val="32"/>
        </w:rPr>
      </w:pPr>
      <w:r>
        <w:rPr>
          <w:rFonts w:hint="eastAsia" w:asciiTheme="minorEastAsia" w:hAnsiTheme="minorEastAsia" w:eastAsiaTheme="minorEastAsia" w:cstheme="minorEastAsia"/>
          <w:color w:val="1E1E1E"/>
          <w:kern w:val="0"/>
          <w:sz w:val="32"/>
          <w:szCs w:val="32"/>
        </w:rPr>
        <w:t>(7)定期综合研究人民群众来信来访反映的情况和问题，及时向有关领导和有关部门反映，并提出解决问题的建议。</w:t>
      </w:r>
    </w:p>
    <w:p>
      <w:pPr>
        <w:ind w:firstLine="627" w:firstLineChars="196"/>
        <w:rPr>
          <w:rFonts w:hint="eastAsia" w:asciiTheme="minorEastAsia" w:hAnsiTheme="minorEastAsia" w:eastAsiaTheme="minorEastAsia" w:cstheme="minorEastAsia"/>
          <w:color w:val="1E1E1E"/>
          <w:kern w:val="0"/>
          <w:sz w:val="32"/>
          <w:szCs w:val="32"/>
        </w:rPr>
      </w:pPr>
      <w:r>
        <w:rPr>
          <w:rFonts w:hint="eastAsia" w:asciiTheme="minorEastAsia" w:hAnsiTheme="minorEastAsia" w:eastAsiaTheme="minorEastAsia" w:cstheme="minorEastAsia"/>
          <w:color w:val="1E1E1E"/>
          <w:kern w:val="0"/>
          <w:sz w:val="32"/>
          <w:szCs w:val="32"/>
        </w:rPr>
        <w:t>(8)完成区委、区政府和上级交办的其他事项。</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信访</w:t>
      </w:r>
      <w:r>
        <w:rPr>
          <w:rFonts w:hint="eastAsia" w:ascii="仿宋_GB2312" w:hAnsi="宋体" w:eastAsia="仿宋_GB2312" w:cs="仿宋_GB2312"/>
          <w:sz w:val="32"/>
          <w:szCs w:val="32"/>
        </w:rPr>
        <w:t>局（委、办）共有预算单位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个，包括局（委、办）本级和所属二级预算单位。编制数为</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人、部分补助事业编制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eastAsia="zh-CN"/>
        </w:rPr>
        <w:t>信访</w:t>
      </w:r>
      <w:r>
        <w:rPr>
          <w:rFonts w:hint="eastAsia" w:ascii="仿宋_GB2312" w:hAnsi="宋体" w:eastAsia="仿宋_GB2312" w:cs="仿宋_GB2312"/>
          <w:sz w:val="32"/>
          <w:szCs w:val="32"/>
        </w:rPr>
        <w:t>人、部分补助事业编人员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人。在校学生</w:t>
      </w:r>
      <w:r>
        <w:rPr>
          <w:rFonts w:hint="eastAsia" w:ascii="仿宋_GB2312" w:hAnsi="宋体" w:eastAsia="仿宋_GB2312" w:cs="仿宋_GB2312"/>
          <w:sz w:val="32"/>
          <w:szCs w:val="32"/>
          <w:lang w:eastAsia="zh-CN"/>
        </w:rPr>
        <w:t>信访</w:t>
      </w:r>
      <w:r>
        <w:rPr>
          <w:rFonts w:hint="eastAsia" w:ascii="仿宋_GB2312" w:hAnsi="宋体" w:eastAsia="仿宋_GB2312" w:cs="仿宋_GB2312"/>
          <w:sz w:val="32"/>
          <w:szCs w:val="32"/>
        </w:rPr>
        <w:t>人，其中：高等学校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人、中等专业学校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人，其他</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pPr>
        <w:ind w:firstLine="640" w:firstLineChars="200"/>
        <w:rPr>
          <w:rFonts w:ascii="仿宋_GB2312" w:hAnsi="宋体" w:eastAsia="仿宋_GB2312" w:cs="仿宋_GB2312"/>
          <w:sz w:val="32"/>
          <w:szCs w:val="32"/>
        </w:rPr>
      </w:pP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信访</w:t>
      </w:r>
      <w:r>
        <w:rPr>
          <w:rFonts w:hint="eastAsia" w:ascii="黑体" w:hAnsi="宋体" w:eastAsia="黑体" w:cs="黑体"/>
          <w:sz w:val="32"/>
          <w:szCs w:val="32"/>
        </w:rPr>
        <w:t>局</w:t>
      </w:r>
      <w:r>
        <w:rPr>
          <w:rFonts w:hint="eastAsia" w:ascii="黑体" w:hAnsi="宋体" w:eastAsia="黑体" w:cs="黑体"/>
          <w:sz w:val="32"/>
          <w:szCs w:val="32"/>
          <w:lang w:eastAsia="zh-CN"/>
        </w:rPr>
        <w:t>信访</w:t>
      </w:r>
      <w:r>
        <w:rPr>
          <w:rFonts w:hint="eastAsia" w:ascii="黑体" w:hAnsi="宋体" w:eastAsia="黑体" w:cs="黑体"/>
          <w:sz w:val="32"/>
          <w:szCs w:val="32"/>
        </w:rPr>
        <w:t>年</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w:t>
      </w:r>
      <w:r>
        <w:rPr>
          <w:rFonts w:hint="eastAsia" w:ascii="仿宋_GB2312" w:hAnsi="宋体" w:eastAsia="仿宋_GB2312" w:cs="仿宋_GB2312"/>
          <w:b/>
          <w:bCs/>
          <w:sz w:val="32"/>
          <w:szCs w:val="32"/>
          <w:lang w:val="en-US" w:eastAsia="zh-CN"/>
        </w:rPr>
        <w:t>3</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信访</w:t>
      </w:r>
      <w:r>
        <w:rPr>
          <w:rFonts w:hint="eastAsia" w:ascii="仿宋_GB2312" w:hAnsi="宋体" w:eastAsia="仿宋_GB2312" w:cs="仿宋_GB2312"/>
          <w:sz w:val="32"/>
          <w:szCs w:val="32"/>
        </w:rPr>
        <w:t>局收入预算总额为</w:t>
      </w:r>
      <w:r>
        <w:rPr>
          <w:rFonts w:hint="eastAsia" w:ascii="仿宋_GB2312" w:hAnsi="宋体" w:eastAsia="仿宋_GB2312" w:cs="仿宋_GB2312"/>
          <w:sz w:val="32"/>
          <w:szCs w:val="32"/>
          <w:lang w:val="en-US" w:eastAsia="zh-CN"/>
        </w:rPr>
        <w:t>110.31</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46.44万元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由于增加了项目支出资金</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100.31</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90.93</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9.07</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lang w:eastAsia="zh-CN"/>
        </w:rPr>
        <w:t>2023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信访</w:t>
      </w:r>
      <w:r>
        <w:rPr>
          <w:rFonts w:hint="eastAsia" w:ascii="仿宋_GB2312" w:hAnsi="宋体" w:eastAsia="仿宋_GB2312" w:cs="仿宋_GB2312"/>
          <w:sz w:val="32"/>
          <w:szCs w:val="32"/>
        </w:rPr>
        <w:t>局支出预算总额为</w:t>
      </w:r>
      <w:r>
        <w:rPr>
          <w:rFonts w:hint="eastAsia" w:ascii="仿宋_GB2312" w:hAnsi="宋体" w:eastAsia="仿宋_GB2312" w:cs="仿宋_GB2312"/>
          <w:sz w:val="32"/>
          <w:szCs w:val="32"/>
          <w:lang w:val="en-US" w:eastAsia="zh-CN"/>
        </w:rPr>
        <w:t>110.31</w:t>
      </w:r>
      <w:r>
        <w:rPr>
          <w:rFonts w:hint="eastAsia" w:ascii="仿宋_GB2312" w:hAnsi="宋体" w:eastAsia="仿宋_GB2312" w:cs="仿宋_GB2312"/>
          <w:sz w:val="32"/>
          <w:szCs w:val="32"/>
        </w:rPr>
        <w:t>万元，与上年预算相比增减变化，说明情况。其中：按支出项目类别划分：基本支出</w:t>
      </w:r>
      <w:r>
        <w:rPr>
          <w:rFonts w:hint="eastAsia" w:ascii="仿宋_GB2312" w:hAnsi="宋体" w:eastAsia="仿宋_GB2312" w:cs="仿宋_GB2312"/>
          <w:sz w:val="32"/>
          <w:szCs w:val="32"/>
          <w:lang w:val="en-US" w:eastAsia="zh-CN"/>
        </w:rPr>
        <w:t>39.51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35.82</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39.51</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3.6</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57.2</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51.85</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57.2</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万元；事业经营支出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x%</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eastAsia="zh-CN"/>
        </w:rPr>
        <w:t>信访</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按支出功能项目科目划分：</w:t>
      </w:r>
      <w:r>
        <w:rPr>
          <w:rFonts w:hint="eastAsia" w:ascii="仿宋_GB2312" w:hAnsi="宋体" w:eastAsia="仿宋_GB2312" w:cs="仿宋_GB2312"/>
          <w:sz w:val="32"/>
          <w:szCs w:val="32"/>
          <w:lang w:val="en-US" w:eastAsia="zh-CN"/>
        </w:rPr>
        <w:t>一般公共服务支出103.64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93.95</w:t>
      </w:r>
      <w:r>
        <w:rPr>
          <w:rFonts w:ascii="仿宋_GB2312" w:hAnsi="宋体" w:eastAsia="仿宋_GB2312" w:cs="仿宋_GB2312"/>
          <w:sz w:val="32"/>
          <w:szCs w:val="32"/>
        </w:rPr>
        <w:t>%</w:t>
      </w:r>
      <w:r>
        <w:rPr>
          <w:rFonts w:hint="eastAsia" w:ascii="仿宋_GB2312" w:hAnsi="宋体" w:eastAsia="仿宋_GB2312" w:cs="仿宋_GB2312"/>
          <w:sz w:val="32"/>
          <w:szCs w:val="32"/>
        </w:rPr>
        <w:t>；社会保障和就业支出</w:t>
      </w:r>
      <w:r>
        <w:rPr>
          <w:rFonts w:hint="eastAsia" w:ascii="仿宋_GB2312" w:hAnsi="宋体" w:eastAsia="仿宋_GB2312" w:cs="仿宋_GB2312"/>
          <w:sz w:val="32"/>
          <w:szCs w:val="32"/>
          <w:lang w:val="en-US" w:eastAsia="zh-CN"/>
        </w:rPr>
        <w:t>2.95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2.67</w:t>
      </w:r>
      <w:r>
        <w:rPr>
          <w:rFonts w:ascii="仿宋_GB2312" w:hAnsi="宋体" w:eastAsia="仿宋_GB2312" w:cs="仿宋_GB2312"/>
          <w:sz w:val="32"/>
          <w:szCs w:val="32"/>
        </w:rPr>
        <w:t>%</w:t>
      </w:r>
      <w:r>
        <w:rPr>
          <w:rFonts w:hint="eastAsia" w:ascii="仿宋_GB2312" w:hAnsi="宋体" w:eastAsia="仿宋_GB2312" w:cs="仿宋_GB2312"/>
          <w:sz w:val="32"/>
          <w:szCs w:val="32"/>
        </w:rPr>
        <w:t>；卫生健康支出</w:t>
      </w:r>
      <w:r>
        <w:rPr>
          <w:rFonts w:hint="eastAsia" w:ascii="仿宋_GB2312" w:hAnsi="宋体" w:eastAsia="仿宋_GB2312" w:cs="仿宋_GB2312"/>
          <w:sz w:val="32"/>
          <w:szCs w:val="32"/>
          <w:lang w:val="en-US" w:eastAsia="zh-CN"/>
        </w:rPr>
        <w:t>1.1万元，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0.1</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，住房保障支出</w:t>
      </w:r>
      <w:r>
        <w:rPr>
          <w:rFonts w:hint="eastAsia" w:ascii="仿宋_GB2312" w:hAnsi="宋体" w:eastAsia="仿宋_GB2312" w:cs="仿宋_GB2312"/>
          <w:sz w:val="32"/>
          <w:szCs w:val="32"/>
          <w:lang w:val="en-US" w:eastAsia="zh-CN"/>
        </w:rPr>
        <w:t>2.62万元，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2.38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，其他</w:t>
      </w:r>
      <w:r>
        <w:rPr>
          <w:rFonts w:hint="eastAsia" w:ascii="仿宋_GB2312" w:hAnsi="宋体" w:eastAsia="仿宋_GB2312" w:cs="仿宋_GB2312"/>
          <w:sz w:val="32"/>
          <w:szCs w:val="32"/>
          <w:lang w:val="en-US" w:eastAsia="zh-CN"/>
        </w:rPr>
        <w:t>农业农村</w:t>
      </w:r>
      <w:r>
        <w:rPr>
          <w:rFonts w:hint="eastAsia" w:ascii="仿宋_GB2312" w:hAnsi="宋体" w:eastAsia="仿宋_GB2312" w:cs="仿宋_GB2312"/>
          <w:sz w:val="32"/>
          <w:szCs w:val="32"/>
          <w:lang w:eastAsia="zh-CN"/>
        </w:rPr>
        <w:t>支出</w:t>
      </w:r>
      <w:r>
        <w:rPr>
          <w:rFonts w:hint="eastAsia" w:ascii="仿宋_GB2312" w:hAnsi="宋体" w:eastAsia="仿宋_GB2312" w:cs="仿宋_GB2312"/>
          <w:sz w:val="32"/>
          <w:szCs w:val="32"/>
          <w:lang w:val="en-US" w:eastAsia="zh-CN"/>
        </w:rPr>
        <w:t>0万元，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按支出经济分类划分：</w:t>
      </w:r>
      <w:r>
        <w:rPr>
          <w:rFonts w:hint="eastAsia" w:ascii="仿宋_GB2312" w:hAnsi="宋体" w:eastAsia="仿宋_GB2312" w:cs="仿宋_GB2312"/>
          <w:sz w:val="32"/>
          <w:szCs w:val="32"/>
          <w:lang w:val="en-US" w:eastAsia="zh-CN"/>
        </w:rPr>
        <w:t>基本工资</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9.47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8.19</w:t>
      </w:r>
      <w:r>
        <w:rPr>
          <w:rFonts w:ascii="仿宋_GB2312" w:hAnsi="宋体" w:eastAsia="仿宋_GB2312" w:cs="仿宋_GB2312"/>
          <w:sz w:val="32"/>
          <w:szCs w:val="32"/>
        </w:rPr>
        <w:t>%</w:t>
      </w:r>
      <w:r>
        <w:rPr>
          <w:rFonts w:hint="eastAsia" w:ascii="仿宋_GB2312" w:hAnsi="宋体" w:eastAsia="仿宋_GB2312" w:cs="仿宋_GB2312"/>
          <w:sz w:val="32"/>
          <w:szCs w:val="32"/>
        </w:rPr>
        <w:t>；津贴补贴</w:t>
      </w:r>
      <w:r>
        <w:rPr>
          <w:rFonts w:hint="eastAsia" w:ascii="仿宋_GB2312" w:hAnsi="宋体" w:eastAsia="仿宋_GB2312" w:cs="仿宋_GB2312"/>
          <w:sz w:val="32"/>
          <w:szCs w:val="32"/>
          <w:lang w:val="en-US" w:eastAsia="zh-CN"/>
        </w:rPr>
        <w:t>支出5.69万元，占支出预算总额的7.09%，奖金4.27万元，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3.43</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伙食补助1.34万元，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1.08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机关事业单位基本养老保险缴费2.95万元，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2.86</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职工基本医疗保险缴费1.03万元，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1.05</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其他社会保障缴费0.07万元，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0.07</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住房公积金2.62万元，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2.67</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其他工资福利支出12.05万元，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3.25</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eastAsia="仿宋_GB2312"/>
          <w:sz w:val="32"/>
          <w:szCs w:val="32"/>
        </w:rPr>
        <w:t>对个人和家庭的补助</w:t>
      </w:r>
      <w:r>
        <w:rPr>
          <w:rFonts w:hint="eastAsia" w:eastAsia="仿宋_GB2312"/>
          <w:sz w:val="32"/>
          <w:szCs w:val="32"/>
          <w:lang w:val="en-US" w:eastAsia="zh-CN"/>
        </w:rPr>
        <w:t>0万元，占支出预算总额的0.43%，</w:t>
      </w:r>
      <w:r>
        <w:rPr>
          <w:rFonts w:hint="eastAsia" w:ascii="仿宋_GB2312" w:hAnsi="宋体" w:eastAsia="仿宋_GB2312" w:cs="仿宋_GB2312"/>
          <w:sz w:val="32"/>
          <w:szCs w:val="32"/>
          <w:lang w:val="en-US" w:eastAsia="zh-CN"/>
        </w:rPr>
        <w:t>办公费1万元，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培训费0.6万元，</w:t>
      </w:r>
      <w:r>
        <w:rPr>
          <w:rFonts w:hint="eastAsia" w:eastAsia="仿宋_GB2312"/>
          <w:sz w:val="32"/>
          <w:szCs w:val="32"/>
          <w:lang w:val="en-US" w:eastAsia="zh-CN"/>
        </w:rPr>
        <w:t>占支出预算总额的0.43%，</w:t>
      </w:r>
      <w:r>
        <w:rPr>
          <w:rFonts w:hint="eastAsia" w:ascii="仿宋_GB2312" w:hAnsi="宋体" w:eastAsia="仿宋_GB2312" w:cs="仿宋_GB2312"/>
          <w:sz w:val="32"/>
          <w:szCs w:val="32"/>
          <w:lang w:val="en-US" w:eastAsia="zh-CN"/>
        </w:rPr>
        <w:t>印刷费0万元，</w:t>
      </w:r>
      <w:r>
        <w:rPr>
          <w:rFonts w:hint="eastAsia" w:eastAsia="仿宋_GB2312"/>
          <w:sz w:val="32"/>
          <w:szCs w:val="32"/>
          <w:lang w:val="en-US" w:eastAsia="zh-CN"/>
        </w:rPr>
        <w:t>占支出预算总额的0%，取暖费0万元，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eastAsia="仿宋_GB2312"/>
          <w:sz w:val="32"/>
          <w:szCs w:val="32"/>
          <w:lang w:val="en-US" w:eastAsia="zh-CN"/>
        </w:rPr>
        <w:t>差旅费0万元，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eastAsia="仿宋_GB2312"/>
          <w:sz w:val="32"/>
          <w:szCs w:val="32"/>
          <w:lang w:val="en-US" w:eastAsia="zh-CN"/>
        </w:rPr>
        <w:t>公务接待费0.4万元，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0.64</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工会经费0万元，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福利费0.16万元，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0.13</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其他交通费1.4万元，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1.2</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办公设备购置0万元，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57.2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66.93</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2023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信访</w:t>
      </w:r>
      <w:r>
        <w:rPr>
          <w:rFonts w:hint="eastAsia" w:ascii="仿宋_GB2312" w:hAnsi="宋体" w:eastAsia="仿宋_GB2312" w:cs="仿宋_GB2312"/>
          <w:sz w:val="32"/>
          <w:szCs w:val="32"/>
        </w:rPr>
        <w:t>局财政拨款支出预算</w:t>
      </w:r>
      <w:r>
        <w:rPr>
          <w:rFonts w:hint="eastAsia" w:ascii="仿宋_GB2312" w:hAnsi="宋体" w:eastAsia="仿宋_GB2312" w:cs="仿宋_GB2312"/>
          <w:sz w:val="32"/>
          <w:szCs w:val="32"/>
          <w:lang w:val="en-US" w:eastAsia="zh-CN"/>
        </w:rPr>
        <w:t>100.31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90.93</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，与上年预算相比增</w:t>
      </w:r>
      <w:r>
        <w:rPr>
          <w:rFonts w:hint="eastAsia" w:ascii="仿宋_GB2312" w:hAnsi="宋体" w:eastAsia="仿宋_GB2312" w:cs="仿宋_GB2312"/>
          <w:sz w:val="32"/>
          <w:szCs w:val="32"/>
          <w:lang w:val="en-US" w:eastAsia="zh-CN"/>
        </w:rPr>
        <w:t>加45.44</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主要是增加项目资金支出</w:t>
      </w:r>
      <w:r>
        <w:rPr>
          <w:rFonts w:hint="eastAsia" w:ascii="仿宋_GB2312" w:hAnsi="宋体" w:eastAsia="仿宋_GB2312" w:cs="仿宋_GB2312"/>
          <w:sz w:val="32"/>
          <w:szCs w:val="32"/>
        </w:rPr>
        <w:t>。具体支出情况是：</w:t>
      </w:r>
      <w:r>
        <w:rPr>
          <w:rFonts w:hint="eastAsia" w:ascii="仿宋_GB2312" w:hAnsi="宋体" w:eastAsia="仿宋_GB2312" w:cs="仿宋_GB2312"/>
          <w:sz w:val="32"/>
          <w:szCs w:val="32"/>
          <w:lang w:val="en-US" w:eastAsia="zh-CN"/>
        </w:rPr>
        <w:t>一般公共服务支出93.64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93.35</w:t>
      </w:r>
      <w:r>
        <w:rPr>
          <w:rFonts w:ascii="仿宋_GB2312" w:hAnsi="宋体" w:eastAsia="仿宋_GB2312" w:cs="仿宋_GB2312"/>
          <w:sz w:val="32"/>
          <w:szCs w:val="32"/>
        </w:rPr>
        <w:t>%</w:t>
      </w:r>
      <w:r>
        <w:rPr>
          <w:rFonts w:hint="eastAsia" w:ascii="仿宋_GB2312" w:hAnsi="宋体" w:eastAsia="仿宋_GB2312" w:cs="仿宋_GB2312"/>
          <w:sz w:val="32"/>
          <w:szCs w:val="32"/>
        </w:rPr>
        <w:t>；社会保障和就业支出</w:t>
      </w:r>
      <w:r>
        <w:rPr>
          <w:rFonts w:hint="eastAsia" w:ascii="仿宋_GB2312" w:hAnsi="宋体" w:eastAsia="仿宋_GB2312" w:cs="仿宋_GB2312"/>
          <w:sz w:val="32"/>
          <w:szCs w:val="32"/>
          <w:lang w:val="en-US" w:eastAsia="zh-CN"/>
        </w:rPr>
        <w:t>2.95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2.67</w:t>
      </w:r>
      <w:r>
        <w:rPr>
          <w:rFonts w:ascii="仿宋_GB2312" w:hAnsi="宋体" w:eastAsia="仿宋_GB2312" w:cs="仿宋_GB2312"/>
          <w:sz w:val="32"/>
          <w:szCs w:val="32"/>
        </w:rPr>
        <w:t>%</w:t>
      </w:r>
      <w:r>
        <w:rPr>
          <w:rFonts w:hint="eastAsia" w:ascii="仿宋_GB2312" w:hAnsi="宋体" w:eastAsia="仿宋_GB2312" w:cs="仿宋_GB2312"/>
          <w:sz w:val="32"/>
          <w:szCs w:val="32"/>
        </w:rPr>
        <w:t>；卫生健康支出</w:t>
      </w:r>
      <w:r>
        <w:rPr>
          <w:rFonts w:hint="eastAsia" w:ascii="仿宋_GB2312" w:hAnsi="宋体" w:eastAsia="仿宋_GB2312" w:cs="仿宋_GB2312"/>
          <w:sz w:val="32"/>
          <w:szCs w:val="32"/>
          <w:lang w:val="en-US" w:eastAsia="zh-CN"/>
        </w:rPr>
        <w:t>1.1万元，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0.1</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，住房保障支出</w:t>
      </w:r>
      <w:r>
        <w:rPr>
          <w:rFonts w:hint="eastAsia" w:ascii="仿宋_GB2312" w:hAnsi="宋体" w:eastAsia="仿宋_GB2312" w:cs="仿宋_GB2312"/>
          <w:sz w:val="32"/>
          <w:szCs w:val="32"/>
          <w:lang w:val="en-US" w:eastAsia="zh-CN"/>
        </w:rPr>
        <w:t>2.62万元，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2.38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，其他</w:t>
      </w:r>
      <w:r>
        <w:rPr>
          <w:rFonts w:hint="eastAsia" w:ascii="仿宋_GB2312" w:hAnsi="宋体" w:eastAsia="仿宋_GB2312" w:cs="仿宋_GB2312"/>
          <w:sz w:val="32"/>
          <w:szCs w:val="32"/>
          <w:lang w:val="en-US" w:eastAsia="zh-CN"/>
        </w:rPr>
        <w:t>农业农村</w:t>
      </w:r>
      <w:r>
        <w:rPr>
          <w:rFonts w:hint="eastAsia" w:ascii="仿宋_GB2312" w:hAnsi="宋体" w:eastAsia="仿宋_GB2312" w:cs="仿宋_GB2312"/>
          <w:sz w:val="32"/>
          <w:szCs w:val="32"/>
          <w:lang w:eastAsia="zh-CN"/>
        </w:rPr>
        <w:t>支出</w:t>
      </w:r>
      <w:r>
        <w:rPr>
          <w:rFonts w:hint="eastAsia" w:ascii="仿宋_GB2312" w:hAnsi="宋体" w:eastAsia="仿宋_GB2312" w:cs="仿宋_GB2312"/>
          <w:sz w:val="32"/>
          <w:szCs w:val="32"/>
          <w:lang w:val="en-US" w:eastAsia="zh-CN"/>
        </w:rPr>
        <w:t>0万元，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ascii="仿宋_GB2312" w:eastAsia="仿宋_GB2312" w:cs="Times New Roman"/>
          <w:sz w:val="32"/>
          <w:szCs w:val="32"/>
        </w:rPr>
      </w:pP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570"/>
        <w:rPr>
          <w:rFonts w:hint="default" w:eastAsia="仿宋_GB2312"/>
          <w:sz w:val="32"/>
          <w:szCs w:val="32"/>
          <w:lang w:val="en-US"/>
        </w:rPr>
      </w:pPr>
      <w:r>
        <w:rPr>
          <w:rFonts w:eastAsia="仿宋_GB2312"/>
          <w:sz w:val="32"/>
          <w:szCs w:val="32"/>
        </w:rPr>
        <w:t>20</w:t>
      </w:r>
      <w:r>
        <w:rPr>
          <w:rFonts w:hint="eastAsia" w:eastAsia="仿宋_GB2312"/>
          <w:sz w:val="32"/>
          <w:szCs w:val="32"/>
          <w:lang w:val="en-US" w:eastAsia="zh-CN"/>
        </w:rPr>
        <w:t>23</w:t>
      </w:r>
      <w:r>
        <w:rPr>
          <w:rFonts w:eastAsia="仿宋_GB2312"/>
          <w:sz w:val="32"/>
          <w:szCs w:val="32"/>
        </w:rPr>
        <w:t>年政府采购预算为</w:t>
      </w:r>
      <w:r>
        <w:rPr>
          <w:rFonts w:hint="eastAsia" w:eastAsia="仿宋_GB2312"/>
          <w:sz w:val="32"/>
          <w:szCs w:val="32"/>
          <w:lang w:val="en-US" w:eastAsia="zh-CN"/>
        </w:rPr>
        <w:t>6</w:t>
      </w:r>
      <w:r>
        <w:rPr>
          <w:rFonts w:hint="eastAsia" w:eastAsia="仿宋_GB2312"/>
          <w:sz w:val="32"/>
          <w:szCs w:val="32"/>
          <w:lang w:eastAsia="zh-CN"/>
        </w:rPr>
        <w:t>万元，</w:t>
      </w:r>
      <w:r>
        <w:rPr>
          <w:rFonts w:hint="eastAsia" w:eastAsia="仿宋_GB2312"/>
          <w:sz w:val="32"/>
          <w:szCs w:val="32"/>
          <w:lang w:val="en-US" w:eastAsia="zh-CN"/>
        </w:rPr>
        <w:t>分散采购资金为6万元，比上年增加6万元。</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ind w:left="420" w:leftChars="200" w:firstLine="640" w:firstLineChars="200"/>
        <w:rPr>
          <w:rFonts w:ascii="仿宋_GB2312" w:eastAsia="仿宋_GB2312" w:cs="Times New Roman"/>
          <w:sz w:val="32"/>
          <w:szCs w:val="32"/>
        </w:rPr>
      </w:pPr>
      <w:r>
        <w:rPr>
          <w:rFonts w:hint="eastAsia" w:ascii="仿宋_GB2312" w:hAnsi="宋体" w:eastAsia="仿宋_GB2312" w:cs="仿宋_GB2312"/>
          <w:sz w:val="32"/>
          <w:szCs w:val="32"/>
          <w:lang w:val="en-US" w:eastAsia="zh-CN"/>
        </w:rPr>
        <w:t>本单位2023年没有</w:t>
      </w:r>
      <w:r>
        <w:rPr>
          <w:rFonts w:hint="eastAsia" w:ascii="仿宋_GB2312" w:hAnsi="宋体" w:eastAsia="仿宋_GB2312" w:cs="仿宋_GB2312"/>
          <w:sz w:val="32"/>
          <w:szCs w:val="32"/>
        </w:rPr>
        <w:t>政府基金收支。</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2023</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区信访</w:t>
      </w:r>
      <w:r>
        <w:rPr>
          <w:rFonts w:hint="eastAsia" w:ascii="仿宋_GB2312" w:hAnsi="宋体" w:eastAsia="仿宋_GB2312" w:cs="仿宋_GB2312"/>
          <w:sz w:val="32"/>
          <w:szCs w:val="32"/>
        </w:rPr>
        <w:t>局“三公”经费年初预算安排</w:t>
      </w:r>
      <w:r>
        <w:rPr>
          <w:rFonts w:hint="eastAsia" w:ascii="仿宋_GB2312" w:hAnsi="宋体" w:eastAsia="仿宋_GB2312" w:cs="仿宋_GB2312"/>
          <w:sz w:val="32"/>
          <w:szCs w:val="32"/>
          <w:lang w:val="en-US" w:eastAsia="zh-CN"/>
        </w:rPr>
        <w:t>0.4</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ascii="仿宋_GB2312" w:eastAsia="仿宋_GB2312" w:cs="仿宋_GB2312"/>
          <w:sz w:val="32"/>
          <w:szCs w:val="32"/>
        </w:rPr>
        <w:t>...</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0.4</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val="en-US" w:eastAsia="zh-CN"/>
        </w:rPr>
        <w:t>接待外来有员预计减少</w:t>
      </w:r>
      <w:bookmarkStart w:id="0" w:name="_GoBack"/>
      <w:bookmarkEnd w:id="0"/>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ascii="仿宋_GB2312" w:eastAsia="仿宋_GB2312" w:cs="仿宋_GB2312"/>
          <w:sz w:val="32"/>
          <w:szCs w:val="32"/>
        </w:rPr>
        <w:t>...</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ascii="仿宋_GB2312" w:eastAsia="仿宋_GB2312" w:cs="仿宋_GB2312"/>
          <w:sz w:val="32"/>
          <w:szCs w:val="32"/>
        </w:rPr>
        <w:t>...</w:t>
      </w:r>
      <w:r>
        <w:rPr>
          <w:rFonts w:hint="eastAsia" w:ascii="仿宋_GB2312" w:hAnsi="宋体" w:eastAsia="仿宋_GB2312" w:cs="仿宋_GB2312"/>
          <w:sz w:val="32"/>
          <w:szCs w:val="32"/>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lang w:eastAsia="zh-CN"/>
        </w:rPr>
        <w:t>2023</w:t>
      </w:r>
      <w:r>
        <w:rPr>
          <w:rFonts w:hint="eastAsia" w:ascii="仿宋_GB2312" w:eastAsia="仿宋_GB2312"/>
          <w:color w:val="000000"/>
          <w:sz w:val="32"/>
          <w:szCs w:val="30"/>
        </w:rPr>
        <w:t>年部门整体绩效目标</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rightChars="0" w:firstLine="640" w:firstLineChars="200"/>
        <w:jc w:val="both"/>
        <w:textAlignment w:val="auto"/>
        <w:outlineLvl w:val="9"/>
        <w:rPr>
          <w:rFonts w:hint="eastAsia" w:ascii="仿宋_GB2312" w:eastAsia="仿宋_GB2312"/>
          <w:color w:val="000000"/>
          <w:sz w:val="32"/>
          <w:szCs w:val="32"/>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保证信访局工作正常运转，</w:t>
      </w:r>
      <w:r>
        <w:rPr>
          <w:rFonts w:hint="eastAsia" w:ascii="宋体" w:hAnsi="宋体" w:eastAsia="宋体" w:cs="宋体"/>
          <w:color w:val="auto"/>
          <w:kern w:val="0"/>
          <w:sz w:val="32"/>
          <w:szCs w:val="32"/>
        </w:rPr>
        <w:t>处理上级交办和区委、区政府领导批办的信访案件</w:t>
      </w:r>
      <w:r>
        <w:rPr>
          <w:rFonts w:hint="eastAsia" w:ascii="宋体" w:hAnsi="宋体" w:eastAsia="宋体" w:cs="宋体"/>
          <w:color w:val="auto"/>
          <w:kern w:val="0"/>
          <w:sz w:val="32"/>
          <w:szCs w:val="32"/>
          <w:lang w:eastAsia="zh-CN"/>
        </w:rPr>
        <w:t>，</w:t>
      </w:r>
      <w:r>
        <w:rPr>
          <w:rFonts w:hint="eastAsia" w:ascii="宋体" w:hAnsi="宋体" w:eastAsia="宋体" w:cs="宋体"/>
          <w:color w:val="auto"/>
          <w:kern w:val="0"/>
          <w:sz w:val="32"/>
          <w:szCs w:val="32"/>
        </w:rPr>
        <w:t>接待和处理人民群众来信来访，积极与有关部门协商解决政策范围内的信访问题</w:t>
      </w:r>
      <w:r>
        <w:rPr>
          <w:rFonts w:hint="eastAsia" w:ascii="宋体" w:hAnsi="宋体" w:eastAsia="宋体" w:cs="宋体"/>
          <w:color w:val="auto"/>
          <w:kern w:val="0"/>
          <w:sz w:val="32"/>
          <w:szCs w:val="32"/>
          <w:lang w:eastAsia="zh-CN"/>
        </w:rPr>
        <w:t>，</w:t>
      </w:r>
      <w:r>
        <w:rPr>
          <w:rFonts w:hint="eastAsia" w:ascii="宋体" w:hAnsi="宋体" w:eastAsia="宋体" w:cs="宋体"/>
          <w:color w:val="auto"/>
          <w:kern w:val="0"/>
          <w:sz w:val="32"/>
          <w:szCs w:val="32"/>
        </w:rPr>
        <w:t>搞好信访预测，及时掌握群众集体上访苗头，耐心劝阻集体上访；做好信访老户的稳定</w:t>
      </w:r>
      <w:r>
        <w:rPr>
          <w:rFonts w:hint="eastAsia" w:ascii="宋体" w:hAnsi="宋体" w:eastAsia="宋体" w:cs="宋体"/>
          <w:color w:val="auto"/>
          <w:kern w:val="0"/>
          <w:sz w:val="32"/>
          <w:szCs w:val="32"/>
          <w:lang w:eastAsia="zh-CN"/>
        </w:rPr>
        <w:t>等</w:t>
      </w:r>
      <w:r>
        <w:rPr>
          <w:rFonts w:hint="eastAsia" w:ascii="宋体" w:hAnsi="宋体" w:eastAsia="宋体" w:cs="宋体"/>
          <w:color w:val="auto"/>
          <w:kern w:val="0"/>
          <w:sz w:val="32"/>
          <w:szCs w:val="32"/>
        </w:rPr>
        <w:t>工作</w:t>
      </w:r>
      <w:r>
        <w:rPr>
          <w:rFonts w:hint="eastAsia" w:ascii="宋体" w:hAnsi="宋体" w:eastAsia="宋体" w:cs="宋体"/>
          <w:color w:val="auto"/>
          <w:kern w:val="0"/>
          <w:sz w:val="32"/>
          <w:szCs w:val="32"/>
          <w:lang w:eastAsia="zh-CN"/>
        </w:rPr>
        <w:t>。</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部门预算情况 </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lang w:val="en-US" w:eastAsia="zh-CN"/>
        </w:rPr>
        <w:t>昌江区信访局2023年预算收入总额110.31万元，其中人员工资经费39.51万元，公用经费3.6万元，项目支出67.2万元</w:t>
      </w:r>
      <w:r>
        <w:rPr>
          <w:rFonts w:hint="eastAsia" w:ascii="仿宋_GB2312" w:eastAsia="仿宋_GB2312"/>
          <w:color w:val="000000"/>
          <w:sz w:val="32"/>
          <w:szCs w:val="30"/>
        </w:rPr>
        <w:t xml:space="preserve"> 。</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lang w:val="en-US" w:eastAsia="zh-CN"/>
        </w:rPr>
        <w:t>二</w:t>
      </w:r>
      <w:r>
        <w:rPr>
          <w:rFonts w:hint="eastAsia" w:ascii="仿宋_GB2312" w:eastAsia="仿宋_GB2312"/>
          <w:b/>
          <w:bCs/>
          <w:color w:val="000000"/>
          <w:sz w:val="32"/>
          <w:szCs w:val="30"/>
        </w:rPr>
        <w:t>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2023</w:t>
      </w:r>
      <w:r>
        <w:rPr>
          <w:rFonts w:hint="eastAsia" w:ascii="仿宋_GB2312" w:eastAsia="仿宋_GB2312"/>
          <w:color w:val="000000"/>
          <w:sz w:val="32"/>
          <w:szCs w:val="30"/>
        </w:rPr>
        <w:t xml:space="preserve">年实行绩效目标管理的二级项目  </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 xml:space="preserve">  个</w:t>
      </w:r>
      <w:r>
        <w:rPr>
          <w:rFonts w:hint="eastAsia" w:ascii="仿宋_GB2312" w:eastAsia="仿宋_GB2312"/>
          <w:color w:val="000000"/>
          <w:sz w:val="32"/>
          <w:szCs w:val="30"/>
          <w:lang w:eastAsia="zh-CN"/>
        </w:rPr>
        <w:t>，</w:t>
      </w:r>
      <w:r>
        <w:rPr>
          <w:rFonts w:hint="eastAsia" w:ascii="仿宋_GB2312" w:eastAsia="仿宋_GB2312"/>
          <w:color w:val="000000"/>
          <w:sz w:val="32"/>
          <w:szCs w:val="30"/>
        </w:rPr>
        <w:t xml:space="preserve">部门预算中 </w:t>
      </w:r>
      <w:r>
        <w:rPr>
          <w:rFonts w:hint="eastAsia" w:ascii="仿宋_GB2312" w:eastAsia="仿宋_GB2312"/>
          <w:color w:val="000000"/>
          <w:sz w:val="32"/>
          <w:szCs w:val="30"/>
          <w:lang w:val="en-US" w:eastAsia="zh-CN"/>
        </w:rPr>
        <w:t>57.2</w:t>
      </w:r>
      <w:r>
        <w:rPr>
          <w:rFonts w:hint="eastAsia" w:ascii="仿宋_GB2312" w:eastAsia="仿宋_GB2312"/>
          <w:color w:val="000000"/>
          <w:sz w:val="32"/>
          <w:szCs w:val="30"/>
        </w:rPr>
        <w:t xml:space="preserve"> 万元以上的，且进行了绩效评审的项目   </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 xml:space="preserve">  个，涉及资金   </w:t>
      </w:r>
      <w:r>
        <w:rPr>
          <w:rFonts w:hint="eastAsia" w:ascii="仿宋_GB2312" w:eastAsia="仿宋_GB2312"/>
          <w:color w:val="000000"/>
          <w:sz w:val="32"/>
          <w:szCs w:val="30"/>
          <w:lang w:val="en-US" w:eastAsia="zh-CN"/>
        </w:rPr>
        <w:t>57.2</w:t>
      </w:r>
      <w:r>
        <w:rPr>
          <w:rFonts w:hint="eastAsia" w:ascii="仿宋_GB2312" w:eastAsia="仿宋_GB2312"/>
          <w:color w:val="000000"/>
          <w:sz w:val="32"/>
          <w:szCs w:val="30"/>
        </w:rPr>
        <w:t xml:space="preserve">  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（九）</w:t>
      </w:r>
      <w:r>
        <w:rPr>
          <w:rFonts w:hint="eastAsia" w:ascii="仿宋_GB2312" w:eastAsia="仿宋_GB2312"/>
          <w:b/>
          <w:color w:val="000000"/>
          <w:sz w:val="32"/>
          <w:szCs w:val="30"/>
          <w:lang w:eastAsia="zh-CN"/>
        </w:rPr>
        <w:t>信访</w:t>
      </w:r>
      <w:r>
        <w:rPr>
          <w:rFonts w:hint="eastAsia" w:ascii="仿宋_GB2312" w:eastAsia="仿宋_GB2312"/>
          <w:b/>
          <w:color w:val="000000"/>
          <w:sz w:val="32"/>
          <w:szCs w:val="30"/>
        </w:rPr>
        <w:t>各二级项目情况说明（部门本级）</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项目概述</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1.</w:t>
      </w:r>
      <w:r>
        <w:rPr>
          <w:rFonts w:hint="eastAsia" w:ascii="仿宋_GB2312" w:eastAsia="仿宋_GB2312"/>
          <w:color w:val="000000"/>
          <w:sz w:val="32"/>
          <w:szCs w:val="30"/>
          <w:lang w:val="en-US" w:eastAsia="zh-CN"/>
        </w:rPr>
        <w:t>信访维稳工作经费</w:t>
      </w:r>
      <w:r>
        <w:rPr>
          <w:rFonts w:hint="eastAsia" w:ascii="仿宋_GB2312" w:eastAsia="仿宋_GB2312"/>
          <w:color w:val="000000"/>
          <w:sz w:val="32"/>
          <w:szCs w:val="30"/>
        </w:rPr>
        <w:t>二级项目</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1）项目概述</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保障全区信访局各项工作有序展开，进一步维护全区信访稳定。</w:t>
      </w:r>
    </w:p>
    <w:p>
      <w:pPr>
        <w:widowControl/>
        <w:numPr>
          <w:ilvl w:val="0"/>
          <w:numId w:val="2"/>
        </w:numPr>
        <w:spacing w:line="600" w:lineRule="exact"/>
        <w:ind w:left="1120" w:leftChars="0" w:firstLine="0" w:firstLineChars="0"/>
        <w:jc w:val="left"/>
        <w:rPr>
          <w:rFonts w:hint="eastAsia" w:ascii="仿宋_GB2312" w:eastAsia="仿宋_GB2312"/>
          <w:color w:val="000000"/>
          <w:sz w:val="32"/>
          <w:szCs w:val="30"/>
        </w:rPr>
      </w:pPr>
      <w:r>
        <w:rPr>
          <w:rFonts w:hint="eastAsia" w:ascii="仿宋_GB2312" w:eastAsia="仿宋_GB2312"/>
          <w:color w:val="000000"/>
          <w:sz w:val="32"/>
          <w:szCs w:val="30"/>
        </w:rPr>
        <w:t>立项依据</w:t>
      </w:r>
    </w:p>
    <w:p>
      <w:pPr>
        <w:widowControl/>
        <w:numPr>
          <w:ilvl w:val="0"/>
          <w:numId w:val="0"/>
        </w:numPr>
        <w:spacing w:line="600" w:lineRule="exact"/>
        <w:ind w:left="1120" w:leftChars="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信访工作条例</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三定方案。</w:t>
      </w:r>
    </w:p>
    <w:p>
      <w:pPr>
        <w:widowControl/>
        <w:numPr>
          <w:ilvl w:val="0"/>
          <w:numId w:val="2"/>
        </w:numPr>
        <w:spacing w:line="600" w:lineRule="exact"/>
        <w:ind w:left="1120" w:leftChars="0" w:firstLine="0" w:firstLineChars="0"/>
        <w:jc w:val="left"/>
        <w:rPr>
          <w:rFonts w:hint="eastAsia" w:ascii="仿宋_GB2312" w:eastAsia="仿宋_GB2312"/>
          <w:color w:val="000000"/>
          <w:sz w:val="32"/>
          <w:szCs w:val="30"/>
        </w:rPr>
      </w:pPr>
      <w:r>
        <w:rPr>
          <w:rFonts w:hint="eastAsia" w:ascii="仿宋_GB2312" w:eastAsia="仿宋_GB2312"/>
          <w:color w:val="000000"/>
          <w:sz w:val="32"/>
          <w:szCs w:val="30"/>
        </w:rPr>
        <w:t>实施主体</w:t>
      </w:r>
    </w:p>
    <w:p>
      <w:pPr>
        <w:widowControl/>
        <w:numPr>
          <w:ilvl w:val="0"/>
          <w:numId w:val="0"/>
        </w:numPr>
        <w:spacing w:line="600" w:lineRule="exact"/>
        <w:ind w:left="1120" w:leftChars="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昌江区信访局信访维稳工作</w:t>
      </w:r>
    </w:p>
    <w:p>
      <w:pPr>
        <w:widowControl/>
        <w:numPr>
          <w:ilvl w:val="0"/>
          <w:numId w:val="2"/>
        </w:numPr>
        <w:spacing w:line="600" w:lineRule="exact"/>
        <w:ind w:left="1120" w:leftChars="0" w:firstLine="0" w:firstLineChars="0"/>
        <w:jc w:val="left"/>
        <w:rPr>
          <w:rFonts w:hint="eastAsia" w:ascii="仿宋_GB2312" w:eastAsia="仿宋_GB2312"/>
          <w:color w:val="000000"/>
          <w:sz w:val="32"/>
          <w:szCs w:val="30"/>
        </w:rPr>
      </w:pPr>
      <w:r>
        <w:rPr>
          <w:rFonts w:hint="eastAsia" w:ascii="仿宋_GB2312" w:eastAsia="仿宋_GB2312"/>
          <w:color w:val="000000"/>
          <w:sz w:val="32"/>
          <w:szCs w:val="30"/>
        </w:rPr>
        <w:t>实施方案</w:t>
      </w:r>
    </w:p>
    <w:p>
      <w:pPr>
        <w:widowControl/>
        <w:numPr>
          <w:ilvl w:val="0"/>
          <w:numId w:val="0"/>
        </w:numPr>
        <w:spacing w:line="600" w:lineRule="exact"/>
        <w:ind w:left="1120" w:leftChars="0"/>
        <w:jc w:val="left"/>
        <w:rPr>
          <w:rFonts w:hint="eastAsia" w:ascii="仿宋_GB2312" w:eastAsia="仿宋_GB2312"/>
          <w:color w:val="000000"/>
          <w:sz w:val="32"/>
          <w:szCs w:val="30"/>
        </w:rPr>
      </w:pPr>
      <w:r>
        <w:rPr>
          <w:rFonts w:hint="eastAsia" w:ascii="仿宋_GB2312" w:eastAsia="仿宋_GB2312"/>
          <w:color w:val="000000"/>
          <w:sz w:val="32"/>
          <w:szCs w:val="30"/>
        </w:rPr>
        <w:t>完善应急处置预案，及时处理矛盾纠纷，妥善处理突发群体性事件，维护社会大局稳定。</w:t>
      </w:r>
    </w:p>
    <w:p>
      <w:pPr>
        <w:widowControl/>
        <w:numPr>
          <w:ilvl w:val="0"/>
          <w:numId w:val="2"/>
        </w:numPr>
        <w:spacing w:line="600" w:lineRule="exact"/>
        <w:ind w:left="1120" w:leftChars="0" w:firstLine="0" w:firstLineChars="0"/>
        <w:jc w:val="left"/>
        <w:rPr>
          <w:rFonts w:hint="eastAsia" w:ascii="仿宋_GB2312" w:eastAsia="仿宋_GB2312"/>
          <w:color w:val="000000"/>
          <w:sz w:val="32"/>
          <w:szCs w:val="30"/>
        </w:rPr>
      </w:pPr>
      <w:r>
        <w:rPr>
          <w:rFonts w:hint="eastAsia" w:ascii="仿宋_GB2312" w:eastAsia="仿宋_GB2312"/>
          <w:color w:val="000000"/>
          <w:sz w:val="32"/>
          <w:szCs w:val="30"/>
        </w:rPr>
        <w:t>实施周期</w:t>
      </w:r>
    </w:p>
    <w:p>
      <w:pPr>
        <w:widowControl/>
        <w:numPr>
          <w:ilvl w:val="0"/>
          <w:numId w:val="0"/>
        </w:numPr>
        <w:spacing w:line="600" w:lineRule="exact"/>
        <w:ind w:left="1120" w:leftChars="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及时回复信访问题</w:t>
      </w:r>
    </w:p>
    <w:p>
      <w:pPr>
        <w:widowControl/>
        <w:numPr>
          <w:ilvl w:val="0"/>
          <w:numId w:val="2"/>
        </w:numPr>
        <w:spacing w:line="600" w:lineRule="exact"/>
        <w:ind w:left="1120" w:leftChars="0" w:firstLine="0" w:firstLineChars="0"/>
        <w:jc w:val="left"/>
        <w:rPr>
          <w:rFonts w:hint="eastAsia" w:ascii="仿宋_GB2312" w:eastAsia="仿宋_GB2312"/>
          <w:color w:val="000000"/>
          <w:sz w:val="32"/>
          <w:szCs w:val="30"/>
        </w:rPr>
      </w:pPr>
      <w:r>
        <w:rPr>
          <w:rFonts w:hint="eastAsia" w:ascii="仿宋_GB2312" w:eastAsia="仿宋_GB2312"/>
          <w:color w:val="000000"/>
          <w:sz w:val="32"/>
          <w:szCs w:val="30"/>
        </w:rPr>
        <w:t>年度预算安排</w:t>
      </w:r>
    </w:p>
    <w:p>
      <w:pPr>
        <w:widowControl/>
        <w:numPr>
          <w:ilvl w:val="0"/>
          <w:numId w:val="0"/>
        </w:numPr>
        <w:spacing w:line="600" w:lineRule="exact"/>
        <w:ind w:left="1120" w:leftChars="0"/>
        <w:jc w:val="left"/>
        <w:rPr>
          <w:rFonts w:hint="eastAsia" w:ascii="仿宋_GB2312" w:eastAsia="仿宋_GB2312"/>
          <w:color w:val="000000"/>
          <w:sz w:val="32"/>
          <w:szCs w:val="30"/>
          <w:lang w:eastAsia="zh-CN"/>
        </w:rPr>
      </w:pPr>
      <w:r>
        <w:rPr>
          <w:rFonts w:hint="eastAsia" w:ascii="仿宋_GB2312" w:eastAsia="仿宋_GB2312"/>
          <w:color w:val="000000"/>
          <w:sz w:val="32"/>
          <w:szCs w:val="30"/>
        </w:rPr>
        <w:t>每年资金安排计划57.2万元</w:t>
      </w:r>
      <w:r>
        <w:rPr>
          <w:rFonts w:hint="eastAsia" w:ascii="仿宋_GB2312" w:eastAsia="仿宋_GB2312"/>
          <w:color w:val="000000"/>
          <w:sz w:val="32"/>
          <w:szCs w:val="30"/>
          <w:lang w:eastAsia="zh-CN"/>
        </w:rPr>
        <w:t>。</w:t>
      </w:r>
    </w:p>
    <w:p>
      <w:pPr>
        <w:widowControl/>
        <w:numPr>
          <w:ilvl w:val="0"/>
          <w:numId w:val="2"/>
        </w:numPr>
        <w:spacing w:line="600" w:lineRule="exact"/>
        <w:ind w:left="1120" w:leftChars="0" w:firstLine="0" w:firstLineChars="0"/>
        <w:jc w:val="left"/>
        <w:rPr>
          <w:rFonts w:hint="eastAsia" w:ascii="仿宋_GB2312" w:eastAsia="仿宋_GB2312"/>
          <w:color w:val="000000"/>
          <w:sz w:val="32"/>
          <w:szCs w:val="30"/>
        </w:rPr>
      </w:pPr>
      <w:r>
        <w:rPr>
          <w:rFonts w:hint="eastAsia" w:ascii="仿宋_GB2312" w:eastAsia="仿宋_GB2312"/>
          <w:color w:val="000000"/>
          <w:sz w:val="32"/>
          <w:szCs w:val="30"/>
        </w:rPr>
        <w:t>绩效目标</w:t>
      </w:r>
    </w:p>
    <w:p>
      <w:pPr>
        <w:widowControl/>
        <w:numPr>
          <w:ilvl w:val="0"/>
          <w:numId w:val="0"/>
        </w:numPr>
        <w:spacing w:line="600" w:lineRule="exact"/>
        <w:ind w:left="1120" w:leftChars="0"/>
        <w:jc w:val="left"/>
        <w:rPr>
          <w:rFonts w:hint="eastAsia" w:ascii="仿宋_GB2312" w:eastAsia="仿宋_GB2312"/>
          <w:color w:val="000000"/>
          <w:sz w:val="32"/>
          <w:szCs w:val="30"/>
        </w:rPr>
      </w:pPr>
      <w:r>
        <w:rPr>
          <w:rFonts w:hint="eastAsia" w:ascii="仿宋_GB2312" w:eastAsia="仿宋_GB2312"/>
          <w:color w:val="000000"/>
          <w:sz w:val="32"/>
          <w:szCs w:val="30"/>
        </w:rPr>
        <w:t>完善应急处置预案，及时处理矛盾纠纷，妥善处理突发群体性事件，维护社会大局稳定。</w:t>
      </w:r>
    </w:p>
    <w:p>
      <w:pPr>
        <w:widowControl/>
        <w:numPr>
          <w:ilvl w:val="0"/>
          <w:numId w:val="0"/>
        </w:numPr>
        <w:spacing w:line="600" w:lineRule="exact"/>
        <w:ind w:left="1120" w:leftChars="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指标</w:t>
      </w:r>
      <w:r>
        <w:rPr>
          <w:rFonts w:hint="eastAsia" w:ascii="仿宋_GB2312" w:eastAsia="仿宋_GB2312"/>
          <w:color w:val="000000"/>
          <w:sz w:val="32"/>
          <w:szCs w:val="30"/>
          <w:lang w:val="en-US" w:eastAsia="zh-CN"/>
        </w:rPr>
        <w:t>如下表</w:t>
      </w:r>
    </w:p>
    <w:tbl>
      <w:tblPr>
        <w:tblStyle w:val="6"/>
        <w:tblW w:w="98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70"/>
        <w:gridCol w:w="1201"/>
        <w:gridCol w:w="3498"/>
        <w:gridCol w:w="2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全国两会、全会接访人员城市间往返次数</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全国两会、全会接访人员吃、住行天数</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全国两会、全会上访人员城市间往返次数</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全国两会、全会上访人员吃、住天数</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省两会、全会接访人员城市间往返次数</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省两会、全会接访人员吃、住行天数</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省两会、全会上访人员城市间交通费</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省两会、全会上访人员吃、住天数</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聘请律师事务所数量</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资料印刷数量</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百姓说事宣传小视频数量</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息诉罢访率</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网上信访及时受理率</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信访按期答复反馈时效性</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全国两会、全会接访人员城市间交通费成本</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2000元/往返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全国两会、全会接访人员吃、住行费用成本</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680元/人/天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全国两会、全会上访人员城市间交通费成本</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2000元/往返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全国两会、全会上访人员吃、住费用成本</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600元/人/天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省两会、全会接访人员城市间交通费成本</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200元/往返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省两会、全会接访人员吃、住行费用成本</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490元/人/天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省两会、全会上访人员城市间交通费</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200元/往返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省两会、全会上访人员吃、住费用</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450元/人/天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律师咨询服务费成本</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资料印刷费成本</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5.8元/份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百姓说事宣传小视频制作成本</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及时处理矛盾，维护社会稳定</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社会公众满意度</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&gt;95%</w:t>
            </w:r>
          </w:p>
        </w:tc>
      </w:tr>
    </w:tbl>
    <w:p>
      <w:pPr>
        <w:widowControl/>
        <w:numPr>
          <w:ilvl w:val="0"/>
          <w:numId w:val="0"/>
        </w:numPr>
        <w:spacing w:line="600" w:lineRule="exact"/>
        <w:ind w:left="1120" w:leftChars="0"/>
        <w:jc w:val="left"/>
        <w:rPr>
          <w:rFonts w:hint="eastAsia" w:ascii="仿宋_GB2312" w:eastAsia="仿宋_GB2312"/>
          <w:color w:val="000000"/>
          <w:sz w:val="32"/>
          <w:szCs w:val="30"/>
        </w:rPr>
      </w:pPr>
    </w:p>
    <w:p>
      <w:pPr>
        <w:ind w:firstLine="640" w:firstLineChars="200"/>
        <w:rPr>
          <w:rFonts w:ascii="仿宋_GB2312" w:hAnsi="宋体" w:eastAsia="仿宋_GB2312" w:cs="仿宋_GB2312"/>
          <w:sz w:val="32"/>
          <w:szCs w:val="32"/>
        </w:rPr>
      </w:pP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昌江区</w:t>
      </w:r>
      <w:r>
        <w:rPr>
          <w:rFonts w:ascii="黑体" w:hAnsi="宋体" w:eastAsia="黑体" w:cs="黑体"/>
          <w:sz w:val="32"/>
          <w:szCs w:val="32"/>
        </w:rPr>
        <w:t xml:space="preserve"> </w:t>
      </w:r>
      <w:r>
        <w:rPr>
          <w:rFonts w:hint="eastAsia" w:ascii="黑体" w:hAnsi="宋体" w:eastAsia="黑体" w:cs="黑体"/>
          <w:sz w:val="32"/>
          <w:szCs w:val="32"/>
          <w:lang w:eastAsia="zh-CN"/>
        </w:rPr>
        <w:t>信访</w:t>
      </w:r>
      <w:r>
        <w:rPr>
          <w:rFonts w:hint="eastAsia" w:ascii="黑体" w:hAnsi="宋体" w:eastAsia="黑体" w:cs="黑体"/>
          <w:sz w:val="32"/>
          <w:szCs w:val="32"/>
        </w:rPr>
        <w:t>局</w:t>
      </w:r>
      <w:r>
        <w:rPr>
          <w:rFonts w:hint="eastAsia" w:ascii="黑体" w:hAnsi="宋体" w:eastAsia="黑体" w:cs="黑体"/>
          <w:sz w:val="32"/>
          <w:szCs w:val="32"/>
          <w:lang w:eastAsia="zh-CN"/>
        </w:rPr>
        <w:t>2023</w:t>
      </w:r>
      <w:r>
        <w:rPr>
          <w:rFonts w:hint="eastAsia" w:ascii="黑体" w:hAnsi="宋体" w:eastAsia="黑体" w:cs="黑体"/>
          <w:sz w:val="32"/>
          <w:szCs w:val="32"/>
        </w:rPr>
        <w:t>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w:t>
      </w:r>
      <w:r>
        <w:rPr>
          <w:rFonts w:hint="eastAsia" w:ascii="仿宋_GB2312" w:eastAsia="仿宋_GB2312"/>
          <w:color w:val="000000"/>
          <w:sz w:val="32"/>
          <w:szCs w:val="30"/>
          <w:lang w:eastAsia="zh-CN"/>
        </w:rPr>
        <w:t>区</w:t>
      </w:r>
      <w:r>
        <w:rPr>
          <w:rFonts w:hint="eastAsia" w:ascii="仿宋_GB2312" w:eastAsia="仿宋_GB2312"/>
          <w:color w:val="000000"/>
          <w:sz w:val="32"/>
          <w:szCs w:val="30"/>
        </w:rPr>
        <w:t>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2023</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ind w:firstLine="640" w:firstLineChars="200"/>
        <w:rPr>
          <w:rFonts w:ascii="仿宋_GB2312" w:eastAsia="仿宋_GB2312" w:cs="Times New Roman"/>
          <w:sz w:val="32"/>
          <w:szCs w:val="32"/>
        </w:rPr>
      </w:pPr>
      <w:r>
        <w:rPr>
          <w:rFonts w:hint="eastAsia" w:ascii="仿宋_GB2312" w:hAnsi="宋体" w:eastAsia="仿宋_GB2312" w:cs="宋体"/>
          <w:color w:val="auto"/>
          <w:kern w:val="0"/>
          <w:sz w:val="32"/>
          <w:szCs w:val="32"/>
        </w:rPr>
        <w:t>一般公共服务（类）财政事务（款）行政运行（项）：指财政部门行政单位及参照公务员管理的事业单位，用于保障机构正常运行，开展日常工作的基本支出。</w:t>
      </w: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8</w:t>
    </w:r>
    <w:r>
      <w:rPr>
        <w:rStyle w:val="8"/>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abstractNum w:abstractNumId="1">
    <w:nsid w:val="6434E836"/>
    <w:multiLevelType w:val="singleLevel"/>
    <w:tmpl w:val="6434E836"/>
    <w:lvl w:ilvl="0" w:tentative="0">
      <w:start w:val="2"/>
      <w:numFmt w:val="decimal"/>
      <w:suff w:val="nothing"/>
      <w:lvlText w:val="%1）"/>
      <w:lvlJc w:val="left"/>
      <w:pPr>
        <w:ind w:left="112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0NDMyNjZlYjNmNDNhNmZiMzhhZWE4ZGI4OGE5ZTEifQ=="/>
  </w:docVars>
  <w:rsids>
    <w:rsidRoot w:val="19076E1D"/>
    <w:rsid w:val="000429DB"/>
    <w:rsid w:val="00066060"/>
    <w:rsid w:val="00675E17"/>
    <w:rsid w:val="00683AC4"/>
    <w:rsid w:val="008110CC"/>
    <w:rsid w:val="00B358C5"/>
    <w:rsid w:val="00C04C9A"/>
    <w:rsid w:val="00CB427A"/>
    <w:rsid w:val="00F500B9"/>
    <w:rsid w:val="01992CBB"/>
    <w:rsid w:val="022502CD"/>
    <w:rsid w:val="05EB1609"/>
    <w:rsid w:val="08EE0B31"/>
    <w:rsid w:val="0A326819"/>
    <w:rsid w:val="0CBF216E"/>
    <w:rsid w:val="0FCB58D0"/>
    <w:rsid w:val="11427CB1"/>
    <w:rsid w:val="139E3D52"/>
    <w:rsid w:val="162B4B72"/>
    <w:rsid w:val="18AC060B"/>
    <w:rsid w:val="19076E1D"/>
    <w:rsid w:val="1D2F3B9F"/>
    <w:rsid w:val="1EBD751D"/>
    <w:rsid w:val="1F117155"/>
    <w:rsid w:val="204B45CE"/>
    <w:rsid w:val="25705B71"/>
    <w:rsid w:val="29D76F3F"/>
    <w:rsid w:val="2DBB222D"/>
    <w:rsid w:val="31D40AAE"/>
    <w:rsid w:val="32850B4B"/>
    <w:rsid w:val="34F45276"/>
    <w:rsid w:val="381119B2"/>
    <w:rsid w:val="3BD871B8"/>
    <w:rsid w:val="3CF55A87"/>
    <w:rsid w:val="429A727D"/>
    <w:rsid w:val="4322216B"/>
    <w:rsid w:val="4C0B38BC"/>
    <w:rsid w:val="4C0B7195"/>
    <w:rsid w:val="4D3B293C"/>
    <w:rsid w:val="51B40312"/>
    <w:rsid w:val="56552A05"/>
    <w:rsid w:val="57CC144D"/>
    <w:rsid w:val="5C430AD0"/>
    <w:rsid w:val="62B20F12"/>
    <w:rsid w:val="63973295"/>
    <w:rsid w:val="641E7445"/>
    <w:rsid w:val="66BF4439"/>
    <w:rsid w:val="6B857389"/>
    <w:rsid w:val="70475B9B"/>
    <w:rsid w:val="71452C49"/>
    <w:rsid w:val="73224148"/>
    <w:rsid w:val="772860B1"/>
    <w:rsid w:val="7B4102B0"/>
    <w:rsid w:val="7C9B377A"/>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9"/>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character" w:styleId="8">
    <w:name w:val="page number"/>
    <w:basedOn w:val="7"/>
    <w:qFormat/>
    <w:uiPriority w:val="99"/>
  </w:style>
  <w:style w:type="character" w:customStyle="1" w:styleId="9">
    <w:name w:val="标题 2 Char"/>
    <w:basedOn w:val="7"/>
    <w:link w:val="2"/>
    <w:semiHidden/>
    <w:qFormat/>
    <w:uiPriority w:val="9"/>
    <w:rPr>
      <w:rFonts w:asciiTheme="majorHAnsi" w:hAnsiTheme="majorHAnsi" w:eastAsiaTheme="majorEastAsia" w:cstheme="majorBidi"/>
      <w:b/>
      <w:bCs/>
      <w:sz w:val="32"/>
      <w:szCs w:val="32"/>
    </w:rPr>
  </w:style>
  <w:style w:type="character" w:customStyle="1" w:styleId="10">
    <w:name w:val="页脚 Char"/>
    <w:basedOn w:val="7"/>
    <w:link w:val="5"/>
    <w:semiHidden/>
    <w:qFormat/>
    <w:uiPriority w:val="99"/>
    <w:rPr>
      <w:rFonts w:cs="Calibri"/>
      <w:sz w:val="18"/>
      <w:szCs w:val="18"/>
    </w:rPr>
  </w:style>
  <w:style w:type="character" w:customStyle="1" w:styleId="11">
    <w:name w:val="批注框文本 Char"/>
    <w:basedOn w:val="7"/>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3675</Words>
  <Characters>4088</Characters>
  <Lines>3</Lines>
  <Paragraphs>5</Paragraphs>
  <TotalTime>5</TotalTime>
  <ScaleCrop>false</ScaleCrop>
  <LinksUpToDate>false</LinksUpToDate>
  <CharactersWithSpaces>4143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Administrator</cp:lastModifiedBy>
  <cp:lastPrinted>2021-05-26T02:23:00Z</cp:lastPrinted>
  <dcterms:modified xsi:type="dcterms:W3CDTF">2023-03-08T13:52:02Z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82E1F68FDB0D472D90946F7EBF0C7E19</vt:lpwstr>
  </property>
</Properties>
</file>