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bookmarkStart w:id="0" w:name="_GoBack"/>
      <w:bookmarkEnd w:id="0"/>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中共景德镇市昌江区委员会信访局2023年度部门决算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中共景德镇市昌江区委员会信访局概况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中共景德镇市昌江区委员会信访局概况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pPr>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w:t>
      </w:r>
      <w:r>
        <w:rPr>
          <w:rFonts w:hint="eastAsia" w:ascii="仿宋_GB2312" w:hAnsi="仿宋" w:eastAsia="仿宋_GB2312"/>
          <w:sz w:val="32"/>
          <w:szCs w:val="32"/>
        </w:rPr>
        <w:t>）贯彻执行中央及省、市、区有关信访的方针、政策和法律、法规、规章；承办市委、市人大常委会、市政府、市政协等领导机关及市直属部门转办、交办的信访事项；处理区委、区政府领导交办的信访事项；督促检查上级领导机关交办事项和领导同志有关批示件的落实情况。</w:t>
      </w:r>
    </w:p>
    <w:p>
      <w:pPr>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2</w:t>
      </w:r>
      <w:r>
        <w:rPr>
          <w:rFonts w:hint="eastAsia" w:ascii="仿宋_GB2312" w:hAnsi="仿宋" w:eastAsia="仿宋_GB2312"/>
          <w:sz w:val="32"/>
          <w:szCs w:val="32"/>
        </w:rPr>
        <w:t>）负责受理人民群众的来信、来访，向乡（镇）、街道和有关部门交办信访事项，保证信访渠道畅通；及时、准确地向区委、区政府领导反映来信来访中提出的重要建议、意见和问题；办理和协调处理重要的信访事项，并对落实情况进行督促检查；综合分析信访信息，开展调查研究，提出制定有关方针、政策的建议。</w:t>
      </w:r>
    </w:p>
    <w:p>
      <w:pPr>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3</w:t>
      </w:r>
      <w:r>
        <w:rPr>
          <w:rFonts w:hint="eastAsia" w:ascii="仿宋_GB2312" w:hAnsi="仿宋" w:eastAsia="仿宋_GB2312"/>
          <w:sz w:val="32"/>
          <w:szCs w:val="32"/>
        </w:rPr>
        <w:t>）协调处理跨区、跨地区、跨部门的重要信访问题；协调处理群众集体赴京、赴省、赴市、来区上访和异常、突发信访事件；检查、协调区直各部门信访工作和乡（镇）、街道党政机关的信访工作。</w:t>
      </w:r>
    </w:p>
    <w:p>
      <w:pPr>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w:t>
      </w:r>
      <w:r>
        <w:rPr>
          <w:rFonts w:ascii="仿宋_GB2312" w:hAnsi="仿宋" w:eastAsia="仿宋_GB2312"/>
          <w:sz w:val="32"/>
          <w:szCs w:val="32"/>
        </w:rPr>
        <w:t>4</w:t>
      </w:r>
      <w:r>
        <w:rPr>
          <w:rFonts w:hint="eastAsia" w:ascii="仿宋_GB2312" w:hAnsi="仿宋" w:eastAsia="仿宋_GB2312"/>
          <w:sz w:val="32"/>
          <w:szCs w:val="32"/>
        </w:rPr>
        <w:t>）研究、起草有关信访工作的政策、法规草案；总结推广各地区、各部门信访工作的经验，提出改进和加强信访工作的意见和建议，指导全区的信访业务工作；负责信访工作的宣传和信息发布；负责组织实施全区信访工作的目标管理与考核。</w:t>
      </w:r>
      <w:r>
        <w:rPr>
          <w:rFonts w:hint="eastAsia" w:ascii="仿宋_GB2312" w:hAnsi="仿宋" w:eastAsia="仿宋_GB2312"/>
          <w:sz w:val="32"/>
          <w:szCs w:val="32"/>
          <w:lang w:val="en-US" w:eastAsia="zh-CN"/>
        </w:rPr>
        <w:t xml:space="preserve">     </w:t>
      </w:r>
    </w:p>
    <w:p>
      <w:pPr>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5</w:t>
      </w:r>
      <w:r>
        <w:rPr>
          <w:rFonts w:hint="eastAsia" w:ascii="仿宋_GB2312" w:hAnsi="仿宋" w:eastAsia="仿宋_GB2312"/>
          <w:sz w:val="32"/>
          <w:szCs w:val="32"/>
        </w:rPr>
        <w:t>）了解并掌握全区信访工作队伍建设情况；组织信访干部的培训；指导信访部门办公自动化建设。</w:t>
      </w:r>
    </w:p>
    <w:p>
      <w:pPr>
        <w:snapToGrid w:val="0"/>
        <w:spacing w:line="360" w:lineRule="auto"/>
        <w:ind w:firstLine="640" w:firstLineChars="200"/>
        <w:rPr>
          <w:rFonts w:hint="eastAsia" w:ascii="仿宋_GB2312" w:hAnsi="仿宋_GB2312"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6</w:t>
      </w:r>
      <w:r>
        <w:rPr>
          <w:rFonts w:hint="eastAsia" w:ascii="仿宋_GB2312" w:hAnsi="仿宋" w:eastAsia="仿宋_GB2312"/>
          <w:sz w:val="32"/>
          <w:szCs w:val="32"/>
        </w:rPr>
        <w:t>）承办区委、区政府和市信访局交办的其他事项。</w:t>
      </w: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10"/>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000"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w:t>
            </w:r>
          </w:p>
        </w:tc>
        <w:tc>
          <w:tcPr>
            <w:tcW w:w="4769" w:type="dxa"/>
            <w:shd w:val="clear" w:color="auto" w:fill="auto"/>
            <w:noWrap w:val="0"/>
            <w:vAlign w:val="top"/>
          </w:tcPr>
          <w:p>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中共景德镇市昌江区委员会信访局</w:t>
            </w:r>
          </w:p>
        </w:tc>
        <w:tc>
          <w:tcPr>
            <w:tcW w:w="2348" w:type="dxa"/>
            <w:shd w:val="clear" w:color="auto" w:fill="auto"/>
            <w:noWrap w:val="0"/>
            <w:vAlign w:val="top"/>
          </w:tcPr>
          <w:p>
            <w:pPr>
              <w:jc w:val="left"/>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yellow"/>
              </w:rPr>
            </w:pP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p>
        </w:tc>
        <w:tc>
          <w:tcPr>
            <w:tcW w:w="2348" w:type="dxa"/>
            <w:shd w:val="clear" w:color="auto" w:fill="auto"/>
            <w:noWrap w:val="0"/>
            <w:vAlign w:val="top"/>
          </w:tcPr>
          <w:p>
            <w:pPr>
              <w:jc w:val="left"/>
              <w:rPr>
                <w:rFonts w:hint="eastAsia" w:ascii="仿宋_GB2312" w:hAnsi="仿宋_GB2312" w:eastAsia="仿宋_GB2312"/>
                <w:sz w:val="30"/>
                <w:szCs w:val="3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yellow"/>
              </w:rPr>
            </w:pP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p>
        </w:tc>
        <w:tc>
          <w:tcPr>
            <w:tcW w:w="2348" w:type="dxa"/>
            <w:shd w:val="clear" w:color="auto" w:fill="auto"/>
            <w:noWrap w:val="0"/>
            <w:vAlign w:val="top"/>
          </w:tcPr>
          <w:p>
            <w:pPr>
              <w:jc w:val="left"/>
              <w:rPr>
                <w:rFonts w:hint="eastAsia" w:ascii="仿宋_GB2312" w:hAnsi="仿宋_GB2312" w:eastAsia="仿宋_GB2312"/>
                <w:sz w:val="30"/>
                <w:szCs w:val="30"/>
                <w:highlight w:val="yellow"/>
              </w:rPr>
            </w:pPr>
          </w:p>
        </w:tc>
      </w:tr>
    </w:tbl>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0"/>
          <w:szCs w:val="30"/>
          <w:highlight w:val="none"/>
          <w:lang w:val="en-US" w:eastAsia="zh-CN"/>
        </w:rPr>
        <w:t>中共景德镇市昌江区委员会信访局</w:t>
      </w:r>
      <w:r>
        <w:rPr>
          <w:rFonts w:hint="eastAsia" w:ascii="仿宋_GB2312" w:hAnsi="仿宋_GB2312" w:eastAsia="仿宋_GB2312"/>
          <w:sz w:val="32"/>
          <w:szCs w:val="32"/>
          <w:lang w:val="en-US" w:eastAsia="zh-CN"/>
        </w:rPr>
        <w:t>设立3</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Fonts w:hint="eastAsia" w:ascii="仿宋_GB2312" w:hAnsi="仿宋_GB2312" w:eastAsia="仿宋_GB2312"/>
          <w:sz w:val="32"/>
          <w:szCs w:val="32"/>
        </w:rPr>
        <w:t>：</w:t>
      </w:r>
      <w:r>
        <w:rPr>
          <w:rFonts w:hint="eastAsia" w:ascii="仿宋_GB2312" w:hAnsi="Calibri" w:eastAsia="仿宋_GB2312"/>
          <w:sz w:val="32"/>
          <w:szCs w:val="30"/>
        </w:rPr>
        <w:t>办公室、接访室、信访督查室</w:t>
      </w:r>
      <w:r>
        <w:rPr>
          <w:rFonts w:hint="eastAsia" w:ascii="仿宋_GB2312" w:hAnsi="仿宋_GB2312" w:eastAsia="仿宋_GB2312"/>
          <w:sz w:val="32"/>
          <w:szCs w:val="32"/>
          <w:lang w:val="en-US" w:eastAsia="zh-CN"/>
        </w:rPr>
        <w:t>。</w:t>
      </w:r>
    </w:p>
    <w:p>
      <w:pPr>
        <w:ind w:firstLine="640" w:firstLineChars="200"/>
        <w:jc w:val="left"/>
        <w:rPr>
          <w:rFonts w:hint="eastAsia"/>
        </w:rPr>
      </w:pPr>
      <w:r>
        <w:rPr>
          <w:rFonts w:hint="eastAsia" w:ascii="仿宋_GB2312" w:hAnsi="仿宋_GB2312" w:eastAsia="仿宋_GB2312"/>
          <w:sz w:val="32"/>
          <w:szCs w:val="32"/>
        </w:rPr>
        <w:t>本部门年末在职人员2人，离退休人员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人（不含由养老保险基金发放养老金的离退休人员），其他人员6人。由养老保险基金发放养老金的离退休人员0人。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部门：中共景德镇市昌江区委员会信访局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pPr>
              <w:jc w:val="center"/>
            </w:pPr>
            <w:r>
              <w:rPr>
                <w:rFonts w:ascii="宋体" w:hAnsi="宋体" w:eastAsia="宋体" w:cs="宋体"/>
                <w:b w:val="0"/>
                <w:i w:val="0"/>
                <w:color w:val="000000"/>
                <w:sz w:val="14"/>
              </w:rPr>
              <w:t>收入</w:t>
            </w:r>
          </w:p>
        </w:tc>
        <w:tc>
          <w:tcPr>
            <w:tcW w:w="2340"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160.32</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pPr>
              <w:jc w:val="right"/>
            </w:pPr>
            <w:r>
              <w:rPr>
                <w:rFonts w:ascii="宋体" w:hAnsi="宋体" w:eastAsia="宋体" w:cs="宋体"/>
                <w:b w:val="0"/>
                <w:i w:val="0"/>
                <w:color w:val="000000"/>
                <w:sz w:val="14"/>
              </w:rPr>
              <w:t>153.65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pPr>
              <w:jc w:val="right"/>
            </w:pPr>
            <w:r>
              <w:rPr>
                <w:rFonts w:ascii="宋体" w:hAnsi="宋体" w:eastAsia="宋体" w:cs="宋体"/>
                <w:b w:val="0"/>
                <w:i w:val="0"/>
                <w:color w:val="000000"/>
                <w:sz w:val="14"/>
              </w:rPr>
              <w:t>0.00</w:t>
            </w: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2.95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pPr>
              <w:jc w:val="right"/>
            </w:pPr>
            <w:r>
              <w:rPr>
                <w:rFonts w:ascii="宋体" w:hAnsi="宋体" w:eastAsia="宋体" w:cs="宋体"/>
                <w:b w:val="0"/>
                <w:i w:val="0"/>
                <w:color w:val="000000"/>
                <w:sz w:val="14"/>
              </w:rPr>
              <w:t>1.10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2.62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160.33</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160.32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pPr>
              <w:jc w:val="right"/>
            </w:pPr>
            <w:r>
              <w:rPr>
                <w:rFonts w:ascii="宋体" w:hAnsi="宋体" w:eastAsia="宋体" w:cs="宋体"/>
                <w:b w:val="0"/>
                <w:i w:val="0"/>
                <w:color w:val="000000"/>
                <w:sz w:val="14"/>
              </w:rPr>
              <w:t>1.00</w:t>
            </w: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pPr>
              <w:jc w:val="right"/>
            </w:pPr>
            <w:r>
              <w:rPr>
                <w:rFonts w:ascii="宋体" w:hAnsi="宋体" w:eastAsia="宋体" w:cs="宋体"/>
                <w:b w:val="0"/>
                <w:i w:val="0"/>
                <w:color w:val="000000"/>
                <w:sz w:val="14"/>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161.32</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161.32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部门：中共景德镇市昌江区委员会信访局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160.33</w:t>
            </w:r>
          </w:p>
        </w:tc>
        <w:tc>
          <w:tcPr>
            <w:tcW w:w="900" w:type="dxa"/>
            <w:vAlign w:val="center"/>
          </w:tcPr>
          <w:p>
            <w:pPr>
              <w:jc w:val="right"/>
            </w:pPr>
            <w:r>
              <w:rPr>
                <w:rFonts w:ascii="宋体" w:hAnsi="宋体" w:eastAsia="宋体" w:cs="宋体"/>
                <w:b w:val="0"/>
                <w:i w:val="0"/>
                <w:color w:val="000000"/>
                <w:sz w:val="9"/>
              </w:rPr>
              <w:t>160.32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w:t>
            </w:r>
          </w:p>
        </w:tc>
        <w:tc>
          <w:tcPr>
            <w:tcW w:w="1420" w:type="dxa"/>
            <w:vAlign w:val="center"/>
          </w:tcPr>
          <w:p>
            <w:pPr>
              <w:jc w:val="left"/>
            </w:pPr>
            <w:r>
              <w:rPr>
                <w:rFonts w:ascii="宋体" w:hAnsi="宋体" w:eastAsia="宋体" w:cs="宋体"/>
                <w:b w:val="0"/>
                <w:i w:val="0"/>
                <w:color w:val="000000"/>
                <w:sz w:val="9"/>
              </w:rPr>
              <w:t>一般公共服务支出</w:t>
            </w:r>
          </w:p>
        </w:tc>
        <w:tc>
          <w:tcPr>
            <w:tcW w:w="860" w:type="dxa"/>
            <w:vAlign w:val="center"/>
          </w:tcPr>
          <w:p>
            <w:pPr>
              <w:jc w:val="right"/>
            </w:pPr>
            <w:r>
              <w:rPr>
                <w:rFonts w:ascii="宋体" w:hAnsi="宋体" w:eastAsia="宋体" w:cs="宋体"/>
                <w:b w:val="0"/>
                <w:i w:val="0"/>
                <w:color w:val="000000"/>
                <w:sz w:val="9"/>
              </w:rPr>
              <w:t>153.65</w:t>
            </w:r>
          </w:p>
        </w:tc>
        <w:tc>
          <w:tcPr>
            <w:tcW w:w="900" w:type="dxa"/>
            <w:vAlign w:val="center"/>
          </w:tcPr>
          <w:p>
            <w:pPr>
              <w:jc w:val="right"/>
            </w:pPr>
            <w:r>
              <w:rPr>
                <w:rFonts w:ascii="宋体" w:hAnsi="宋体" w:eastAsia="宋体" w:cs="宋体"/>
                <w:b w:val="0"/>
                <w:i w:val="0"/>
                <w:color w:val="000000"/>
                <w:sz w:val="9"/>
              </w:rPr>
              <w:t>153.65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20103</w:t>
            </w:r>
          </w:p>
        </w:tc>
        <w:tc>
          <w:tcPr>
            <w:tcW w:w="1420" w:type="dxa"/>
            <w:vAlign w:val="center"/>
          </w:tcPr>
          <w:p>
            <w:pPr>
              <w:jc w:val="left"/>
            </w:pPr>
            <w:r>
              <w:rPr>
                <w:rFonts w:ascii="宋体" w:hAnsi="宋体" w:eastAsia="宋体" w:cs="宋体"/>
                <w:b w:val="0"/>
                <w:i w:val="0"/>
                <w:color w:val="000000"/>
                <w:sz w:val="9"/>
              </w:rPr>
              <w:t>政府办公厅（室）及相关机构事务</w:t>
            </w:r>
          </w:p>
        </w:tc>
        <w:tc>
          <w:tcPr>
            <w:tcW w:w="860" w:type="dxa"/>
            <w:vAlign w:val="center"/>
          </w:tcPr>
          <w:p>
            <w:pPr>
              <w:jc w:val="right"/>
            </w:pPr>
            <w:r>
              <w:rPr>
                <w:rFonts w:ascii="宋体" w:hAnsi="宋体" w:eastAsia="宋体" w:cs="宋体"/>
                <w:b w:val="0"/>
                <w:i w:val="0"/>
                <w:color w:val="000000"/>
                <w:sz w:val="9"/>
              </w:rPr>
              <w:t>115.65</w:t>
            </w:r>
          </w:p>
        </w:tc>
        <w:tc>
          <w:tcPr>
            <w:tcW w:w="900" w:type="dxa"/>
            <w:vAlign w:val="center"/>
          </w:tcPr>
          <w:p>
            <w:pPr>
              <w:jc w:val="right"/>
            </w:pPr>
            <w:r>
              <w:rPr>
                <w:rFonts w:ascii="宋体" w:hAnsi="宋体" w:eastAsia="宋体" w:cs="宋体"/>
                <w:b w:val="0"/>
                <w:i w:val="0"/>
                <w:color w:val="000000"/>
                <w:sz w:val="9"/>
              </w:rPr>
              <w:t>115.65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2010301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8.01</w:t>
            </w:r>
          </w:p>
        </w:tc>
        <w:tc>
          <w:tcPr>
            <w:tcW w:w="900" w:type="dxa"/>
            <w:vAlign w:val="center"/>
          </w:tcPr>
          <w:p>
            <w:pPr>
              <w:jc w:val="right"/>
            </w:pPr>
            <w:r>
              <w:rPr>
                <w:rFonts w:ascii="宋体" w:hAnsi="宋体" w:eastAsia="宋体" w:cs="宋体"/>
                <w:b w:val="0"/>
                <w:i w:val="0"/>
                <w:color w:val="000000"/>
                <w:sz w:val="9"/>
              </w:rPr>
              <w:t>8.01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2010302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67.20</w:t>
            </w:r>
          </w:p>
        </w:tc>
        <w:tc>
          <w:tcPr>
            <w:tcW w:w="900" w:type="dxa"/>
            <w:vAlign w:val="center"/>
          </w:tcPr>
          <w:p>
            <w:pPr>
              <w:jc w:val="right"/>
            </w:pPr>
            <w:r>
              <w:rPr>
                <w:rFonts w:ascii="宋体" w:hAnsi="宋体" w:eastAsia="宋体" w:cs="宋体"/>
                <w:b w:val="0"/>
                <w:i w:val="0"/>
                <w:color w:val="000000"/>
                <w:sz w:val="9"/>
              </w:rPr>
              <w:t>67.20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2010308</w:t>
            </w:r>
          </w:p>
        </w:tc>
        <w:tc>
          <w:tcPr>
            <w:tcW w:w="1420" w:type="dxa"/>
            <w:vAlign w:val="center"/>
          </w:tcPr>
          <w:p>
            <w:pPr>
              <w:jc w:val="left"/>
            </w:pPr>
            <w:r>
              <w:rPr>
                <w:rFonts w:ascii="宋体" w:hAnsi="宋体" w:eastAsia="宋体" w:cs="宋体"/>
                <w:b w:val="0"/>
                <w:i w:val="0"/>
                <w:color w:val="000000"/>
                <w:sz w:val="9"/>
              </w:rPr>
              <w:t>信访事务</w:t>
            </w:r>
          </w:p>
        </w:tc>
        <w:tc>
          <w:tcPr>
            <w:tcW w:w="860" w:type="dxa"/>
            <w:vAlign w:val="center"/>
          </w:tcPr>
          <w:p>
            <w:pPr>
              <w:jc w:val="right"/>
            </w:pPr>
            <w:r>
              <w:rPr>
                <w:rFonts w:ascii="宋体" w:hAnsi="宋体" w:eastAsia="宋体" w:cs="宋体"/>
                <w:b w:val="0"/>
                <w:i w:val="0"/>
                <w:color w:val="000000"/>
                <w:sz w:val="9"/>
              </w:rPr>
              <w:t>40.44</w:t>
            </w:r>
          </w:p>
        </w:tc>
        <w:tc>
          <w:tcPr>
            <w:tcW w:w="900" w:type="dxa"/>
            <w:vAlign w:val="center"/>
          </w:tcPr>
          <w:p>
            <w:pPr>
              <w:jc w:val="right"/>
            </w:pPr>
            <w:r>
              <w:rPr>
                <w:rFonts w:ascii="宋体" w:hAnsi="宋体" w:eastAsia="宋体" w:cs="宋体"/>
                <w:b w:val="0"/>
                <w:i w:val="0"/>
                <w:color w:val="000000"/>
                <w:sz w:val="9"/>
              </w:rPr>
              <w:t>40.44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20136</w:t>
            </w:r>
          </w:p>
        </w:tc>
        <w:tc>
          <w:tcPr>
            <w:tcW w:w="1420" w:type="dxa"/>
            <w:vAlign w:val="center"/>
          </w:tcPr>
          <w:p>
            <w:pPr>
              <w:jc w:val="left"/>
            </w:pPr>
            <w:r>
              <w:rPr>
                <w:rFonts w:ascii="宋体" w:hAnsi="宋体" w:eastAsia="宋体" w:cs="宋体"/>
                <w:b w:val="0"/>
                <w:i w:val="0"/>
                <w:color w:val="000000"/>
                <w:sz w:val="9"/>
              </w:rPr>
              <w:t>其他共产党事务支出</w:t>
            </w:r>
          </w:p>
        </w:tc>
        <w:tc>
          <w:tcPr>
            <w:tcW w:w="860" w:type="dxa"/>
            <w:vAlign w:val="center"/>
          </w:tcPr>
          <w:p>
            <w:pPr>
              <w:jc w:val="right"/>
            </w:pPr>
            <w:r>
              <w:rPr>
                <w:rFonts w:ascii="宋体" w:hAnsi="宋体" w:eastAsia="宋体" w:cs="宋体"/>
                <w:b w:val="0"/>
                <w:i w:val="0"/>
                <w:color w:val="000000"/>
                <w:sz w:val="9"/>
              </w:rPr>
              <w:t>38.00</w:t>
            </w:r>
          </w:p>
        </w:tc>
        <w:tc>
          <w:tcPr>
            <w:tcW w:w="900" w:type="dxa"/>
            <w:vAlign w:val="center"/>
          </w:tcPr>
          <w:p>
            <w:pPr>
              <w:jc w:val="right"/>
            </w:pPr>
            <w:r>
              <w:rPr>
                <w:rFonts w:ascii="宋体" w:hAnsi="宋体" w:eastAsia="宋体" w:cs="宋体"/>
                <w:b w:val="0"/>
                <w:i w:val="0"/>
                <w:color w:val="000000"/>
                <w:sz w:val="9"/>
              </w:rPr>
              <w:t>38.00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2013699</w:t>
            </w:r>
          </w:p>
        </w:tc>
        <w:tc>
          <w:tcPr>
            <w:tcW w:w="1420" w:type="dxa"/>
            <w:vAlign w:val="center"/>
          </w:tcPr>
          <w:p>
            <w:pPr>
              <w:jc w:val="left"/>
            </w:pPr>
            <w:r>
              <w:rPr>
                <w:rFonts w:ascii="宋体" w:hAnsi="宋体" w:eastAsia="宋体" w:cs="宋体"/>
                <w:b w:val="0"/>
                <w:i w:val="0"/>
                <w:color w:val="000000"/>
                <w:sz w:val="9"/>
              </w:rPr>
              <w:t>其他共产党事务支出</w:t>
            </w:r>
          </w:p>
        </w:tc>
        <w:tc>
          <w:tcPr>
            <w:tcW w:w="860" w:type="dxa"/>
            <w:vAlign w:val="center"/>
          </w:tcPr>
          <w:p>
            <w:pPr>
              <w:jc w:val="right"/>
            </w:pPr>
            <w:r>
              <w:rPr>
                <w:rFonts w:ascii="宋体" w:hAnsi="宋体" w:eastAsia="宋体" w:cs="宋体"/>
                <w:b w:val="0"/>
                <w:i w:val="0"/>
                <w:color w:val="000000"/>
                <w:sz w:val="9"/>
              </w:rPr>
              <w:t>38.00</w:t>
            </w:r>
          </w:p>
        </w:tc>
        <w:tc>
          <w:tcPr>
            <w:tcW w:w="900" w:type="dxa"/>
            <w:vAlign w:val="center"/>
          </w:tcPr>
          <w:p>
            <w:pPr>
              <w:jc w:val="right"/>
            </w:pPr>
            <w:r>
              <w:rPr>
                <w:rFonts w:ascii="宋体" w:hAnsi="宋体" w:eastAsia="宋体" w:cs="宋体"/>
                <w:b w:val="0"/>
                <w:i w:val="0"/>
                <w:color w:val="000000"/>
                <w:sz w:val="9"/>
              </w:rPr>
              <w:t>38.00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2.95</w:t>
            </w:r>
          </w:p>
        </w:tc>
        <w:tc>
          <w:tcPr>
            <w:tcW w:w="900" w:type="dxa"/>
            <w:vAlign w:val="center"/>
          </w:tcPr>
          <w:p>
            <w:pPr>
              <w:jc w:val="right"/>
            </w:pPr>
            <w:r>
              <w:rPr>
                <w:rFonts w:ascii="宋体" w:hAnsi="宋体" w:eastAsia="宋体" w:cs="宋体"/>
                <w:b w:val="0"/>
                <w:i w:val="0"/>
                <w:color w:val="000000"/>
                <w:sz w:val="9"/>
              </w:rPr>
              <w:t>2.95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2.95</w:t>
            </w:r>
          </w:p>
        </w:tc>
        <w:tc>
          <w:tcPr>
            <w:tcW w:w="900" w:type="dxa"/>
            <w:vAlign w:val="center"/>
          </w:tcPr>
          <w:p>
            <w:pPr>
              <w:jc w:val="right"/>
            </w:pPr>
            <w:r>
              <w:rPr>
                <w:rFonts w:ascii="宋体" w:hAnsi="宋体" w:eastAsia="宋体" w:cs="宋体"/>
                <w:b w:val="0"/>
                <w:i w:val="0"/>
                <w:color w:val="000000"/>
                <w:sz w:val="9"/>
              </w:rPr>
              <w:t>2.95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2.95</w:t>
            </w:r>
          </w:p>
        </w:tc>
        <w:tc>
          <w:tcPr>
            <w:tcW w:w="900" w:type="dxa"/>
            <w:vAlign w:val="center"/>
          </w:tcPr>
          <w:p>
            <w:pPr>
              <w:jc w:val="right"/>
            </w:pPr>
            <w:r>
              <w:rPr>
                <w:rFonts w:ascii="宋体" w:hAnsi="宋体" w:eastAsia="宋体" w:cs="宋体"/>
                <w:b w:val="0"/>
                <w:i w:val="0"/>
                <w:color w:val="000000"/>
                <w:sz w:val="9"/>
              </w:rPr>
              <w:t>2.95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w:t>
            </w:r>
          </w:p>
        </w:tc>
        <w:tc>
          <w:tcPr>
            <w:tcW w:w="1420" w:type="dxa"/>
            <w:vAlign w:val="center"/>
          </w:tcPr>
          <w:p>
            <w:pPr>
              <w:jc w:val="left"/>
            </w:pPr>
            <w:r>
              <w:rPr>
                <w:rFonts w:ascii="宋体" w:hAnsi="宋体" w:eastAsia="宋体" w:cs="宋体"/>
                <w:b w:val="0"/>
                <w:i w:val="0"/>
                <w:color w:val="000000"/>
                <w:sz w:val="9"/>
              </w:rPr>
              <w:t>卫生健康支出</w:t>
            </w:r>
          </w:p>
        </w:tc>
        <w:tc>
          <w:tcPr>
            <w:tcW w:w="860" w:type="dxa"/>
            <w:vAlign w:val="center"/>
          </w:tcPr>
          <w:p>
            <w:pPr>
              <w:jc w:val="right"/>
            </w:pPr>
            <w:r>
              <w:rPr>
                <w:rFonts w:ascii="宋体" w:hAnsi="宋体" w:eastAsia="宋体" w:cs="宋体"/>
                <w:b w:val="0"/>
                <w:i w:val="0"/>
                <w:color w:val="000000"/>
                <w:sz w:val="9"/>
              </w:rPr>
              <w:t>1.10</w:t>
            </w:r>
          </w:p>
        </w:tc>
        <w:tc>
          <w:tcPr>
            <w:tcW w:w="900" w:type="dxa"/>
            <w:vAlign w:val="center"/>
          </w:tcPr>
          <w:p>
            <w:pPr>
              <w:jc w:val="right"/>
            </w:pPr>
            <w:r>
              <w:rPr>
                <w:rFonts w:ascii="宋体" w:hAnsi="宋体" w:eastAsia="宋体" w:cs="宋体"/>
                <w:b w:val="0"/>
                <w:i w:val="0"/>
                <w:color w:val="000000"/>
                <w:sz w:val="9"/>
              </w:rPr>
              <w:t>1.10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w:t>
            </w:r>
          </w:p>
        </w:tc>
        <w:tc>
          <w:tcPr>
            <w:tcW w:w="1420" w:type="dxa"/>
            <w:vAlign w:val="center"/>
          </w:tcPr>
          <w:p>
            <w:pPr>
              <w:jc w:val="left"/>
            </w:pPr>
            <w:r>
              <w:rPr>
                <w:rFonts w:ascii="宋体" w:hAnsi="宋体" w:eastAsia="宋体" w:cs="宋体"/>
                <w:b w:val="0"/>
                <w:i w:val="0"/>
                <w:color w:val="000000"/>
                <w:sz w:val="9"/>
              </w:rPr>
              <w:t>行政事业单位医疗</w:t>
            </w:r>
          </w:p>
        </w:tc>
        <w:tc>
          <w:tcPr>
            <w:tcW w:w="860" w:type="dxa"/>
            <w:vAlign w:val="center"/>
          </w:tcPr>
          <w:p>
            <w:pPr>
              <w:jc w:val="right"/>
            </w:pPr>
            <w:r>
              <w:rPr>
                <w:rFonts w:ascii="宋体" w:hAnsi="宋体" w:eastAsia="宋体" w:cs="宋体"/>
                <w:b w:val="0"/>
                <w:i w:val="0"/>
                <w:color w:val="000000"/>
                <w:sz w:val="9"/>
              </w:rPr>
              <w:t>1.10</w:t>
            </w:r>
          </w:p>
        </w:tc>
        <w:tc>
          <w:tcPr>
            <w:tcW w:w="900" w:type="dxa"/>
            <w:vAlign w:val="center"/>
          </w:tcPr>
          <w:p>
            <w:pPr>
              <w:jc w:val="right"/>
            </w:pPr>
            <w:r>
              <w:rPr>
                <w:rFonts w:ascii="宋体" w:hAnsi="宋体" w:eastAsia="宋体" w:cs="宋体"/>
                <w:b w:val="0"/>
                <w:i w:val="0"/>
                <w:color w:val="000000"/>
                <w:sz w:val="9"/>
              </w:rPr>
              <w:t>1.10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2101101</w:t>
            </w:r>
          </w:p>
        </w:tc>
        <w:tc>
          <w:tcPr>
            <w:tcW w:w="1420" w:type="dxa"/>
            <w:vAlign w:val="center"/>
          </w:tcPr>
          <w:p>
            <w:pPr>
              <w:jc w:val="left"/>
            </w:pPr>
            <w:r>
              <w:rPr>
                <w:rFonts w:ascii="宋体" w:hAnsi="宋体" w:eastAsia="宋体" w:cs="宋体"/>
                <w:b w:val="0"/>
                <w:i w:val="0"/>
                <w:color w:val="000000"/>
                <w:sz w:val="9"/>
              </w:rPr>
              <w:t>行政单位医疗</w:t>
            </w:r>
          </w:p>
        </w:tc>
        <w:tc>
          <w:tcPr>
            <w:tcW w:w="860" w:type="dxa"/>
            <w:vAlign w:val="center"/>
          </w:tcPr>
          <w:p>
            <w:pPr>
              <w:jc w:val="right"/>
            </w:pPr>
            <w:r>
              <w:rPr>
                <w:rFonts w:ascii="宋体" w:hAnsi="宋体" w:eastAsia="宋体" w:cs="宋体"/>
                <w:b w:val="0"/>
                <w:i w:val="0"/>
                <w:color w:val="000000"/>
                <w:sz w:val="9"/>
              </w:rPr>
              <w:t>1.03</w:t>
            </w:r>
          </w:p>
        </w:tc>
        <w:tc>
          <w:tcPr>
            <w:tcW w:w="900" w:type="dxa"/>
            <w:vAlign w:val="center"/>
          </w:tcPr>
          <w:p>
            <w:pPr>
              <w:jc w:val="right"/>
            </w:pPr>
            <w:r>
              <w:rPr>
                <w:rFonts w:ascii="宋体" w:hAnsi="宋体" w:eastAsia="宋体" w:cs="宋体"/>
                <w:b w:val="0"/>
                <w:i w:val="0"/>
                <w:color w:val="000000"/>
                <w:sz w:val="9"/>
              </w:rPr>
              <w:t>1.03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2101199</w:t>
            </w:r>
          </w:p>
        </w:tc>
        <w:tc>
          <w:tcPr>
            <w:tcW w:w="1420" w:type="dxa"/>
            <w:vAlign w:val="center"/>
          </w:tcPr>
          <w:p>
            <w:pPr>
              <w:jc w:val="left"/>
            </w:pPr>
            <w:r>
              <w:rPr>
                <w:rFonts w:ascii="宋体" w:hAnsi="宋体" w:eastAsia="宋体" w:cs="宋体"/>
                <w:b w:val="0"/>
                <w:i w:val="0"/>
                <w:color w:val="000000"/>
                <w:sz w:val="9"/>
              </w:rPr>
              <w:t>其他行政事业单位医疗支出</w:t>
            </w:r>
          </w:p>
        </w:tc>
        <w:tc>
          <w:tcPr>
            <w:tcW w:w="860" w:type="dxa"/>
            <w:vAlign w:val="center"/>
          </w:tcPr>
          <w:p>
            <w:pPr>
              <w:jc w:val="right"/>
            </w:pPr>
            <w:r>
              <w:rPr>
                <w:rFonts w:ascii="宋体" w:hAnsi="宋体" w:eastAsia="宋体" w:cs="宋体"/>
                <w:b w:val="0"/>
                <w:i w:val="0"/>
                <w:color w:val="000000"/>
                <w:sz w:val="9"/>
              </w:rPr>
              <w:t>0.07</w:t>
            </w:r>
          </w:p>
        </w:tc>
        <w:tc>
          <w:tcPr>
            <w:tcW w:w="900" w:type="dxa"/>
            <w:vAlign w:val="center"/>
          </w:tcPr>
          <w:p>
            <w:pPr>
              <w:jc w:val="right"/>
            </w:pPr>
            <w:r>
              <w:rPr>
                <w:rFonts w:ascii="宋体" w:hAnsi="宋体" w:eastAsia="宋体" w:cs="宋体"/>
                <w:b w:val="0"/>
                <w:i w:val="0"/>
                <w:color w:val="000000"/>
                <w:sz w:val="9"/>
              </w:rPr>
              <w:t>0.07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2.62</w:t>
            </w:r>
          </w:p>
        </w:tc>
        <w:tc>
          <w:tcPr>
            <w:tcW w:w="900" w:type="dxa"/>
            <w:vAlign w:val="center"/>
          </w:tcPr>
          <w:p>
            <w:pPr>
              <w:jc w:val="right"/>
            </w:pPr>
            <w:r>
              <w:rPr>
                <w:rFonts w:ascii="宋体" w:hAnsi="宋体" w:eastAsia="宋体" w:cs="宋体"/>
                <w:b w:val="0"/>
                <w:i w:val="0"/>
                <w:color w:val="000000"/>
                <w:sz w:val="9"/>
              </w:rPr>
              <w:t>2.62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2.62</w:t>
            </w:r>
          </w:p>
        </w:tc>
        <w:tc>
          <w:tcPr>
            <w:tcW w:w="900" w:type="dxa"/>
            <w:vAlign w:val="center"/>
          </w:tcPr>
          <w:p>
            <w:pPr>
              <w:jc w:val="right"/>
            </w:pPr>
            <w:r>
              <w:rPr>
                <w:rFonts w:ascii="宋体" w:hAnsi="宋体" w:eastAsia="宋体" w:cs="宋体"/>
                <w:b w:val="0"/>
                <w:i w:val="0"/>
                <w:color w:val="000000"/>
                <w:sz w:val="9"/>
              </w:rPr>
              <w:t>2.62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2.62</w:t>
            </w:r>
          </w:p>
        </w:tc>
        <w:tc>
          <w:tcPr>
            <w:tcW w:w="900" w:type="dxa"/>
            <w:vAlign w:val="center"/>
          </w:tcPr>
          <w:p>
            <w:pPr>
              <w:jc w:val="right"/>
            </w:pPr>
            <w:r>
              <w:rPr>
                <w:rFonts w:ascii="宋体" w:hAnsi="宋体" w:eastAsia="宋体" w:cs="宋体"/>
                <w:b w:val="0"/>
                <w:i w:val="0"/>
                <w:color w:val="000000"/>
                <w:sz w:val="9"/>
              </w:rPr>
              <w:t>2.62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部门：中共景德镇市昌江区委员会信访局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160.32</w:t>
            </w:r>
          </w:p>
        </w:tc>
        <w:tc>
          <w:tcPr>
            <w:tcW w:w="1000" w:type="dxa"/>
            <w:vAlign w:val="center"/>
          </w:tcPr>
          <w:p>
            <w:pPr>
              <w:jc w:val="right"/>
            </w:pPr>
            <w:r>
              <w:rPr>
                <w:rFonts w:ascii="宋体" w:hAnsi="宋体" w:eastAsia="宋体" w:cs="宋体"/>
                <w:b w:val="0"/>
                <w:i w:val="0"/>
                <w:color w:val="000000"/>
                <w:sz w:val="11"/>
              </w:rPr>
              <w:t>50.82</w:t>
            </w:r>
          </w:p>
        </w:tc>
        <w:tc>
          <w:tcPr>
            <w:tcW w:w="980" w:type="dxa"/>
            <w:vAlign w:val="center"/>
          </w:tcPr>
          <w:p>
            <w:pPr>
              <w:jc w:val="right"/>
            </w:pPr>
            <w:r>
              <w:rPr>
                <w:rFonts w:ascii="宋体" w:hAnsi="宋体" w:eastAsia="宋体" w:cs="宋体"/>
                <w:b w:val="0"/>
                <w:i w:val="0"/>
                <w:color w:val="000000"/>
                <w:sz w:val="11"/>
              </w:rPr>
              <w:t>109.50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w:t>
            </w:r>
          </w:p>
        </w:tc>
        <w:tc>
          <w:tcPr>
            <w:tcW w:w="1760" w:type="dxa"/>
            <w:vAlign w:val="center"/>
          </w:tcPr>
          <w:p>
            <w:pPr>
              <w:jc w:val="left"/>
            </w:pPr>
            <w:r>
              <w:rPr>
                <w:rFonts w:ascii="宋体" w:hAnsi="宋体" w:eastAsia="宋体" w:cs="宋体"/>
                <w:b w:val="0"/>
                <w:i w:val="0"/>
                <w:color w:val="000000"/>
                <w:sz w:val="11"/>
              </w:rPr>
              <w:t>一般公共服务支出</w:t>
            </w:r>
          </w:p>
        </w:tc>
        <w:tc>
          <w:tcPr>
            <w:tcW w:w="940" w:type="dxa"/>
            <w:vAlign w:val="center"/>
          </w:tcPr>
          <w:p>
            <w:pPr>
              <w:jc w:val="right"/>
            </w:pPr>
            <w:r>
              <w:rPr>
                <w:rFonts w:ascii="宋体" w:hAnsi="宋体" w:eastAsia="宋体" w:cs="宋体"/>
                <w:b w:val="0"/>
                <w:i w:val="0"/>
                <w:color w:val="000000"/>
                <w:sz w:val="11"/>
              </w:rPr>
              <w:t>153.65</w:t>
            </w:r>
          </w:p>
        </w:tc>
        <w:tc>
          <w:tcPr>
            <w:tcW w:w="1000" w:type="dxa"/>
            <w:vAlign w:val="center"/>
          </w:tcPr>
          <w:p>
            <w:pPr>
              <w:jc w:val="right"/>
            </w:pPr>
            <w:r>
              <w:rPr>
                <w:rFonts w:ascii="宋体" w:hAnsi="宋体" w:eastAsia="宋体" w:cs="宋体"/>
                <w:b w:val="0"/>
                <w:i w:val="0"/>
                <w:color w:val="000000"/>
                <w:sz w:val="11"/>
              </w:rPr>
              <w:t>44.15</w:t>
            </w:r>
          </w:p>
        </w:tc>
        <w:tc>
          <w:tcPr>
            <w:tcW w:w="980" w:type="dxa"/>
            <w:vAlign w:val="center"/>
          </w:tcPr>
          <w:p>
            <w:pPr>
              <w:jc w:val="right"/>
            </w:pPr>
            <w:r>
              <w:rPr>
                <w:rFonts w:ascii="宋体" w:hAnsi="宋体" w:eastAsia="宋体" w:cs="宋体"/>
                <w:b w:val="0"/>
                <w:i w:val="0"/>
                <w:color w:val="000000"/>
                <w:sz w:val="11"/>
              </w:rPr>
              <w:t>109.50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20103</w:t>
            </w:r>
          </w:p>
        </w:tc>
        <w:tc>
          <w:tcPr>
            <w:tcW w:w="1760" w:type="dxa"/>
            <w:vAlign w:val="center"/>
          </w:tcPr>
          <w:p>
            <w:pPr>
              <w:jc w:val="left"/>
            </w:pPr>
            <w:r>
              <w:rPr>
                <w:rFonts w:ascii="宋体" w:hAnsi="宋体" w:eastAsia="宋体" w:cs="宋体"/>
                <w:b w:val="0"/>
                <w:i w:val="0"/>
                <w:color w:val="000000"/>
                <w:sz w:val="11"/>
              </w:rPr>
              <w:t>政府办公厅（室）及相关机构事务</w:t>
            </w:r>
          </w:p>
        </w:tc>
        <w:tc>
          <w:tcPr>
            <w:tcW w:w="940" w:type="dxa"/>
            <w:vAlign w:val="center"/>
          </w:tcPr>
          <w:p>
            <w:pPr>
              <w:jc w:val="right"/>
            </w:pPr>
            <w:r>
              <w:rPr>
                <w:rFonts w:ascii="宋体" w:hAnsi="宋体" w:eastAsia="宋体" w:cs="宋体"/>
                <w:b w:val="0"/>
                <w:i w:val="0"/>
                <w:color w:val="000000"/>
                <w:sz w:val="11"/>
              </w:rPr>
              <w:t>115.65</w:t>
            </w:r>
          </w:p>
        </w:tc>
        <w:tc>
          <w:tcPr>
            <w:tcW w:w="1000" w:type="dxa"/>
            <w:vAlign w:val="center"/>
          </w:tcPr>
          <w:p>
            <w:pPr>
              <w:jc w:val="right"/>
            </w:pPr>
            <w:r>
              <w:rPr>
                <w:rFonts w:ascii="宋体" w:hAnsi="宋体" w:eastAsia="宋体" w:cs="宋体"/>
                <w:b w:val="0"/>
                <w:i w:val="0"/>
                <w:color w:val="000000"/>
                <w:sz w:val="11"/>
              </w:rPr>
              <w:t>44.15</w:t>
            </w:r>
          </w:p>
        </w:tc>
        <w:tc>
          <w:tcPr>
            <w:tcW w:w="980" w:type="dxa"/>
            <w:vAlign w:val="center"/>
          </w:tcPr>
          <w:p>
            <w:pPr>
              <w:jc w:val="right"/>
            </w:pPr>
            <w:r>
              <w:rPr>
                <w:rFonts w:ascii="宋体" w:hAnsi="宋体" w:eastAsia="宋体" w:cs="宋体"/>
                <w:b w:val="0"/>
                <w:i w:val="0"/>
                <w:color w:val="000000"/>
                <w:sz w:val="11"/>
              </w:rPr>
              <w:t>71.50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2010301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8.01</w:t>
            </w:r>
          </w:p>
        </w:tc>
        <w:tc>
          <w:tcPr>
            <w:tcW w:w="1000" w:type="dxa"/>
            <w:vAlign w:val="center"/>
          </w:tcPr>
          <w:p>
            <w:pPr>
              <w:jc w:val="right"/>
            </w:pPr>
            <w:r>
              <w:rPr>
                <w:rFonts w:ascii="宋体" w:hAnsi="宋体" w:eastAsia="宋体" w:cs="宋体"/>
                <w:b w:val="0"/>
                <w:i w:val="0"/>
                <w:color w:val="000000"/>
                <w:sz w:val="11"/>
              </w:rPr>
              <w:t>8.01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2010302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67.20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67.20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2010308</w:t>
            </w:r>
          </w:p>
        </w:tc>
        <w:tc>
          <w:tcPr>
            <w:tcW w:w="1760" w:type="dxa"/>
            <w:vAlign w:val="center"/>
          </w:tcPr>
          <w:p>
            <w:pPr>
              <w:jc w:val="left"/>
            </w:pPr>
            <w:r>
              <w:rPr>
                <w:rFonts w:ascii="宋体" w:hAnsi="宋体" w:eastAsia="宋体" w:cs="宋体"/>
                <w:b w:val="0"/>
                <w:i w:val="0"/>
                <w:color w:val="000000"/>
                <w:sz w:val="11"/>
              </w:rPr>
              <w:t>信访事务</w:t>
            </w:r>
          </w:p>
        </w:tc>
        <w:tc>
          <w:tcPr>
            <w:tcW w:w="940" w:type="dxa"/>
            <w:vAlign w:val="center"/>
          </w:tcPr>
          <w:p>
            <w:pPr>
              <w:jc w:val="right"/>
            </w:pPr>
            <w:r>
              <w:rPr>
                <w:rFonts w:ascii="宋体" w:hAnsi="宋体" w:eastAsia="宋体" w:cs="宋体"/>
                <w:b w:val="0"/>
                <w:i w:val="0"/>
                <w:color w:val="000000"/>
                <w:sz w:val="11"/>
              </w:rPr>
              <w:t>40.44</w:t>
            </w:r>
          </w:p>
        </w:tc>
        <w:tc>
          <w:tcPr>
            <w:tcW w:w="1000" w:type="dxa"/>
            <w:vAlign w:val="center"/>
          </w:tcPr>
          <w:p>
            <w:pPr>
              <w:jc w:val="right"/>
            </w:pPr>
            <w:r>
              <w:rPr>
                <w:rFonts w:ascii="宋体" w:hAnsi="宋体" w:eastAsia="宋体" w:cs="宋体"/>
                <w:b w:val="0"/>
                <w:i w:val="0"/>
                <w:color w:val="000000"/>
                <w:sz w:val="11"/>
              </w:rPr>
              <w:t>36.14</w:t>
            </w:r>
          </w:p>
        </w:tc>
        <w:tc>
          <w:tcPr>
            <w:tcW w:w="980" w:type="dxa"/>
            <w:vAlign w:val="center"/>
          </w:tcPr>
          <w:p>
            <w:pPr>
              <w:jc w:val="right"/>
            </w:pPr>
            <w:r>
              <w:rPr>
                <w:rFonts w:ascii="宋体" w:hAnsi="宋体" w:eastAsia="宋体" w:cs="宋体"/>
                <w:b w:val="0"/>
                <w:i w:val="0"/>
                <w:color w:val="000000"/>
                <w:sz w:val="11"/>
              </w:rPr>
              <w:t>4.30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20136</w:t>
            </w:r>
          </w:p>
        </w:tc>
        <w:tc>
          <w:tcPr>
            <w:tcW w:w="1760" w:type="dxa"/>
            <w:vAlign w:val="center"/>
          </w:tcPr>
          <w:p>
            <w:pPr>
              <w:jc w:val="left"/>
            </w:pPr>
            <w:r>
              <w:rPr>
                <w:rFonts w:ascii="宋体" w:hAnsi="宋体" w:eastAsia="宋体" w:cs="宋体"/>
                <w:b w:val="0"/>
                <w:i w:val="0"/>
                <w:color w:val="000000"/>
                <w:sz w:val="11"/>
              </w:rPr>
              <w:t>其他共产党事务支出</w:t>
            </w:r>
          </w:p>
        </w:tc>
        <w:tc>
          <w:tcPr>
            <w:tcW w:w="940" w:type="dxa"/>
            <w:vAlign w:val="center"/>
          </w:tcPr>
          <w:p>
            <w:pPr>
              <w:jc w:val="right"/>
            </w:pPr>
            <w:r>
              <w:rPr>
                <w:rFonts w:ascii="宋体" w:hAnsi="宋体" w:eastAsia="宋体" w:cs="宋体"/>
                <w:b w:val="0"/>
                <w:i w:val="0"/>
                <w:color w:val="000000"/>
                <w:sz w:val="11"/>
              </w:rPr>
              <w:t>38.00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38.00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2013699</w:t>
            </w:r>
          </w:p>
        </w:tc>
        <w:tc>
          <w:tcPr>
            <w:tcW w:w="1760" w:type="dxa"/>
            <w:vAlign w:val="center"/>
          </w:tcPr>
          <w:p>
            <w:pPr>
              <w:jc w:val="left"/>
            </w:pPr>
            <w:r>
              <w:rPr>
                <w:rFonts w:ascii="宋体" w:hAnsi="宋体" w:eastAsia="宋体" w:cs="宋体"/>
                <w:b w:val="0"/>
                <w:i w:val="0"/>
                <w:color w:val="000000"/>
                <w:sz w:val="11"/>
              </w:rPr>
              <w:t>其他共产党事务支出</w:t>
            </w:r>
          </w:p>
        </w:tc>
        <w:tc>
          <w:tcPr>
            <w:tcW w:w="940" w:type="dxa"/>
            <w:vAlign w:val="center"/>
          </w:tcPr>
          <w:p>
            <w:pPr>
              <w:jc w:val="right"/>
            </w:pPr>
            <w:r>
              <w:rPr>
                <w:rFonts w:ascii="宋体" w:hAnsi="宋体" w:eastAsia="宋体" w:cs="宋体"/>
                <w:b w:val="0"/>
                <w:i w:val="0"/>
                <w:color w:val="000000"/>
                <w:sz w:val="11"/>
              </w:rPr>
              <w:t>38.00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38.00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2.95</w:t>
            </w:r>
          </w:p>
        </w:tc>
        <w:tc>
          <w:tcPr>
            <w:tcW w:w="1000" w:type="dxa"/>
            <w:vAlign w:val="center"/>
          </w:tcPr>
          <w:p>
            <w:pPr>
              <w:jc w:val="right"/>
            </w:pPr>
            <w:r>
              <w:rPr>
                <w:rFonts w:ascii="宋体" w:hAnsi="宋体" w:eastAsia="宋体" w:cs="宋体"/>
                <w:b w:val="0"/>
                <w:i w:val="0"/>
                <w:color w:val="000000"/>
                <w:sz w:val="11"/>
              </w:rPr>
              <w:t>2.95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2.95</w:t>
            </w:r>
          </w:p>
        </w:tc>
        <w:tc>
          <w:tcPr>
            <w:tcW w:w="1000" w:type="dxa"/>
            <w:vAlign w:val="center"/>
          </w:tcPr>
          <w:p>
            <w:pPr>
              <w:jc w:val="right"/>
            </w:pPr>
            <w:r>
              <w:rPr>
                <w:rFonts w:ascii="宋体" w:hAnsi="宋体" w:eastAsia="宋体" w:cs="宋体"/>
                <w:b w:val="0"/>
                <w:i w:val="0"/>
                <w:color w:val="000000"/>
                <w:sz w:val="11"/>
              </w:rPr>
              <w:t>2.95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2.95</w:t>
            </w:r>
          </w:p>
        </w:tc>
        <w:tc>
          <w:tcPr>
            <w:tcW w:w="1000" w:type="dxa"/>
            <w:vAlign w:val="center"/>
          </w:tcPr>
          <w:p>
            <w:pPr>
              <w:jc w:val="right"/>
            </w:pPr>
            <w:r>
              <w:rPr>
                <w:rFonts w:ascii="宋体" w:hAnsi="宋体" w:eastAsia="宋体" w:cs="宋体"/>
                <w:b w:val="0"/>
                <w:i w:val="0"/>
                <w:color w:val="000000"/>
                <w:sz w:val="11"/>
              </w:rPr>
              <w:t>2.95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w:t>
            </w:r>
          </w:p>
        </w:tc>
        <w:tc>
          <w:tcPr>
            <w:tcW w:w="1760" w:type="dxa"/>
            <w:vAlign w:val="center"/>
          </w:tcPr>
          <w:p>
            <w:pPr>
              <w:jc w:val="left"/>
            </w:pPr>
            <w:r>
              <w:rPr>
                <w:rFonts w:ascii="宋体" w:hAnsi="宋体" w:eastAsia="宋体" w:cs="宋体"/>
                <w:b w:val="0"/>
                <w:i w:val="0"/>
                <w:color w:val="000000"/>
                <w:sz w:val="11"/>
              </w:rPr>
              <w:t>卫生健康支出</w:t>
            </w:r>
          </w:p>
        </w:tc>
        <w:tc>
          <w:tcPr>
            <w:tcW w:w="940" w:type="dxa"/>
            <w:vAlign w:val="center"/>
          </w:tcPr>
          <w:p>
            <w:pPr>
              <w:jc w:val="right"/>
            </w:pPr>
            <w:r>
              <w:rPr>
                <w:rFonts w:ascii="宋体" w:hAnsi="宋体" w:eastAsia="宋体" w:cs="宋体"/>
                <w:b w:val="0"/>
                <w:i w:val="0"/>
                <w:color w:val="000000"/>
                <w:sz w:val="11"/>
              </w:rPr>
              <w:t>1.10</w:t>
            </w:r>
          </w:p>
        </w:tc>
        <w:tc>
          <w:tcPr>
            <w:tcW w:w="1000" w:type="dxa"/>
            <w:vAlign w:val="center"/>
          </w:tcPr>
          <w:p>
            <w:pPr>
              <w:jc w:val="right"/>
            </w:pPr>
            <w:r>
              <w:rPr>
                <w:rFonts w:ascii="宋体" w:hAnsi="宋体" w:eastAsia="宋体" w:cs="宋体"/>
                <w:b w:val="0"/>
                <w:i w:val="0"/>
                <w:color w:val="000000"/>
                <w:sz w:val="11"/>
              </w:rPr>
              <w:t>1.10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w:t>
            </w:r>
          </w:p>
        </w:tc>
        <w:tc>
          <w:tcPr>
            <w:tcW w:w="1760" w:type="dxa"/>
            <w:vAlign w:val="center"/>
          </w:tcPr>
          <w:p>
            <w:pPr>
              <w:jc w:val="left"/>
            </w:pPr>
            <w:r>
              <w:rPr>
                <w:rFonts w:ascii="宋体" w:hAnsi="宋体" w:eastAsia="宋体" w:cs="宋体"/>
                <w:b w:val="0"/>
                <w:i w:val="0"/>
                <w:color w:val="000000"/>
                <w:sz w:val="11"/>
              </w:rPr>
              <w:t>行政事业单位医疗</w:t>
            </w:r>
          </w:p>
        </w:tc>
        <w:tc>
          <w:tcPr>
            <w:tcW w:w="940" w:type="dxa"/>
            <w:vAlign w:val="center"/>
          </w:tcPr>
          <w:p>
            <w:pPr>
              <w:jc w:val="right"/>
            </w:pPr>
            <w:r>
              <w:rPr>
                <w:rFonts w:ascii="宋体" w:hAnsi="宋体" w:eastAsia="宋体" w:cs="宋体"/>
                <w:b w:val="0"/>
                <w:i w:val="0"/>
                <w:color w:val="000000"/>
                <w:sz w:val="11"/>
              </w:rPr>
              <w:t>1.10</w:t>
            </w:r>
          </w:p>
        </w:tc>
        <w:tc>
          <w:tcPr>
            <w:tcW w:w="1000" w:type="dxa"/>
            <w:vAlign w:val="center"/>
          </w:tcPr>
          <w:p>
            <w:pPr>
              <w:jc w:val="right"/>
            </w:pPr>
            <w:r>
              <w:rPr>
                <w:rFonts w:ascii="宋体" w:hAnsi="宋体" w:eastAsia="宋体" w:cs="宋体"/>
                <w:b w:val="0"/>
                <w:i w:val="0"/>
                <w:color w:val="000000"/>
                <w:sz w:val="11"/>
              </w:rPr>
              <w:t>1.10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2101101</w:t>
            </w:r>
          </w:p>
        </w:tc>
        <w:tc>
          <w:tcPr>
            <w:tcW w:w="1760" w:type="dxa"/>
            <w:vAlign w:val="center"/>
          </w:tcPr>
          <w:p>
            <w:pPr>
              <w:jc w:val="left"/>
            </w:pPr>
            <w:r>
              <w:rPr>
                <w:rFonts w:ascii="宋体" w:hAnsi="宋体" w:eastAsia="宋体" w:cs="宋体"/>
                <w:b w:val="0"/>
                <w:i w:val="0"/>
                <w:color w:val="000000"/>
                <w:sz w:val="11"/>
              </w:rPr>
              <w:t>行政单位医疗</w:t>
            </w:r>
          </w:p>
        </w:tc>
        <w:tc>
          <w:tcPr>
            <w:tcW w:w="940" w:type="dxa"/>
            <w:vAlign w:val="center"/>
          </w:tcPr>
          <w:p>
            <w:pPr>
              <w:jc w:val="right"/>
            </w:pPr>
            <w:r>
              <w:rPr>
                <w:rFonts w:ascii="宋体" w:hAnsi="宋体" w:eastAsia="宋体" w:cs="宋体"/>
                <w:b w:val="0"/>
                <w:i w:val="0"/>
                <w:color w:val="000000"/>
                <w:sz w:val="11"/>
              </w:rPr>
              <w:t>1.03</w:t>
            </w:r>
          </w:p>
        </w:tc>
        <w:tc>
          <w:tcPr>
            <w:tcW w:w="1000" w:type="dxa"/>
            <w:vAlign w:val="center"/>
          </w:tcPr>
          <w:p>
            <w:pPr>
              <w:jc w:val="right"/>
            </w:pPr>
            <w:r>
              <w:rPr>
                <w:rFonts w:ascii="宋体" w:hAnsi="宋体" w:eastAsia="宋体" w:cs="宋体"/>
                <w:b w:val="0"/>
                <w:i w:val="0"/>
                <w:color w:val="000000"/>
                <w:sz w:val="11"/>
              </w:rPr>
              <w:t>1.03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2101199</w:t>
            </w:r>
          </w:p>
        </w:tc>
        <w:tc>
          <w:tcPr>
            <w:tcW w:w="1760" w:type="dxa"/>
            <w:vAlign w:val="center"/>
          </w:tcPr>
          <w:p>
            <w:pPr>
              <w:jc w:val="left"/>
            </w:pPr>
            <w:r>
              <w:rPr>
                <w:rFonts w:ascii="宋体" w:hAnsi="宋体" w:eastAsia="宋体" w:cs="宋体"/>
                <w:b w:val="0"/>
                <w:i w:val="0"/>
                <w:color w:val="000000"/>
                <w:sz w:val="11"/>
              </w:rPr>
              <w:t>其他行政事业单位医疗支出</w:t>
            </w:r>
          </w:p>
        </w:tc>
        <w:tc>
          <w:tcPr>
            <w:tcW w:w="940" w:type="dxa"/>
            <w:vAlign w:val="center"/>
          </w:tcPr>
          <w:p>
            <w:pPr>
              <w:jc w:val="right"/>
            </w:pPr>
            <w:r>
              <w:rPr>
                <w:rFonts w:ascii="宋体" w:hAnsi="宋体" w:eastAsia="宋体" w:cs="宋体"/>
                <w:b w:val="0"/>
                <w:i w:val="0"/>
                <w:color w:val="000000"/>
                <w:sz w:val="11"/>
              </w:rPr>
              <w:t>0.07</w:t>
            </w:r>
          </w:p>
        </w:tc>
        <w:tc>
          <w:tcPr>
            <w:tcW w:w="1000" w:type="dxa"/>
            <w:vAlign w:val="center"/>
          </w:tcPr>
          <w:p>
            <w:pPr>
              <w:jc w:val="right"/>
            </w:pPr>
            <w:r>
              <w:rPr>
                <w:rFonts w:ascii="宋体" w:hAnsi="宋体" w:eastAsia="宋体" w:cs="宋体"/>
                <w:b w:val="0"/>
                <w:i w:val="0"/>
                <w:color w:val="000000"/>
                <w:sz w:val="11"/>
              </w:rPr>
              <w:t>0.07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2.62</w:t>
            </w:r>
          </w:p>
        </w:tc>
        <w:tc>
          <w:tcPr>
            <w:tcW w:w="1000" w:type="dxa"/>
            <w:vAlign w:val="center"/>
          </w:tcPr>
          <w:p>
            <w:pPr>
              <w:jc w:val="right"/>
            </w:pPr>
            <w:r>
              <w:rPr>
                <w:rFonts w:ascii="宋体" w:hAnsi="宋体" w:eastAsia="宋体" w:cs="宋体"/>
                <w:b w:val="0"/>
                <w:i w:val="0"/>
                <w:color w:val="000000"/>
                <w:sz w:val="11"/>
              </w:rPr>
              <w:t>2.62</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2.62</w:t>
            </w:r>
          </w:p>
        </w:tc>
        <w:tc>
          <w:tcPr>
            <w:tcW w:w="1000" w:type="dxa"/>
            <w:vAlign w:val="center"/>
          </w:tcPr>
          <w:p>
            <w:pPr>
              <w:jc w:val="right"/>
            </w:pPr>
            <w:r>
              <w:rPr>
                <w:rFonts w:ascii="宋体" w:hAnsi="宋体" w:eastAsia="宋体" w:cs="宋体"/>
                <w:b w:val="0"/>
                <w:i w:val="0"/>
                <w:color w:val="000000"/>
                <w:sz w:val="11"/>
              </w:rPr>
              <w:t>2.62</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2.62</w:t>
            </w:r>
          </w:p>
        </w:tc>
        <w:tc>
          <w:tcPr>
            <w:tcW w:w="1000" w:type="dxa"/>
            <w:vAlign w:val="center"/>
          </w:tcPr>
          <w:p>
            <w:pPr>
              <w:jc w:val="right"/>
            </w:pPr>
            <w:r>
              <w:rPr>
                <w:rFonts w:ascii="宋体" w:hAnsi="宋体" w:eastAsia="宋体" w:cs="宋体"/>
                <w:b w:val="0"/>
                <w:i w:val="0"/>
                <w:color w:val="000000"/>
                <w:sz w:val="11"/>
              </w:rPr>
              <w:t>2.62</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部门：中共景德镇市昌江区委员会信访局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pPr>
              <w:jc w:val="center"/>
            </w:pPr>
            <w:r>
              <w:rPr>
                <w:rFonts w:ascii="宋体" w:hAnsi="宋体" w:eastAsia="宋体" w:cs="宋体"/>
                <w:b w:val="0"/>
                <w:i w:val="0"/>
                <w:color w:val="000000"/>
                <w:sz w:val="17"/>
              </w:rPr>
              <w:t>收     入</w:t>
            </w:r>
          </w:p>
        </w:tc>
        <w:tc>
          <w:tcPr>
            <w:tcW w:w="2980"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160.32</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pPr>
              <w:jc w:val="right"/>
            </w:pPr>
            <w:r>
              <w:rPr>
                <w:rFonts w:ascii="宋体" w:hAnsi="宋体" w:eastAsia="宋体" w:cs="宋体"/>
                <w:b w:val="0"/>
                <w:i w:val="0"/>
                <w:color w:val="000000"/>
                <w:sz w:val="17"/>
              </w:rPr>
              <w:t>153.65</w:t>
            </w:r>
          </w:p>
        </w:tc>
        <w:tc>
          <w:tcPr>
            <w:tcW w:w="1460" w:type="dxa"/>
            <w:vAlign w:val="center"/>
          </w:tcPr>
          <w:p>
            <w:pPr>
              <w:jc w:val="right"/>
            </w:pPr>
            <w:r>
              <w:rPr>
                <w:rFonts w:ascii="宋体" w:hAnsi="宋体" w:eastAsia="宋体" w:cs="宋体"/>
                <w:b w:val="0"/>
                <w:i w:val="0"/>
                <w:color w:val="000000"/>
                <w:sz w:val="17"/>
              </w:rPr>
              <w:t>153.65</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2.95</w:t>
            </w:r>
          </w:p>
        </w:tc>
        <w:tc>
          <w:tcPr>
            <w:tcW w:w="1460" w:type="dxa"/>
            <w:vAlign w:val="center"/>
          </w:tcPr>
          <w:p>
            <w:pPr>
              <w:jc w:val="right"/>
            </w:pPr>
            <w:r>
              <w:rPr>
                <w:rFonts w:ascii="宋体" w:hAnsi="宋体" w:eastAsia="宋体" w:cs="宋体"/>
                <w:b w:val="0"/>
                <w:i w:val="0"/>
                <w:color w:val="000000"/>
                <w:sz w:val="17"/>
              </w:rPr>
              <w:t>2.95</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pPr>
              <w:jc w:val="right"/>
            </w:pPr>
            <w:r>
              <w:rPr>
                <w:rFonts w:ascii="宋体" w:hAnsi="宋体" w:eastAsia="宋体" w:cs="宋体"/>
                <w:b w:val="0"/>
                <w:i w:val="0"/>
                <w:color w:val="000000"/>
                <w:sz w:val="17"/>
              </w:rPr>
              <w:t>1.10</w:t>
            </w:r>
          </w:p>
        </w:tc>
        <w:tc>
          <w:tcPr>
            <w:tcW w:w="1460" w:type="dxa"/>
            <w:vAlign w:val="center"/>
          </w:tcPr>
          <w:p>
            <w:pPr>
              <w:jc w:val="right"/>
            </w:pPr>
            <w:r>
              <w:rPr>
                <w:rFonts w:ascii="宋体" w:hAnsi="宋体" w:eastAsia="宋体" w:cs="宋体"/>
                <w:b w:val="0"/>
                <w:i w:val="0"/>
                <w:color w:val="000000"/>
                <w:sz w:val="17"/>
              </w:rPr>
              <w:t>1.10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2.62</w:t>
            </w:r>
          </w:p>
        </w:tc>
        <w:tc>
          <w:tcPr>
            <w:tcW w:w="1460" w:type="dxa"/>
            <w:vAlign w:val="center"/>
          </w:tcPr>
          <w:p>
            <w:pPr>
              <w:jc w:val="right"/>
            </w:pPr>
            <w:r>
              <w:rPr>
                <w:rFonts w:ascii="宋体" w:hAnsi="宋体" w:eastAsia="宋体" w:cs="宋体"/>
                <w:b w:val="0"/>
                <w:i w:val="0"/>
                <w:color w:val="000000"/>
                <w:sz w:val="17"/>
              </w:rPr>
              <w:t>2.62</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160.32</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160.32</w:t>
            </w:r>
          </w:p>
        </w:tc>
        <w:tc>
          <w:tcPr>
            <w:tcW w:w="1460" w:type="dxa"/>
            <w:vAlign w:val="center"/>
          </w:tcPr>
          <w:p>
            <w:pPr>
              <w:jc w:val="right"/>
            </w:pPr>
            <w:r>
              <w:rPr>
                <w:rFonts w:ascii="宋体" w:hAnsi="宋体" w:eastAsia="宋体" w:cs="宋体"/>
                <w:b w:val="0"/>
                <w:i w:val="0"/>
                <w:color w:val="000000"/>
                <w:sz w:val="17"/>
              </w:rPr>
              <w:t>160.32</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160.32</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160.32</w:t>
            </w:r>
          </w:p>
        </w:tc>
        <w:tc>
          <w:tcPr>
            <w:tcW w:w="1460" w:type="dxa"/>
            <w:vAlign w:val="center"/>
          </w:tcPr>
          <w:p>
            <w:pPr>
              <w:jc w:val="right"/>
            </w:pPr>
            <w:r>
              <w:rPr>
                <w:rFonts w:ascii="宋体" w:hAnsi="宋体" w:eastAsia="宋体" w:cs="宋体"/>
                <w:b w:val="0"/>
                <w:i w:val="0"/>
                <w:color w:val="000000"/>
                <w:sz w:val="17"/>
              </w:rPr>
              <w:t>160.32</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部门：中共景德镇市昌江区委员会信访局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160.32</w:t>
            </w:r>
          </w:p>
        </w:tc>
        <w:tc>
          <w:tcPr>
            <w:tcW w:w="1520" w:type="dxa"/>
            <w:vAlign w:val="center"/>
          </w:tcPr>
          <w:p>
            <w:pPr>
              <w:jc w:val="right"/>
            </w:pPr>
            <w:r>
              <w:rPr>
                <w:rFonts w:ascii="宋体" w:hAnsi="宋体" w:eastAsia="宋体" w:cs="宋体"/>
                <w:b w:val="0"/>
                <w:i w:val="0"/>
                <w:color w:val="000000"/>
                <w:sz w:val="16"/>
              </w:rPr>
              <w:t>50.82</w:t>
            </w:r>
          </w:p>
        </w:tc>
        <w:tc>
          <w:tcPr>
            <w:tcW w:w="1526" w:type="dxa"/>
            <w:vAlign w:val="center"/>
          </w:tcPr>
          <w:p>
            <w:pPr>
              <w:jc w:val="right"/>
            </w:pPr>
            <w:r>
              <w:rPr>
                <w:rFonts w:ascii="宋体" w:hAnsi="宋体" w:eastAsia="宋体" w:cs="宋体"/>
                <w:b w:val="0"/>
                <w:i w:val="0"/>
                <w:color w:val="000000"/>
                <w:sz w:val="16"/>
              </w:rPr>
              <w:t>109.50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w:t>
            </w:r>
          </w:p>
        </w:tc>
        <w:tc>
          <w:tcPr>
            <w:tcW w:w="2700" w:type="dxa"/>
            <w:vAlign w:val="center"/>
          </w:tcPr>
          <w:p>
            <w:pPr>
              <w:jc w:val="left"/>
            </w:pPr>
            <w:r>
              <w:rPr>
                <w:rFonts w:ascii="宋体" w:hAnsi="宋体" w:eastAsia="宋体" w:cs="宋体"/>
                <w:b w:val="0"/>
                <w:i w:val="0"/>
                <w:color w:val="000000"/>
                <w:sz w:val="16"/>
              </w:rPr>
              <w:t>一般公共服务支出</w:t>
            </w:r>
          </w:p>
        </w:tc>
        <w:tc>
          <w:tcPr>
            <w:tcW w:w="1420" w:type="dxa"/>
            <w:vAlign w:val="center"/>
          </w:tcPr>
          <w:p>
            <w:pPr>
              <w:jc w:val="right"/>
            </w:pPr>
            <w:r>
              <w:rPr>
                <w:rFonts w:ascii="宋体" w:hAnsi="宋体" w:eastAsia="宋体" w:cs="宋体"/>
                <w:b w:val="0"/>
                <w:i w:val="0"/>
                <w:color w:val="000000"/>
                <w:sz w:val="16"/>
              </w:rPr>
              <w:t>153.65</w:t>
            </w:r>
          </w:p>
        </w:tc>
        <w:tc>
          <w:tcPr>
            <w:tcW w:w="1520" w:type="dxa"/>
            <w:vAlign w:val="center"/>
          </w:tcPr>
          <w:p>
            <w:pPr>
              <w:jc w:val="right"/>
            </w:pPr>
            <w:r>
              <w:rPr>
                <w:rFonts w:ascii="宋体" w:hAnsi="宋体" w:eastAsia="宋体" w:cs="宋体"/>
                <w:b w:val="0"/>
                <w:i w:val="0"/>
                <w:color w:val="000000"/>
                <w:sz w:val="16"/>
              </w:rPr>
              <w:t>44.15</w:t>
            </w:r>
          </w:p>
        </w:tc>
        <w:tc>
          <w:tcPr>
            <w:tcW w:w="1526" w:type="dxa"/>
            <w:vAlign w:val="center"/>
          </w:tcPr>
          <w:p>
            <w:pPr>
              <w:jc w:val="right"/>
            </w:pPr>
            <w:r>
              <w:rPr>
                <w:rFonts w:ascii="宋体" w:hAnsi="宋体" w:eastAsia="宋体" w:cs="宋体"/>
                <w:b w:val="0"/>
                <w:i w:val="0"/>
                <w:color w:val="000000"/>
                <w:sz w:val="16"/>
              </w:rPr>
              <w:t>109.50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20103</w:t>
            </w:r>
          </w:p>
        </w:tc>
        <w:tc>
          <w:tcPr>
            <w:tcW w:w="2700" w:type="dxa"/>
            <w:vAlign w:val="center"/>
          </w:tcPr>
          <w:p>
            <w:pPr>
              <w:jc w:val="left"/>
            </w:pPr>
            <w:r>
              <w:rPr>
                <w:rFonts w:ascii="宋体" w:hAnsi="宋体" w:eastAsia="宋体" w:cs="宋体"/>
                <w:b w:val="0"/>
                <w:i w:val="0"/>
                <w:color w:val="000000"/>
                <w:sz w:val="16"/>
              </w:rPr>
              <w:t>政府办公厅（室）及相关机构事务</w:t>
            </w:r>
          </w:p>
        </w:tc>
        <w:tc>
          <w:tcPr>
            <w:tcW w:w="1420" w:type="dxa"/>
            <w:vAlign w:val="center"/>
          </w:tcPr>
          <w:p>
            <w:pPr>
              <w:jc w:val="right"/>
            </w:pPr>
            <w:r>
              <w:rPr>
                <w:rFonts w:ascii="宋体" w:hAnsi="宋体" w:eastAsia="宋体" w:cs="宋体"/>
                <w:b w:val="0"/>
                <w:i w:val="0"/>
                <w:color w:val="000000"/>
                <w:sz w:val="16"/>
              </w:rPr>
              <w:t>115.65</w:t>
            </w:r>
          </w:p>
        </w:tc>
        <w:tc>
          <w:tcPr>
            <w:tcW w:w="1520" w:type="dxa"/>
            <w:vAlign w:val="center"/>
          </w:tcPr>
          <w:p>
            <w:pPr>
              <w:jc w:val="right"/>
            </w:pPr>
            <w:r>
              <w:rPr>
                <w:rFonts w:ascii="宋体" w:hAnsi="宋体" w:eastAsia="宋体" w:cs="宋体"/>
                <w:b w:val="0"/>
                <w:i w:val="0"/>
                <w:color w:val="000000"/>
                <w:sz w:val="16"/>
              </w:rPr>
              <w:t>44.15</w:t>
            </w:r>
          </w:p>
        </w:tc>
        <w:tc>
          <w:tcPr>
            <w:tcW w:w="1526" w:type="dxa"/>
            <w:vAlign w:val="center"/>
          </w:tcPr>
          <w:p>
            <w:pPr>
              <w:jc w:val="right"/>
            </w:pPr>
            <w:r>
              <w:rPr>
                <w:rFonts w:ascii="宋体" w:hAnsi="宋体" w:eastAsia="宋体" w:cs="宋体"/>
                <w:b w:val="0"/>
                <w:i w:val="0"/>
                <w:color w:val="000000"/>
                <w:sz w:val="16"/>
              </w:rPr>
              <w:t>71.50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2010301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8.01</w:t>
            </w:r>
          </w:p>
        </w:tc>
        <w:tc>
          <w:tcPr>
            <w:tcW w:w="1520" w:type="dxa"/>
            <w:vAlign w:val="center"/>
          </w:tcPr>
          <w:p>
            <w:pPr>
              <w:jc w:val="right"/>
            </w:pPr>
            <w:r>
              <w:rPr>
                <w:rFonts w:ascii="宋体" w:hAnsi="宋体" w:eastAsia="宋体" w:cs="宋体"/>
                <w:b w:val="0"/>
                <w:i w:val="0"/>
                <w:color w:val="000000"/>
                <w:sz w:val="16"/>
              </w:rPr>
              <w:t>8.01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2010302</w:t>
            </w:r>
          </w:p>
        </w:tc>
        <w:tc>
          <w:tcPr>
            <w:tcW w:w="2700" w:type="dxa"/>
            <w:vAlign w:val="center"/>
          </w:tcPr>
          <w:p>
            <w:pPr>
              <w:jc w:val="left"/>
            </w:pPr>
            <w:r>
              <w:rPr>
                <w:rFonts w:ascii="宋体" w:hAnsi="宋体" w:eastAsia="宋体" w:cs="宋体"/>
                <w:b w:val="0"/>
                <w:i w:val="0"/>
                <w:color w:val="000000"/>
                <w:sz w:val="16"/>
              </w:rPr>
              <w:t>一般行政管理事务</w:t>
            </w:r>
          </w:p>
        </w:tc>
        <w:tc>
          <w:tcPr>
            <w:tcW w:w="1420" w:type="dxa"/>
            <w:vAlign w:val="center"/>
          </w:tcPr>
          <w:p>
            <w:pPr>
              <w:jc w:val="right"/>
            </w:pPr>
            <w:r>
              <w:rPr>
                <w:rFonts w:ascii="宋体" w:hAnsi="宋体" w:eastAsia="宋体" w:cs="宋体"/>
                <w:b w:val="0"/>
                <w:i w:val="0"/>
                <w:color w:val="000000"/>
                <w:sz w:val="16"/>
              </w:rPr>
              <w:t>67.20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67.20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2010308</w:t>
            </w:r>
          </w:p>
        </w:tc>
        <w:tc>
          <w:tcPr>
            <w:tcW w:w="2700" w:type="dxa"/>
            <w:vAlign w:val="center"/>
          </w:tcPr>
          <w:p>
            <w:pPr>
              <w:jc w:val="left"/>
            </w:pPr>
            <w:r>
              <w:rPr>
                <w:rFonts w:ascii="宋体" w:hAnsi="宋体" w:eastAsia="宋体" w:cs="宋体"/>
                <w:b w:val="0"/>
                <w:i w:val="0"/>
                <w:color w:val="000000"/>
                <w:sz w:val="16"/>
              </w:rPr>
              <w:t>信访事务</w:t>
            </w:r>
          </w:p>
        </w:tc>
        <w:tc>
          <w:tcPr>
            <w:tcW w:w="1420" w:type="dxa"/>
            <w:vAlign w:val="center"/>
          </w:tcPr>
          <w:p>
            <w:pPr>
              <w:jc w:val="right"/>
            </w:pPr>
            <w:r>
              <w:rPr>
                <w:rFonts w:ascii="宋体" w:hAnsi="宋体" w:eastAsia="宋体" w:cs="宋体"/>
                <w:b w:val="0"/>
                <w:i w:val="0"/>
                <w:color w:val="000000"/>
                <w:sz w:val="16"/>
              </w:rPr>
              <w:t>40.44</w:t>
            </w:r>
          </w:p>
        </w:tc>
        <w:tc>
          <w:tcPr>
            <w:tcW w:w="1520" w:type="dxa"/>
            <w:vAlign w:val="center"/>
          </w:tcPr>
          <w:p>
            <w:pPr>
              <w:jc w:val="right"/>
            </w:pPr>
            <w:r>
              <w:rPr>
                <w:rFonts w:ascii="宋体" w:hAnsi="宋体" w:eastAsia="宋体" w:cs="宋体"/>
                <w:b w:val="0"/>
                <w:i w:val="0"/>
                <w:color w:val="000000"/>
                <w:sz w:val="16"/>
              </w:rPr>
              <w:t>36.14</w:t>
            </w:r>
          </w:p>
        </w:tc>
        <w:tc>
          <w:tcPr>
            <w:tcW w:w="1526" w:type="dxa"/>
            <w:vAlign w:val="center"/>
          </w:tcPr>
          <w:p>
            <w:pPr>
              <w:jc w:val="right"/>
            </w:pPr>
            <w:r>
              <w:rPr>
                <w:rFonts w:ascii="宋体" w:hAnsi="宋体" w:eastAsia="宋体" w:cs="宋体"/>
                <w:b w:val="0"/>
                <w:i w:val="0"/>
                <w:color w:val="000000"/>
                <w:sz w:val="16"/>
              </w:rPr>
              <w:t>4.30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20136</w:t>
            </w:r>
          </w:p>
        </w:tc>
        <w:tc>
          <w:tcPr>
            <w:tcW w:w="2700" w:type="dxa"/>
            <w:vAlign w:val="center"/>
          </w:tcPr>
          <w:p>
            <w:pPr>
              <w:jc w:val="left"/>
            </w:pPr>
            <w:r>
              <w:rPr>
                <w:rFonts w:ascii="宋体" w:hAnsi="宋体" w:eastAsia="宋体" w:cs="宋体"/>
                <w:b w:val="0"/>
                <w:i w:val="0"/>
                <w:color w:val="000000"/>
                <w:sz w:val="16"/>
              </w:rPr>
              <w:t>其他共产党事务支出</w:t>
            </w:r>
          </w:p>
        </w:tc>
        <w:tc>
          <w:tcPr>
            <w:tcW w:w="1420" w:type="dxa"/>
            <w:vAlign w:val="center"/>
          </w:tcPr>
          <w:p>
            <w:pPr>
              <w:jc w:val="right"/>
            </w:pPr>
            <w:r>
              <w:rPr>
                <w:rFonts w:ascii="宋体" w:hAnsi="宋体" w:eastAsia="宋体" w:cs="宋体"/>
                <w:b w:val="0"/>
                <w:i w:val="0"/>
                <w:color w:val="000000"/>
                <w:sz w:val="16"/>
              </w:rPr>
              <w:t>38.00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2013699</w:t>
            </w:r>
          </w:p>
        </w:tc>
        <w:tc>
          <w:tcPr>
            <w:tcW w:w="2700" w:type="dxa"/>
            <w:vAlign w:val="center"/>
          </w:tcPr>
          <w:p>
            <w:pPr>
              <w:jc w:val="left"/>
            </w:pPr>
            <w:r>
              <w:rPr>
                <w:rFonts w:ascii="宋体" w:hAnsi="宋体" w:eastAsia="宋体" w:cs="宋体"/>
                <w:b w:val="0"/>
                <w:i w:val="0"/>
                <w:color w:val="000000"/>
                <w:sz w:val="16"/>
              </w:rPr>
              <w:t>其他共产党事务支出</w:t>
            </w:r>
          </w:p>
        </w:tc>
        <w:tc>
          <w:tcPr>
            <w:tcW w:w="1420" w:type="dxa"/>
            <w:vAlign w:val="center"/>
          </w:tcPr>
          <w:p>
            <w:pPr>
              <w:jc w:val="right"/>
            </w:pPr>
            <w:r>
              <w:rPr>
                <w:rFonts w:ascii="宋体" w:hAnsi="宋体" w:eastAsia="宋体" w:cs="宋体"/>
                <w:b w:val="0"/>
                <w:i w:val="0"/>
                <w:color w:val="000000"/>
                <w:sz w:val="16"/>
              </w:rPr>
              <w:t>38.00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2.95</w:t>
            </w:r>
          </w:p>
        </w:tc>
        <w:tc>
          <w:tcPr>
            <w:tcW w:w="1520" w:type="dxa"/>
            <w:vAlign w:val="center"/>
          </w:tcPr>
          <w:p>
            <w:pPr>
              <w:jc w:val="right"/>
            </w:pPr>
            <w:r>
              <w:rPr>
                <w:rFonts w:ascii="宋体" w:hAnsi="宋体" w:eastAsia="宋体" w:cs="宋体"/>
                <w:b w:val="0"/>
                <w:i w:val="0"/>
                <w:color w:val="000000"/>
                <w:sz w:val="16"/>
              </w:rPr>
              <w:t>2.95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2.95</w:t>
            </w:r>
          </w:p>
        </w:tc>
        <w:tc>
          <w:tcPr>
            <w:tcW w:w="1520" w:type="dxa"/>
            <w:vAlign w:val="center"/>
          </w:tcPr>
          <w:p>
            <w:pPr>
              <w:jc w:val="right"/>
            </w:pPr>
            <w:r>
              <w:rPr>
                <w:rFonts w:ascii="宋体" w:hAnsi="宋体" w:eastAsia="宋体" w:cs="宋体"/>
                <w:b w:val="0"/>
                <w:i w:val="0"/>
                <w:color w:val="000000"/>
                <w:sz w:val="16"/>
              </w:rPr>
              <w:t>2.95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2.95</w:t>
            </w:r>
          </w:p>
        </w:tc>
        <w:tc>
          <w:tcPr>
            <w:tcW w:w="1520" w:type="dxa"/>
            <w:vAlign w:val="center"/>
          </w:tcPr>
          <w:p>
            <w:pPr>
              <w:jc w:val="right"/>
            </w:pPr>
            <w:r>
              <w:rPr>
                <w:rFonts w:ascii="宋体" w:hAnsi="宋体" w:eastAsia="宋体" w:cs="宋体"/>
                <w:b w:val="0"/>
                <w:i w:val="0"/>
                <w:color w:val="000000"/>
                <w:sz w:val="16"/>
              </w:rPr>
              <w:t>2.95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w:t>
            </w:r>
          </w:p>
        </w:tc>
        <w:tc>
          <w:tcPr>
            <w:tcW w:w="2700" w:type="dxa"/>
            <w:vAlign w:val="center"/>
          </w:tcPr>
          <w:p>
            <w:pPr>
              <w:jc w:val="left"/>
            </w:pPr>
            <w:r>
              <w:rPr>
                <w:rFonts w:ascii="宋体" w:hAnsi="宋体" w:eastAsia="宋体" w:cs="宋体"/>
                <w:b w:val="0"/>
                <w:i w:val="0"/>
                <w:color w:val="000000"/>
                <w:sz w:val="16"/>
              </w:rPr>
              <w:t>卫生健康支出</w:t>
            </w:r>
          </w:p>
        </w:tc>
        <w:tc>
          <w:tcPr>
            <w:tcW w:w="1420" w:type="dxa"/>
            <w:vAlign w:val="center"/>
          </w:tcPr>
          <w:p>
            <w:pPr>
              <w:jc w:val="right"/>
            </w:pPr>
            <w:r>
              <w:rPr>
                <w:rFonts w:ascii="宋体" w:hAnsi="宋体" w:eastAsia="宋体" w:cs="宋体"/>
                <w:b w:val="0"/>
                <w:i w:val="0"/>
                <w:color w:val="000000"/>
                <w:sz w:val="16"/>
              </w:rPr>
              <w:t>1.10</w:t>
            </w:r>
          </w:p>
        </w:tc>
        <w:tc>
          <w:tcPr>
            <w:tcW w:w="1520" w:type="dxa"/>
            <w:vAlign w:val="center"/>
          </w:tcPr>
          <w:p>
            <w:pPr>
              <w:jc w:val="right"/>
            </w:pPr>
            <w:r>
              <w:rPr>
                <w:rFonts w:ascii="宋体" w:hAnsi="宋体" w:eastAsia="宋体" w:cs="宋体"/>
                <w:b w:val="0"/>
                <w:i w:val="0"/>
                <w:color w:val="000000"/>
                <w:sz w:val="16"/>
              </w:rPr>
              <w:t>1.10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w:t>
            </w:r>
          </w:p>
        </w:tc>
        <w:tc>
          <w:tcPr>
            <w:tcW w:w="2700" w:type="dxa"/>
            <w:vAlign w:val="center"/>
          </w:tcPr>
          <w:p>
            <w:pPr>
              <w:jc w:val="left"/>
            </w:pPr>
            <w:r>
              <w:rPr>
                <w:rFonts w:ascii="宋体" w:hAnsi="宋体" w:eastAsia="宋体" w:cs="宋体"/>
                <w:b w:val="0"/>
                <w:i w:val="0"/>
                <w:color w:val="000000"/>
                <w:sz w:val="16"/>
              </w:rPr>
              <w:t>行政事业单位医疗</w:t>
            </w:r>
          </w:p>
        </w:tc>
        <w:tc>
          <w:tcPr>
            <w:tcW w:w="1420" w:type="dxa"/>
            <w:vAlign w:val="center"/>
          </w:tcPr>
          <w:p>
            <w:pPr>
              <w:jc w:val="right"/>
            </w:pPr>
            <w:r>
              <w:rPr>
                <w:rFonts w:ascii="宋体" w:hAnsi="宋体" w:eastAsia="宋体" w:cs="宋体"/>
                <w:b w:val="0"/>
                <w:i w:val="0"/>
                <w:color w:val="000000"/>
                <w:sz w:val="16"/>
              </w:rPr>
              <w:t>1.10</w:t>
            </w:r>
          </w:p>
        </w:tc>
        <w:tc>
          <w:tcPr>
            <w:tcW w:w="1520" w:type="dxa"/>
            <w:vAlign w:val="center"/>
          </w:tcPr>
          <w:p>
            <w:pPr>
              <w:jc w:val="right"/>
            </w:pPr>
            <w:r>
              <w:rPr>
                <w:rFonts w:ascii="宋体" w:hAnsi="宋体" w:eastAsia="宋体" w:cs="宋体"/>
                <w:b w:val="0"/>
                <w:i w:val="0"/>
                <w:color w:val="000000"/>
                <w:sz w:val="16"/>
              </w:rPr>
              <w:t>1.10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2101101</w:t>
            </w:r>
          </w:p>
        </w:tc>
        <w:tc>
          <w:tcPr>
            <w:tcW w:w="2700" w:type="dxa"/>
            <w:vAlign w:val="center"/>
          </w:tcPr>
          <w:p>
            <w:pPr>
              <w:jc w:val="left"/>
            </w:pPr>
            <w:r>
              <w:rPr>
                <w:rFonts w:ascii="宋体" w:hAnsi="宋体" w:eastAsia="宋体" w:cs="宋体"/>
                <w:b w:val="0"/>
                <w:i w:val="0"/>
                <w:color w:val="000000"/>
                <w:sz w:val="16"/>
              </w:rPr>
              <w:t>行政单位医疗</w:t>
            </w:r>
          </w:p>
        </w:tc>
        <w:tc>
          <w:tcPr>
            <w:tcW w:w="1420" w:type="dxa"/>
            <w:vAlign w:val="center"/>
          </w:tcPr>
          <w:p>
            <w:pPr>
              <w:jc w:val="right"/>
            </w:pPr>
            <w:r>
              <w:rPr>
                <w:rFonts w:ascii="宋体" w:hAnsi="宋体" w:eastAsia="宋体" w:cs="宋体"/>
                <w:b w:val="0"/>
                <w:i w:val="0"/>
                <w:color w:val="000000"/>
                <w:sz w:val="16"/>
              </w:rPr>
              <w:t>1.03</w:t>
            </w:r>
          </w:p>
        </w:tc>
        <w:tc>
          <w:tcPr>
            <w:tcW w:w="1520" w:type="dxa"/>
            <w:vAlign w:val="center"/>
          </w:tcPr>
          <w:p>
            <w:pPr>
              <w:jc w:val="right"/>
            </w:pPr>
            <w:r>
              <w:rPr>
                <w:rFonts w:ascii="宋体" w:hAnsi="宋体" w:eastAsia="宋体" w:cs="宋体"/>
                <w:b w:val="0"/>
                <w:i w:val="0"/>
                <w:color w:val="000000"/>
                <w:sz w:val="16"/>
              </w:rPr>
              <w:t>1.03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2101199</w:t>
            </w:r>
          </w:p>
        </w:tc>
        <w:tc>
          <w:tcPr>
            <w:tcW w:w="2700" w:type="dxa"/>
            <w:vAlign w:val="center"/>
          </w:tcPr>
          <w:p>
            <w:pPr>
              <w:jc w:val="left"/>
            </w:pPr>
            <w:r>
              <w:rPr>
                <w:rFonts w:ascii="宋体" w:hAnsi="宋体" w:eastAsia="宋体" w:cs="宋体"/>
                <w:b w:val="0"/>
                <w:i w:val="0"/>
                <w:color w:val="000000"/>
                <w:sz w:val="16"/>
              </w:rPr>
              <w:t>其他行政事业单位医疗支出</w:t>
            </w:r>
          </w:p>
        </w:tc>
        <w:tc>
          <w:tcPr>
            <w:tcW w:w="1420" w:type="dxa"/>
            <w:vAlign w:val="center"/>
          </w:tcPr>
          <w:p>
            <w:pPr>
              <w:jc w:val="right"/>
            </w:pPr>
            <w:r>
              <w:rPr>
                <w:rFonts w:ascii="宋体" w:hAnsi="宋体" w:eastAsia="宋体" w:cs="宋体"/>
                <w:b w:val="0"/>
                <w:i w:val="0"/>
                <w:color w:val="000000"/>
                <w:sz w:val="16"/>
              </w:rPr>
              <w:t>0.07</w:t>
            </w:r>
          </w:p>
        </w:tc>
        <w:tc>
          <w:tcPr>
            <w:tcW w:w="1520" w:type="dxa"/>
            <w:vAlign w:val="center"/>
          </w:tcPr>
          <w:p>
            <w:pPr>
              <w:jc w:val="right"/>
            </w:pPr>
            <w:r>
              <w:rPr>
                <w:rFonts w:ascii="宋体" w:hAnsi="宋体" w:eastAsia="宋体" w:cs="宋体"/>
                <w:b w:val="0"/>
                <w:i w:val="0"/>
                <w:color w:val="000000"/>
                <w:sz w:val="16"/>
              </w:rPr>
              <w:t>0.07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2.62</w:t>
            </w:r>
          </w:p>
        </w:tc>
        <w:tc>
          <w:tcPr>
            <w:tcW w:w="1520" w:type="dxa"/>
            <w:vAlign w:val="center"/>
          </w:tcPr>
          <w:p>
            <w:pPr>
              <w:jc w:val="right"/>
            </w:pPr>
            <w:r>
              <w:rPr>
                <w:rFonts w:ascii="宋体" w:hAnsi="宋体" w:eastAsia="宋体" w:cs="宋体"/>
                <w:b w:val="0"/>
                <w:i w:val="0"/>
                <w:color w:val="000000"/>
                <w:sz w:val="16"/>
              </w:rPr>
              <w:t>2.62</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2.62</w:t>
            </w:r>
          </w:p>
        </w:tc>
        <w:tc>
          <w:tcPr>
            <w:tcW w:w="1520" w:type="dxa"/>
            <w:vAlign w:val="center"/>
          </w:tcPr>
          <w:p>
            <w:pPr>
              <w:jc w:val="right"/>
            </w:pPr>
            <w:r>
              <w:rPr>
                <w:rFonts w:ascii="宋体" w:hAnsi="宋体" w:eastAsia="宋体" w:cs="宋体"/>
                <w:b w:val="0"/>
                <w:i w:val="0"/>
                <w:color w:val="000000"/>
                <w:sz w:val="16"/>
              </w:rPr>
              <w:t>2.62</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2.62</w:t>
            </w:r>
          </w:p>
        </w:tc>
        <w:tc>
          <w:tcPr>
            <w:tcW w:w="1520" w:type="dxa"/>
            <w:vAlign w:val="center"/>
          </w:tcPr>
          <w:p>
            <w:pPr>
              <w:jc w:val="right"/>
            </w:pPr>
            <w:r>
              <w:rPr>
                <w:rFonts w:ascii="宋体" w:hAnsi="宋体" w:eastAsia="宋体" w:cs="宋体"/>
                <w:b w:val="0"/>
                <w:i w:val="0"/>
                <w:color w:val="000000"/>
                <w:sz w:val="16"/>
              </w:rPr>
              <w:t>2.62</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部门：中共景德镇市昌江区委员会信访局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pPr>
              <w:jc w:val="center"/>
            </w:pPr>
            <w:r>
              <w:rPr>
                <w:rFonts w:ascii="宋体" w:hAnsi="宋体" w:eastAsia="宋体" w:cs="宋体"/>
                <w:b w:val="0"/>
                <w:i w:val="0"/>
                <w:color w:val="000000"/>
                <w:sz w:val="9"/>
              </w:rPr>
              <w:t>人员经费</w:t>
            </w:r>
          </w:p>
        </w:tc>
        <w:tc>
          <w:tcPr>
            <w:tcW w:w="540"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46.78</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3.44</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7.54</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pPr>
              <w:jc w:val="right"/>
            </w:pPr>
            <w:r>
              <w:rPr>
                <w:rFonts w:ascii="宋体" w:hAnsi="宋体" w:eastAsia="宋体" w:cs="宋体"/>
                <w:b w:val="0"/>
                <w:i w:val="0"/>
                <w:color w:val="000000"/>
                <w:sz w:val="9"/>
              </w:rPr>
              <w:t>0.32</w:t>
            </w: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6.56</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pPr>
              <w:jc w:val="right"/>
            </w:pPr>
            <w:r>
              <w:rPr>
                <w:rFonts w:ascii="宋体" w:hAnsi="宋体" w:eastAsia="宋体" w:cs="宋体"/>
                <w:b w:val="0"/>
                <w:i w:val="0"/>
                <w:color w:val="000000"/>
                <w:sz w:val="9"/>
              </w:rPr>
              <w:t>2.07</w:t>
            </w: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pPr>
              <w:jc w:val="right"/>
            </w:pPr>
            <w:r>
              <w:rPr>
                <w:rFonts w:ascii="宋体" w:hAnsi="宋体" w:eastAsia="宋体" w:cs="宋体"/>
                <w:b w:val="0"/>
                <w:i w:val="0"/>
                <w:color w:val="000000"/>
                <w:sz w:val="9"/>
              </w:rPr>
              <w:t>3.24</w:t>
            </w: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pPr>
              <w:jc w:val="right"/>
            </w:pPr>
            <w:r>
              <w:rPr>
                <w:rFonts w:ascii="宋体" w:hAnsi="宋体" w:eastAsia="宋体" w:cs="宋体"/>
                <w:b w:val="0"/>
                <w:i w:val="0"/>
                <w:color w:val="000000"/>
                <w:sz w:val="9"/>
              </w:rPr>
              <w:t>2.00</w:t>
            </w: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2.95</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pPr>
              <w:jc w:val="right"/>
            </w:pPr>
            <w:r>
              <w:rPr>
                <w:rFonts w:ascii="宋体" w:hAnsi="宋体" w:eastAsia="宋体" w:cs="宋体"/>
                <w:b w:val="0"/>
                <w:i w:val="0"/>
                <w:color w:val="000000"/>
                <w:sz w:val="9"/>
              </w:rPr>
              <w:t>0.05</w:t>
            </w: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1.03</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0.07</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pPr>
              <w:jc w:val="right"/>
            </w:pPr>
            <w:r>
              <w:rPr>
                <w:rFonts w:ascii="宋体" w:hAnsi="宋体" w:eastAsia="宋体" w:cs="宋体"/>
                <w:b w:val="0"/>
                <w:i w:val="0"/>
                <w:color w:val="000000"/>
                <w:sz w:val="9"/>
              </w:rPr>
              <w:t>0.31</w:t>
            </w: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2.62</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pPr>
              <w:jc w:val="right"/>
            </w:pPr>
            <w:r>
              <w:rPr>
                <w:rFonts w:ascii="宋体" w:hAnsi="宋体" w:eastAsia="宋体" w:cs="宋体"/>
                <w:b w:val="0"/>
                <w:i w:val="0"/>
                <w:color w:val="000000"/>
                <w:sz w:val="9"/>
              </w:rPr>
              <w:t>0.06</w:t>
            </w: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pPr>
              <w:jc w:val="right"/>
            </w:pPr>
            <w:r>
              <w:rPr>
                <w:rFonts w:ascii="宋体" w:hAnsi="宋体" w:eastAsia="宋体" w:cs="宋体"/>
                <w:b w:val="0"/>
                <w:i w:val="0"/>
                <w:color w:val="000000"/>
                <w:sz w:val="9"/>
              </w:rPr>
              <w:t>18.70</w:t>
            </w: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pPr>
              <w:jc w:val="right"/>
            </w:pPr>
            <w:r>
              <w:rPr>
                <w:rFonts w:ascii="宋体" w:hAnsi="宋体" w:eastAsia="宋体" w:cs="宋体"/>
                <w:b w:val="0"/>
                <w:i w:val="0"/>
                <w:color w:val="000000"/>
                <w:sz w:val="9"/>
              </w:rPr>
              <w:t>0.60</w:t>
            </w: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pPr>
              <w:jc w:val="right"/>
            </w:pPr>
            <w:r>
              <w:rPr>
                <w:rFonts w:ascii="宋体" w:hAnsi="宋体" w:eastAsia="宋体" w:cs="宋体"/>
                <w:b w:val="0"/>
                <w:i w:val="0"/>
                <w:color w:val="000000"/>
                <w:sz w:val="9"/>
              </w:rPr>
              <w:t>1.52</w:t>
            </w: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pPr>
              <w:jc w:val="right"/>
            </w:pPr>
            <w:r>
              <w:rPr>
                <w:rFonts w:ascii="宋体" w:hAnsi="宋体" w:eastAsia="宋体" w:cs="宋体"/>
                <w:b w:val="0"/>
                <w:i w:val="0"/>
                <w:color w:val="000000"/>
                <w:sz w:val="9"/>
              </w:rPr>
              <w:t>0.60</w:t>
            </w: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pPr>
              <w:jc w:val="right"/>
            </w:pPr>
            <w:r>
              <w:rPr>
                <w:rFonts w:ascii="宋体" w:hAnsi="宋体" w:eastAsia="宋体" w:cs="宋体"/>
                <w:b w:val="0"/>
                <w:i w:val="0"/>
                <w:color w:val="000000"/>
                <w:sz w:val="9"/>
              </w:rPr>
              <w:t>1.06</w:t>
            </w: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pPr>
              <w:jc w:val="right"/>
            </w:pPr>
            <w:r>
              <w:rPr>
                <w:rFonts w:ascii="宋体" w:hAnsi="宋体" w:eastAsia="宋体" w:cs="宋体"/>
                <w:b w:val="0"/>
                <w:i w:val="0"/>
                <w:color w:val="000000"/>
                <w:sz w:val="9"/>
              </w:rPr>
              <w:t>0.12</w:t>
            </w: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47.38</w:t>
            </w:r>
          </w:p>
        </w:tc>
        <w:tc>
          <w:tcPr>
            <w:tcW w:w="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3.44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部门：中共景德镇市昌江区委员会信访局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94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tc>
        <w:tc>
          <w:tcPr>
            <w:tcW w:w="1700" w:type="dxa"/>
            <w:vAlign w:val="center"/>
          </w:tcP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部门：中共景德镇市昌江区委员会信访局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部门：中共景德镇市昌江区委员会信访局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pPr>
              <w:jc w:val="right"/>
            </w:pPr>
            <w:r>
              <w:rPr>
                <w:rFonts w:ascii="宋体" w:hAnsi="宋体" w:eastAsia="宋体" w:cs="宋体"/>
                <w:b w:val="0"/>
                <w:i w:val="0"/>
                <w:color w:val="000000"/>
                <w:sz w:val="17"/>
              </w:rPr>
              <w:t>0.40</w:t>
            </w:r>
          </w:p>
        </w:tc>
        <w:tc>
          <w:tcPr>
            <w:tcW w:w="1460" w:type="dxa"/>
            <w:vAlign w:val="center"/>
          </w:tcPr>
          <w:p>
            <w:pPr>
              <w:jc w:val="right"/>
            </w:pPr>
            <w:r>
              <w:rPr>
                <w:rFonts w:ascii="宋体" w:hAnsi="宋体" w:eastAsia="宋体" w:cs="宋体"/>
                <w:b w:val="0"/>
                <w:i w:val="0"/>
                <w:color w:val="000000"/>
                <w:sz w:val="16"/>
              </w:rPr>
              <w:t>0.40</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pPr>
              <w:jc w:val="right"/>
            </w:pPr>
            <w:r>
              <w:rPr>
                <w:rFonts w:ascii="宋体" w:hAnsi="宋体" w:eastAsia="宋体" w:cs="宋体"/>
                <w:b w:val="0"/>
                <w:i w:val="0"/>
                <w:color w:val="000000"/>
                <w:sz w:val="17"/>
              </w:rPr>
              <w:t>0.40</w:t>
            </w:r>
          </w:p>
        </w:tc>
        <w:tc>
          <w:tcPr>
            <w:tcW w:w="1460" w:type="dxa"/>
            <w:vAlign w:val="center"/>
          </w:tcPr>
          <w:p>
            <w:pPr>
              <w:jc w:val="right"/>
            </w:pPr>
            <w:r>
              <w:rPr>
                <w:rFonts w:ascii="宋体" w:hAnsi="宋体" w:eastAsia="宋体" w:cs="宋体"/>
                <w:b w:val="0"/>
                <w:i w:val="0"/>
                <w:color w:val="000000"/>
                <w:sz w:val="16"/>
              </w:rPr>
              <w:t>0.40</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10"/>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ascii="宋体" w:hAnsi="宋体" w:eastAsia="宋体" w:cs="宋体"/>
                <w:sz w:val="20"/>
              </w:rPr>
              <w:t>部门：</w:t>
            </w:r>
            <w:r>
              <w:rPr>
                <w:rFonts w:hint="eastAsia" w:ascii="宋体" w:hAnsi="宋体" w:eastAsia="宋体" w:cs="宋体"/>
                <w:b w:val="0"/>
                <w:i w:val="0"/>
                <w:color w:val="000000"/>
                <w:sz w:val="20"/>
              </w:rPr>
              <w:t>中共景德镇市昌江区委员会信访局</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pPr>
        <w:ind w:firstLine="630"/>
        <w:jc w:val="left"/>
        <w:rPr>
          <w:rFonts w:hint="eastAsia" w:ascii="仿宋_GB2312" w:hAnsi="仿宋_GB2312" w:eastAsia="仿宋_GB2312"/>
          <w:sz w:val="30"/>
          <w:szCs w:val="30"/>
        </w:rPr>
      </w:pPr>
    </w:p>
    <w:p>
      <w:pPr>
        <w:spacing w:line="360" w:lineRule="auto"/>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spacing w:line="360" w:lineRule="auto"/>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本部门2023年度收入总计161.32万元，其中年初结转和结余1.00万元，比上年增加1.00万元；使用非财政拨款结余和专用结余0.00万元，与上年持平；本年收入合计160.33万元，比上年减少14.81万元，下降8.46%，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人员工资及工作经费收入减少</w:t>
      </w:r>
      <w:r>
        <w:rPr>
          <w:rFonts w:hint="eastAsia" w:ascii="仿宋_GB2312" w:hAnsi="仿宋_GB2312" w:eastAsia="仿宋_GB2312"/>
          <w:sz w:val="32"/>
          <w:szCs w:val="32"/>
        </w:rPr>
        <w:t>。</w:t>
      </w:r>
    </w:p>
    <w:p>
      <w:pPr>
        <w:spacing w:line="360" w:lineRule="auto"/>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本年收入的具体构成：财政拨款收入160.32万元，占100.00%；事业收入0.00万元，占0.00%；经营收入0.00万元，占0.00%；上级补助收入0.00万元，占0.00%；附属单位上缴收入0.00万元，占0.00%；其他收入0.00万元，占0.00%。  </w:t>
      </w:r>
    </w:p>
    <w:p>
      <w:pPr>
        <w:spacing w:line="360" w:lineRule="auto"/>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spacing w:line="360" w:lineRule="auto"/>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本部门2023年度支出总计161.32万元，其中本年支出合计160.32万元，比上年减少13.82万元，下降7.94%，</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人员工资及工作经费支出均已减少</w:t>
      </w:r>
      <w:r>
        <w:rPr>
          <w:rFonts w:hint="eastAsia" w:ascii="仿宋_GB2312" w:hAnsi="仿宋_GB2312" w:eastAsia="仿宋_GB2312"/>
          <w:sz w:val="32"/>
          <w:szCs w:val="32"/>
        </w:rPr>
        <w:t>；结余分配0.00万元，与上年持平；年末结转和结余1.00万元，比上年增加0.00万元</w:t>
      </w:r>
      <w:r>
        <w:rPr>
          <w:rFonts w:hint="eastAsia" w:ascii="仿宋_GB2312" w:hAnsi="仿宋_GB2312" w:eastAsia="仿宋_GB2312" w:cs="Times New Roman"/>
          <w:sz w:val="32"/>
          <w:szCs w:val="32"/>
        </w:rPr>
        <w:t>，增长0.23%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本年财政没有收回其他资金结转和结余</w:t>
      </w:r>
      <w:r>
        <w:rPr>
          <w:rFonts w:hint="eastAsia" w:ascii="仿宋_GB2312" w:hAnsi="仿宋_GB2312" w:eastAsia="仿宋_GB2312"/>
          <w:sz w:val="32"/>
          <w:szCs w:val="32"/>
        </w:rPr>
        <w:t>。</w:t>
      </w:r>
    </w:p>
    <w:p>
      <w:pPr>
        <w:spacing w:line="360" w:lineRule="auto"/>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本年支出的具体构成：基本支出50.82万元，占31.70%；项目支出109.50万元，占68.30%；经营支出0.00万元，占0.00%；上缴上级支出0.00万元，占0.00%；对附属单位补助支出0.00万元，占0.00%。</w:t>
      </w:r>
    </w:p>
    <w:p>
      <w:pPr>
        <w:spacing w:line="360" w:lineRule="auto"/>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spacing w:line="360" w:lineRule="auto"/>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本部门2023年度财政拨款本年支出年初预算数100.31万元，决算数160.32万元，完成年初预算的159.84%。其中：</w:t>
      </w:r>
    </w:p>
    <w:p>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（一）一般公共服务支出（类）年初预算数93.63万元，决算数153.65万元，完成年初预算的164.10%。预决算差异主要原因：</w:t>
      </w:r>
      <w:r>
        <w:rPr>
          <w:rFonts w:hint="eastAsia" w:ascii="仿宋_GB2312" w:hAnsi="仿宋_GB2312" w:eastAsia="仿宋_GB2312" w:cs="Times New Roman"/>
          <w:sz w:val="32"/>
          <w:szCs w:val="32"/>
          <w:lang w:val="en-US" w:eastAsia="zh-CN"/>
        </w:rPr>
        <w:t>公用经费支出增加</w:t>
      </w:r>
      <w:r>
        <w:rPr>
          <w:rFonts w:hint="eastAsia" w:ascii="仿宋_GB2312" w:hAnsi="仿宋_GB2312" w:eastAsia="仿宋_GB2312" w:cs="Times New Roman"/>
          <w:sz w:val="32"/>
          <w:szCs w:val="32"/>
        </w:rPr>
        <w:t xml:space="preserve">。 </w:t>
      </w:r>
    </w:p>
    <w:p>
      <w:pPr>
        <w:spacing w:line="360" w:lineRule="auto"/>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）社会保障和就业支出（类）年初预算数2.95万元，决算数2.95万元，完成年初预算的100.00%。</w:t>
      </w:r>
    </w:p>
    <w:p>
      <w:pPr>
        <w:spacing w:line="360" w:lineRule="auto"/>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）卫生健康支出（类）年初预算数1.10万元，决算数1.10万元，完成年初预算的100.00%。</w:t>
      </w:r>
    </w:p>
    <w:p>
      <w:pPr>
        <w:spacing w:line="360" w:lineRule="auto"/>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）住房保障支出（类）年初预算数2.62万元，决算数2.62万元，完成年初预算的100.00%。</w:t>
      </w:r>
    </w:p>
    <w:p>
      <w:pPr>
        <w:spacing w:line="360" w:lineRule="auto"/>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spacing w:line="360" w:lineRule="auto"/>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本部门2023年度一般公共预算财政拨款基本支出50.82万元，其中：</w:t>
      </w:r>
    </w:p>
    <w:p>
      <w:pPr>
        <w:spacing w:line="360" w:lineRule="auto"/>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（一）工资福利支出46.78万元，比上年减少33.49万元，下降41.72%，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临时人员减少</w:t>
      </w:r>
      <w:r>
        <w:rPr>
          <w:rFonts w:hint="eastAsia" w:ascii="仿宋_GB2312" w:hAnsi="仿宋_GB2312" w:eastAsia="仿宋_GB2312"/>
          <w:sz w:val="32"/>
          <w:szCs w:val="32"/>
        </w:rPr>
        <w:t>。</w:t>
      </w:r>
    </w:p>
    <w:p>
      <w:pPr>
        <w:spacing w:line="360" w:lineRule="auto"/>
        <w:ind w:firstLine="585"/>
        <w:jc w:val="left"/>
        <w:rPr>
          <w:rFonts w:hint="eastAsia" w:ascii="仿宋_GB2312" w:hAnsi="仿宋_GB2312" w:eastAsia="仿宋_GB2312"/>
          <w:color w:val="auto"/>
          <w:sz w:val="32"/>
          <w:szCs w:val="32"/>
        </w:rPr>
      </w:pPr>
      <w:r>
        <w:rPr>
          <w:rFonts w:hint="eastAsia" w:ascii="仿宋_GB2312" w:hAnsi="仿宋_GB2312" w:eastAsia="仿宋_GB2312"/>
          <w:sz w:val="32"/>
          <w:szCs w:val="32"/>
        </w:rPr>
        <w:t>（二）商品和服务支出3.44万元，比上年减少2.82万元，下降45.05%，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遵守中央八项规定，励行节约开支</w:t>
      </w:r>
      <w:r>
        <w:rPr>
          <w:rFonts w:hint="eastAsia" w:ascii="仿宋_GB2312" w:hAnsi="仿宋_GB2312" w:eastAsia="仿宋_GB2312"/>
          <w:color w:val="auto"/>
          <w:sz w:val="32"/>
          <w:szCs w:val="32"/>
        </w:rPr>
        <w:t>。</w:t>
      </w:r>
    </w:p>
    <w:p>
      <w:pPr>
        <w:spacing w:line="360" w:lineRule="auto"/>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（三）对个人和家庭补助支出0.60万元，比上年增加0.60万元，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本年增加了走访慰问及加班工作用餐费</w:t>
      </w:r>
      <w:r>
        <w:rPr>
          <w:rFonts w:hint="eastAsia" w:ascii="仿宋_GB2312" w:hAnsi="仿宋_GB2312" w:eastAsia="仿宋_GB2312"/>
          <w:sz w:val="32"/>
          <w:szCs w:val="32"/>
        </w:rPr>
        <w:t>。</w:t>
      </w:r>
    </w:p>
    <w:p>
      <w:pPr>
        <w:spacing w:line="360" w:lineRule="auto"/>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本年与上年均没有新购置固定资产</w:t>
      </w:r>
      <w:r>
        <w:rPr>
          <w:rFonts w:hint="eastAsia" w:ascii="仿宋_GB2312" w:hAnsi="仿宋_GB2312" w:eastAsia="仿宋_GB2312"/>
          <w:sz w:val="32"/>
          <w:szCs w:val="32"/>
        </w:rPr>
        <w:t>。</w:t>
      </w:r>
    </w:p>
    <w:p>
      <w:pPr>
        <w:spacing w:line="360" w:lineRule="auto"/>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spacing w:line="360" w:lineRule="auto"/>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本部门2023年度财政拨款“三公”经费支出全年预算数0.40万元，决算数0.00万元，完成全年预算的0.00%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决算数与上年持平，其中：</w:t>
      </w:r>
    </w:p>
    <w:p>
      <w:pPr>
        <w:spacing w:line="360" w:lineRule="auto"/>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本年没有安排</w:t>
      </w:r>
      <w:r>
        <w:rPr>
          <w:rFonts w:hint="eastAsia" w:ascii="仿宋_GB2312" w:hAnsi="仿宋_GB2312" w:eastAsia="仿宋_GB2312"/>
          <w:color w:val="auto"/>
          <w:sz w:val="32"/>
          <w:szCs w:val="32"/>
        </w:rPr>
        <w:t>因公出国（境）支出</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本年没有安排</w:t>
      </w:r>
      <w:r>
        <w:rPr>
          <w:rFonts w:hint="eastAsia" w:ascii="仿宋_GB2312" w:hAnsi="仿宋_GB2312" w:eastAsia="仿宋_GB2312"/>
          <w:color w:val="auto"/>
          <w:sz w:val="32"/>
          <w:szCs w:val="32"/>
        </w:rPr>
        <w:t>因公出国（境）支出</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olor w:val="auto"/>
          <w:sz w:val="32"/>
          <w:szCs w:val="32"/>
          <w:lang w:val="en-US" w:eastAsia="zh-CN"/>
        </w:rPr>
        <w:t>本年没有安排</w:t>
      </w:r>
      <w:r>
        <w:rPr>
          <w:rFonts w:hint="eastAsia" w:ascii="仿宋_GB2312" w:hAnsi="仿宋_GB2312" w:eastAsia="仿宋_GB2312"/>
          <w:color w:val="auto"/>
          <w:sz w:val="32"/>
          <w:szCs w:val="32"/>
        </w:rPr>
        <w:t>因公出国（境）支出</w:t>
      </w:r>
      <w:r>
        <w:rPr>
          <w:rFonts w:hint="eastAsia" w:ascii="仿宋_GB2312" w:hAnsi="仿宋_GB2312" w:eastAsia="仿宋_GB2312"/>
          <w:sz w:val="32"/>
          <w:szCs w:val="32"/>
        </w:rPr>
        <w:t>。</w:t>
      </w:r>
    </w:p>
    <w:p>
      <w:pPr>
        <w:spacing w:line="360" w:lineRule="auto"/>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pPr>
        <w:spacing w:line="360" w:lineRule="auto"/>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本部门没有公务用车编制</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本部门没有公务用车编制</w:t>
      </w:r>
      <w:r>
        <w:rPr>
          <w:rFonts w:hint="eastAsia" w:ascii="仿宋_GB2312" w:hAnsi="仿宋_GB2312" w:eastAsia="仿宋_GB2312"/>
          <w:sz w:val="32"/>
          <w:szCs w:val="32"/>
        </w:rPr>
        <w:t>。全年使用财政拨款购置公务用车0辆。</w:t>
      </w:r>
    </w:p>
    <w:p>
      <w:pPr>
        <w:spacing w:line="360" w:lineRule="auto"/>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本部门没有公务用车编制</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本部门没有公务用车编制</w:t>
      </w:r>
      <w:r>
        <w:rPr>
          <w:rFonts w:hint="eastAsia" w:ascii="仿宋_GB2312" w:hAnsi="仿宋_GB2312" w:eastAsia="仿宋_GB2312"/>
          <w:sz w:val="32"/>
          <w:szCs w:val="32"/>
        </w:rPr>
        <w:t>。年末使用财政拨款负担费用的公务用车保有量0辆。</w:t>
      </w:r>
    </w:p>
    <w:p>
      <w:pPr>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（三）公务接待费全年预算数0.40万元，决算数0.00万元，完成全年预算的0.00%，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本年没有接待外来人员</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本年没有接待外来人员</w:t>
      </w:r>
      <w:r>
        <w:rPr>
          <w:rFonts w:hint="eastAsia" w:ascii="仿宋_GB2312" w:hAnsi="仿宋_GB2312" w:eastAsia="仿宋_GB2312"/>
          <w:sz w:val="32"/>
          <w:szCs w:val="32"/>
        </w:rPr>
        <w:t>。全年国内公务接待0批，累计接待0人次，主要是：</w:t>
      </w:r>
      <w:r>
        <w:rPr>
          <w:rFonts w:hint="eastAsia" w:ascii="仿宋_GB2312" w:hAnsi="仿宋_GB2312" w:eastAsia="仿宋_GB2312"/>
          <w:color w:val="auto"/>
          <w:sz w:val="32"/>
          <w:szCs w:val="32"/>
          <w:lang w:val="en-US" w:eastAsia="zh-CN"/>
        </w:rPr>
        <w:t>本年没有接待外来人员</w:t>
      </w:r>
      <w:r>
        <w:rPr>
          <w:rFonts w:hint="eastAsia" w:ascii="仿宋_GB2312" w:hAnsi="仿宋_GB2312" w:eastAsia="仿宋_GB2312"/>
          <w:sz w:val="32"/>
          <w:szCs w:val="32"/>
        </w:rPr>
        <w:t>。</w:t>
      </w:r>
    </w:p>
    <w:p>
      <w:pPr>
        <w:spacing w:line="360" w:lineRule="auto"/>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spacing w:line="360" w:lineRule="auto"/>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本部门2023年度机关运行经费支出3.44万元，决算数比上年减少2.82万元，下降45.05%，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励行节约开支，减少经费支出</w:t>
      </w:r>
      <w:r>
        <w:rPr>
          <w:rFonts w:hint="eastAsia" w:ascii="仿宋_GB2312" w:hAnsi="仿宋_GB2312" w:eastAsia="仿宋_GB2312"/>
          <w:sz w:val="32"/>
          <w:szCs w:val="32"/>
        </w:rPr>
        <w:t>。</w:t>
      </w:r>
    </w:p>
    <w:p>
      <w:pPr>
        <w:spacing w:line="360" w:lineRule="auto"/>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8"/>
        <w:spacing w:line="360" w:lineRule="auto"/>
        <w:ind w:firstLine="600"/>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1.04万元，其中：政府采购货物支出1.04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w:t>
      </w:r>
    </w:p>
    <w:p>
      <w:pPr>
        <w:spacing w:line="360" w:lineRule="auto"/>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spacing w:line="360" w:lineRule="auto"/>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1</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1</w:t>
      </w:r>
      <w:r>
        <w:rPr>
          <w:rFonts w:hint="eastAsia" w:ascii="仿宋_GB2312" w:hAnsi="仿宋_GB2312" w:eastAsia="仿宋_GB2312"/>
          <w:kern w:val="0"/>
          <w:sz w:val="32"/>
          <w:szCs w:val="32"/>
        </w:rPr>
        <w:t>辆</w:t>
      </w:r>
      <w:r>
        <w:rPr>
          <w:rFonts w:hint="eastAsia" w:ascii="仿宋_GB2312" w:hAnsi="仿宋_GB2312" w:eastAsia="仿宋_GB2312" w:cs="Times New Roman"/>
          <w:sz w:val="32"/>
          <w:szCs w:val="32"/>
        </w:rPr>
        <w:t>，其他用车主要是用于（此处请补充内容）</w:t>
      </w:r>
      <w:r>
        <w:rPr>
          <w:rFonts w:hint="eastAsia" w:ascii="仿宋_GB2312" w:hAnsi="仿宋_GB2312" w:eastAsia="仿宋_GB2312"/>
          <w:kern w:val="0"/>
          <w:sz w:val="32"/>
          <w:szCs w:val="32"/>
        </w:rPr>
        <w:t>。本部门单价100万元（含）以上设备（不含车辆）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spacing w:line="360" w:lineRule="auto"/>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124.8</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 xml:space="preserve">%。其中， </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 xml:space="preserve">个项目评价结果为“优”，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个项目评价结果为“良”， </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个项目评价结果为“差”。   </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w:t>
      </w:r>
      <w:r>
        <w:rPr>
          <w:rFonts w:hint="eastAsia" w:ascii="仿宋_GB2312" w:hAnsi="仿宋_GB2312" w:eastAsia="仿宋_GB2312" w:cs="仿宋_GB2312"/>
          <w:color w:val="000000" w:themeColor="text1"/>
          <w:sz w:val="32"/>
          <w:szCs w:val="32"/>
          <w:u w:val="none"/>
          <w:lang w:eastAsia="zh-CN"/>
        </w:rPr>
        <w:t>信访维稳工作经费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57.2</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从评价情况</w:t>
      </w:r>
      <w:r>
        <w:rPr>
          <w:rFonts w:hint="eastAsia" w:ascii="仿宋_GB2312" w:hAnsi="仿宋_GB2312" w:eastAsia="仿宋_GB2312" w:cs="仿宋_GB2312"/>
          <w:kern w:val="0"/>
          <w:sz w:val="32"/>
          <w:szCs w:val="32"/>
          <w:lang w:val="en-US" w:eastAsia="zh-CN"/>
        </w:rPr>
        <w:t>看</w:t>
      </w:r>
    </w:p>
    <w:p>
      <w:pPr>
        <w:widowControl/>
        <w:spacing w:before="226" w:after="452" w:line="360" w:lineRule="auto"/>
        <w:ind w:firstLine="640" w:firstLineChars="200"/>
        <w:rPr>
          <w:rFonts w:ascii="仿宋" w:hAnsi="仿宋" w:eastAsia="仿宋" w:cs="宋体"/>
          <w:color w:val="000000" w:themeColor="text1"/>
          <w:sz w:val="32"/>
          <w:szCs w:val="32"/>
          <w:lang w:eastAsia="zh-CN"/>
        </w:rPr>
      </w:pPr>
      <w:r>
        <w:rPr>
          <w:rFonts w:hint="eastAsia" w:ascii="仿宋" w:hAnsi="仿宋" w:eastAsia="仿宋" w:cs="宋体"/>
          <w:color w:val="000000" w:themeColor="text1"/>
          <w:sz w:val="32"/>
          <w:szCs w:val="32"/>
          <w:shd w:val="clear" w:color="auto" w:fill="FFFFFF"/>
          <w:lang w:eastAsia="zh-CN"/>
        </w:rPr>
        <w:t>根据昌江区财政局关于开展202</w:t>
      </w:r>
      <w:r>
        <w:rPr>
          <w:rFonts w:hint="eastAsia" w:ascii="仿宋" w:hAnsi="仿宋" w:eastAsia="仿宋" w:cs="宋体"/>
          <w:color w:val="000000" w:themeColor="text1"/>
          <w:sz w:val="32"/>
          <w:szCs w:val="32"/>
          <w:shd w:val="clear" w:color="auto" w:fill="FFFFFF"/>
          <w:lang w:val="en-US" w:eastAsia="zh-CN"/>
        </w:rPr>
        <w:t>3</w:t>
      </w:r>
      <w:r>
        <w:rPr>
          <w:rFonts w:hint="eastAsia" w:ascii="仿宋" w:hAnsi="仿宋" w:eastAsia="仿宋" w:cs="宋体"/>
          <w:color w:val="000000" w:themeColor="text1"/>
          <w:sz w:val="32"/>
          <w:szCs w:val="32"/>
          <w:shd w:val="clear" w:color="auto" w:fill="FFFFFF"/>
          <w:lang w:eastAsia="zh-CN"/>
        </w:rPr>
        <w:t>年绩效管理有关工作的通知（昌财绩字[202</w:t>
      </w:r>
      <w:r>
        <w:rPr>
          <w:rFonts w:hint="eastAsia" w:ascii="仿宋" w:hAnsi="仿宋" w:eastAsia="仿宋" w:cs="宋体"/>
          <w:color w:val="000000" w:themeColor="text1"/>
          <w:sz w:val="32"/>
          <w:szCs w:val="32"/>
          <w:shd w:val="clear" w:color="auto" w:fill="FFFFFF"/>
          <w:lang w:val="en-US" w:eastAsia="zh-CN"/>
        </w:rPr>
        <w:t>4</w:t>
      </w:r>
      <w:r>
        <w:rPr>
          <w:rFonts w:hint="eastAsia" w:ascii="仿宋" w:hAnsi="仿宋" w:eastAsia="仿宋" w:cs="宋体"/>
          <w:color w:val="000000" w:themeColor="text1"/>
          <w:sz w:val="32"/>
          <w:szCs w:val="32"/>
          <w:shd w:val="clear" w:color="auto" w:fill="FFFFFF"/>
          <w:lang w:eastAsia="zh-CN"/>
        </w:rPr>
        <w:t>]1号），我单位成立了绩效评价领导小组，对信访维稳经费项目支出资金进行全面评价。</w:t>
      </w:r>
    </w:p>
    <w:p>
      <w:pPr>
        <w:spacing w:after="120" w:line="360" w:lineRule="auto"/>
        <w:ind w:firstLine="640" w:firstLineChars="200"/>
        <w:rPr>
          <w:rFonts w:ascii="仿宋" w:hAnsi="仿宋" w:eastAsia="仿宋" w:cs="宋体"/>
          <w:color w:val="000000" w:themeColor="text1"/>
          <w:sz w:val="32"/>
          <w:szCs w:val="32"/>
          <w:lang w:eastAsia="zh-CN"/>
        </w:rPr>
      </w:pPr>
      <w:r>
        <w:rPr>
          <w:rFonts w:hint="eastAsia" w:ascii="仿宋" w:hAnsi="仿宋" w:eastAsia="仿宋" w:cs="宋体"/>
          <w:color w:val="000000" w:themeColor="text1"/>
          <w:sz w:val="32"/>
          <w:szCs w:val="32"/>
          <w:lang w:eastAsia="zh-CN"/>
        </w:rPr>
        <w:t>项目绩效评价工作小组按照项目评价指标表，从决策、过程、产出以及效益四个方面对项目进行综合评价，对各项指标进行综合打分。经评价，202</w:t>
      </w:r>
      <w:r>
        <w:rPr>
          <w:rFonts w:hint="eastAsia" w:ascii="仿宋" w:hAnsi="仿宋" w:eastAsia="仿宋" w:cs="宋体"/>
          <w:color w:val="000000" w:themeColor="text1"/>
          <w:sz w:val="32"/>
          <w:szCs w:val="32"/>
          <w:lang w:val="en-US" w:eastAsia="zh-CN"/>
        </w:rPr>
        <w:t>3</w:t>
      </w:r>
      <w:r>
        <w:rPr>
          <w:rFonts w:hint="eastAsia" w:ascii="仿宋" w:hAnsi="仿宋" w:eastAsia="仿宋" w:cs="宋体"/>
          <w:color w:val="000000" w:themeColor="text1"/>
          <w:sz w:val="32"/>
          <w:szCs w:val="32"/>
          <w:lang w:eastAsia="zh-CN"/>
        </w:rPr>
        <w:t>年</w:t>
      </w:r>
      <w:r>
        <w:rPr>
          <w:rFonts w:hint="eastAsia" w:ascii="仿宋" w:hAnsi="仿宋" w:eastAsia="仿宋" w:cs="仿宋"/>
          <w:b w:val="0"/>
          <w:bCs w:val="0"/>
          <w:color w:val="000000" w:themeColor="text1"/>
          <w:sz w:val="32"/>
          <w:szCs w:val="32"/>
          <w:shd w:val="clear" w:color="auto" w:fill="FFFFFF"/>
        </w:rPr>
        <w:t>信访维稳经费</w:t>
      </w:r>
      <w:r>
        <w:rPr>
          <w:rFonts w:hint="eastAsia" w:ascii="仿宋" w:hAnsi="仿宋" w:eastAsia="仿宋" w:cs="宋体"/>
          <w:color w:val="000000" w:themeColor="text1"/>
          <w:sz w:val="32"/>
          <w:szCs w:val="32"/>
          <w:lang w:eastAsia="zh-CN"/>
        </w:rPr>
        <w:t>平均得分为</w:t>
      </w:r>
      <w:r>
        <w:rPr>
          <w:rFonts w:hint="eastAsia" w:ascii="仿宋" w:hAnsi="仿宋" w:eastAsia="仿宋" w:cs="宋体"/>
          <w:color w:val="000000" w:themeColor="text1"/>
          <w:sz w:val="32"/>
          <w:szCs w:val="32"/>
          <w:lang w:val="en-US" w:eastAsia="zh-CN"/>
        </w:rPr>
        <w:t>98</w:t>
      </w:r>
      <w:r>
        <w:rPr>
          <w:rFonts w:hint="eastAsia" w:ascii="仿宋" w:hAnsi="仿宋" w:eastAsia="仿宋" w:cs="宋体"/>
          <w:color w:val="000000" w:themeColor="text1"/>
          <w:sz w:val="32"/>
          <w:szCs w:val="32"/>
          <w:lang w:eastAsia="zh-CN"/>
        </w:rPr>
        <w:t xml:space="preserve">分，评价等级为“优”。 </w:t>
      </w:r>
    </w:p>
    <w:p>
      <w:pPr>
        <w:pStyle w:val="5"/>
        <w:widowControl/>
        <w:spacing w:after="120" w:line="360" w:lineRule="auto"/>
        <w:ind w:firstLine="640" w:firstLineChars="200"/>
        <w:jc w:val="both"/>
        <w:rPr>
          <w:rFonts w:ascii="仿宋" w:hAnsi="仿宋" w:eastAsia="仿宋" w:cs="宋体"/>
          <w:color w:val="000000" w:themeColor="text1"/>
          <w:sz w:val="32"/>
          <w:szCs w:val="32"/>
          <w:shd w:val="clear" w:color="auto" w:fill="FFFFFF"/>
        </w:rPr>
      </w:pPr>
      <w:r>
        <w:rPr>
          <w:rFonts w:hint="eastAsia" w:ascii="仿宋" w:hAnsi="仿宋" w:eastAsia="仿宋" w:cs="宋体"/>
          <w:color w:val="000000" w:themeColor="text1"/>
          <w:sz w:val="32"/>
          <w:szCs w:val="32"/>
          <w:shd w:val="clear" w:color="auto" w:fill="FFFFFF"/>
        </w:rPr>
        <w:t>经济性：项目在实施过程中，严格控制经费支出，实际总支出不会超出预算。</w:t>
      </w:r>
    </w:p>
    <w:p>
      <w:pPr>
        <w:pStyle w:val="5"/>
        <w:widowControl/>
        <w:spacing w:after="120" w:line="360" w:lineRule="auto"/>
        <w:ind w:firstLine="640" w:firstLineChars="200"/>
        <w:jc w:val="both"/>
        <w:rPr>
          <w:rFonts w:ascii="仿宋" w:hAnsi="仿宋" w:eastAsia="仿宋" w:cs="宋体"/>
          <w:color w:val="000000" w:themeColor="text1"/>
          <w:sz w:val="32"/>
          <w:szCs w:val="32"/>
          <w:shd w:val="clear" w:color="auto" w:fill="FFFFFF"/>
        </w:rPr>
      </w:pPr>
      <w:r>
        <w:rPr>
          <w:rFonts w:hint="eastAsia" w:ascii="仿宋" w:hAnsi="仿宋" w:eastAsia="仿宋" w:cs="宋体"/>
          <w:color w:val="000000" w:themeColor="text1"/>
          <w:sz w:val="32"/>
          <w:szCs w:val="32"/>
          <w:shd w:val="clear" w:color="auto" w:fill="FFFFFF"/>
        </w:rPr>
        <w:t>效率性：按时按质完成信访维稳项目工作的任务，达到预期的目标。</w:t>
      </w:r>
    </w:p>
    <w:p>
      <w:pPr>
        <w:pStyle w:val="5"/>
        <w:shd w:val="clear" w:color="auto" w:fill="FFFFFF"/>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 w:hAnsi="仿宋" w:eastAsia="仿宋" w:cs="宋体"/>
          <w:bCs/>
          <w:color w:val="000000" w:themeColor="text1"/>
          <w:sz w:val="32"/>
          <w:szCs w:val="32"/>
          <w:shd w:val="clear" w:color="auto" w:fill="FFFFFF"/>
        </w:rPr>
        <w:t>有效性：</w:t>
      </w:r>
      <w:r>
        <w:rPr>
          <w:rFonts w:hint="eastAsia" w:ascii="仿宋" w:hAnsi="仿宋" w:eastAsia="仿宋" w:cs="宋体"/>
          <w:color w:val="000000" w:themeColor="text1"/>
          <w:sz w:val="32"/>
          <w:szCs w:val="32"/>
        </w:rPr>
        <w:t>坚持以人民为中心的发展思想，带着感情和责任为民解难，为党分忧，努力做到“北京不能去、江西不能聚、昌江不出事”。具体体现在四个方面：一是实现工作规范化。达到“五个一”标准，即有一个体制健全、高效运行的信访工作机构，一支行为规范、业务精通的工作队伍，一套立足长远、务实管用的长效机制，一个功能完备、便捷高效的接访场所，一套系统完备、科学顺畅的工作流程。开展“信访事项办理规范年”活动，提高办案质量，严格做到“三到位一处理”，实现“件件有着落，事事有回音”。二是实现“五个大幅下降”。即进京到重点地区访、进京集体访、进京个体访、赴省集体访、赴省个体访大幅度下降，力争同比下降30%以上。三是实现“三个大幅上升”。即中省转交办信访事项“三率”大幅提升，信访机构和有权机关及时受理率、按期答复率达到100%、信访机构和有权机关群众参评及满意率力争全市前五位次。四是实现“三个不发生”。即不发生出丑滋事极端恶性访，不发生群体性事件，不发生因信访问题引发的负面炒作</w:t>
      </w:r>
      <w:r>
        <w:rPr>
          <w:rFonts w:hint="eastAsia" w:ascii="仿宋" w:hAnsi="仿宋" w:eastAsia="仿宋" w:cs="宋体"/>
          <w:bCs/>
          <w:color w:val="000000" w:themeColor="text1"/>
          <w:sz w:val="32"/>
          <w:szCs w:val="32"/>
          <w:shd w:val="clear" w:color="auto" w:fill="FFFFFF"/>
        </w:rPr>
        <w:t>。通过该项目的实施，将实现</w:t>
      </w:r>
      <w:r>
        <w:rPr>
          <w:rFonts w:hint="eastAsia" w:ascii="仿宋" w:hAnsi="仿宋" w:eastAsia="仿宋" w:cs="宋体"/>
          <w:bCs/>
          <w:color w:val="000000" w:themeColor="text1"/>
          <w:sz w:val="32"/>
          <w:szCs w:val="32"/>
          <w:shd w:val="clear" w:color="auto" w:fill="FFFFFF"/>
          <w:lang w:val="en-US" w:eastAsia="zh-CN"/>
        </w:rPr>
        <w:t>项目预算测算</w:t>
      </w:r>
      <w:r>
        <w:rPr>
          <w:rFonts w:hint="eastAsia" w:ascii="仿宋" w:hAnsi="仿宋" w:eastAsia="仿宋" w:cs="宋体"/>
          <w:bCs/>
          <w:color w:val="000000" w:themeColor="text1"/>
          <w:sz w:val="32"/>
          <w:szCs w:val="32"/>
          <w:shd w:val="clear" w:color="auto" w:fill="FFFFFF"/>
        </w:rPr>
        <w:t>规定目标。</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160.32</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优</w:t>
      </w:r>
      <w:r>
        <w:rPr>
          <w:rFonts w:hint="eastAsia" w:ascii="仿宋_GB2312" w:hAnsi="仿宋_GB2312" w:eastAsia="仿宋_GB2312" w:cs="仿宋_GB2312"/>
          <w:kern w:val="0"/>
          <w:sz w:val="32"/>
          <w:szCs w:val="32"/>
        </w:rPr>
        <w:t>”。</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从评价情况看</w:t>
      </w:r>
    </w:p>
    <w:p>
      <w:pPr>
        <w:keepNext w:val="0"/>
        <w:keepLines w:val="0"/>
        <w:widowControl/>
        <w:suppressLineNumbers w:val="0"/>
        <w:spacing w:line="360" w:lineRule="auto"/>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(一) 部门决策完成情况</w:t>
      </w:r>
    </w:p>
    <w:p>
      <w:pPr>
        <w:keepNext w:val="0"/>
        <w:keepLines w:val="0"/>
        <w:widowControl/>
        <w:suppressLineNumbers w:val="0"/>
        <w:spacing w:line="360" w:lineRule="auto"/>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    本单位在实施整体项目前期按照上年度整体项目完成情况制定本年度预算计划，依据项目测算标准进行预算编制，合理分配预算资金，对总体目标进行中长期规划，制定年度工作计划，</w:t>
      </w:r>
      <w:r>
        <w:rPr>
          <w:rFonts w:hint="eastAsia" w:ascii="仿宋" w:hAnsi="仿宋" w:eastAsia="仿宋" w:cs="仿宋"/>
          <w:color w:val="000000"/>
          <w:kern w:val="2"/>
          <w:sz w:val="32"/>
          <w:szCs w:val="32"/>
          <w:shd w:val="clear" w:color="auto" w:fill="FFFFFF"/>
        </w:rPr>
        <w:t>绩效目标设置合理，绩效目标与项目年度工作任务相对应；绩效指标设置明确，将绩效目标细化分解为具体的绩效指标，指标设置清晰、可衡量；项目立项规范，项目按规定程序申请立项，提交材料充分、完整，事情进行集体决策</w:t>
      </w:r>
      <w:r>
        <w:rPr>
          <w:rFonts w:hint="eastAsia" w:ascii="仿宋" w:hAnsi="仿宋" w:eastAsia="仿宋" w:cs="仿宋"/>
          <w:color w:val="000000"/>
          <w:kern w:val="0"/>
          <w:sz w:val="31"/>
          <w:szCs w:val="31"/>
          <w:lang w:val="en-US" w:eastAsia="zh-CN" w:bidi="ar"/>
        </w:rPr>
        <w:t>。</w:t>
      </w:r>
    </w:p>
    <w:p>
      <w:pPr>
        <w:keepNext w:val="0"/>
        <w:keepLines w:val="0"/>
        <w:widowControl/>
        <w:numPr>
          <w:ilvl w:val="0"/>
          <w:numId w:val="1"/>
        </w:numPr>
        <w:suppressLineNumbers w:val="0"/>
        <w:spacing w:line="360" w:lineRule="auto"/>
        <w:ind w:left="0" w:leftChars="0" w:firstLine="0" w:firstLineChars="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部门管理完成情况 </w:t>
      </w:r>
    </w:p>
    <w:p>
      <w:pPr>
        <w:pStyle w:val="5"/>
        <w:keepNext w:val="0"/>
        <w:keepLines w:val="0"/>
        <w:widowControl/>
        <w:suppressLineNumbers w:val="0"/>
        <w:spacing w:before="300" w:beforeAutospacing="0" w:after="0" w:afterAutospacing="0" w:line="360" w:lineRule="auto"/>
        <w:ind w:right="0" w:firstLine="310" w:firstLineChars="100"/>
        <w:jc w:val="both"/>
        <w:rPr>
          <w:rFonts w:hint="eastAsia" w:ascii="仿宋" w:hAnsi="仿宋" w:eastAsia="仿宋" w:cs="仿宋"/>
          <w:color w:val="000000"/>
          <w:sz w:val="32"/>
          <w:szCs w:val="32"/>
        </w:rPr>
      </w:pPr>
      <w:r>
        <w:rPr>
          <w:rFonts w:hint="eastAsia" w:ascii="仿宋" w:hAnsi="仿宋" w:eastAsia="仿宋" w:cs="仿宋"/>
          <w:color w:val="000000"/>
          <w:kern w:val="0"/>
          <w:sz w:val="31"/>
          <w:szCs w:val="31"/>
          <w:lang w:val="en-US" w:eastAsia="zh-CN" w:bidi="ar"/>
        </w:rPr>
        <w:t xml:space="preserve"> </w:t>
      </w:r>
      <w:r>
        <w:rPr>
          <w:rFonts w:hint="eastAsia" w:ascii="仿宋" w:hAnsi="仿宋" w:eastAsia="仿宋" w:cs="仿宋"/>
          <w:color w:val="000000"/>
          <w:kern w:val="2"/>
          <w:sz w:val="32"/>
          <w:szCs w:val="32"/>
          <w:shd w:val="clear" w:color="auto" w:fill="FFFFFF"/>
        </w:rPr>
        <w:t>（</w:t>
      </w:r>
      <w:r>
        <w:rPr>
          <w:rFonts w:hint="eastAsia" w:ascii="仿宋" w:hAnsi="仿宋" w:eastAsia="仿宋" w:cs="仿宋"/>
          <w:color w:val="000000"/>
          <w:kern w:val="2"/>
          <w:sz w:val="32"/>
          <w:szCs w:val="32"/>
          <w:shd w:val="clear" w:color="auto" w:fill="FFFFFF"/>
          <w:lang w:val="en-US"/>
        </w:rPr>
        <w:t>1</w:t>
      </w:r>
      <w:r>
        <w:rPr>
          <w:rFonts w:hint="eastAsia" w:ascii="仿宋" w:hAnsi="仿宋" w:eastAsia="仿宋" w:cs="仿宋"/>
          <w:color w:val="000000"/>
          <w:kern w:val="2"/>
          <w:sz w:val="32"/>
          <w:szCs w:val="32"/>
          <w:shd w:val="clear" w:color="auto" w:fill="FFFFFF"/>
        </w:rPr>
        <w:t>）业务管理方面</w:t>
      </w:r>
      <w:r>
        <w:rPr>
          <w:rFonts w:hint="eastAsia" w:ascii="仿宋" w:hAnsi="仿宋" w:eastAsia="仿宋" w:cs="仿宋"/>
          <w:color w:val="000000"/>
          <w:kern w:val="2"/>
          <w:sz w:val="32"/>
          <w:szCs w:val="32"/>
          <w:shd w:val="clear" w:color="auto" w:fill="FFFFFF"/>
          <w:lang w:eastAsia="zh-CN"/>
        </w:rPr>
        <w:t>，</w:t>
      </w:r>
      <w:r>
        <w:rPr>
          <w:rFonts w:hint="eastAsia" w:ascii="仿宋" w:hAnsi="仿宋" w:eastAsia="仿宋" w:cs="仿宋"/>
          <w:color w:val="000000"/>
          <w:kern w:val="2"/>
          <w:sz w:val="32"/>
          <w:szCs w:val="32"/>
          <w:shd w:val="clear" w:color="auto" w:fill="FFFFFF"/>
        </w:rPr>
        <w:t>管理制度健全，具体相应的业务管理制度，业务管理制度合法、合规、完整；制度执行有效，遵守相关法律法规和业务管理制度，项目质量可控，具有或制定了相应的质量要求或标准，实时采取必要的控制措施或手段保证质量。</w:t>
      </w:r>
    </w:p>
    <w:p>
      <w:pPr>
        <w:pStyle w:val="5"/>
        <w:keepNext w:val="0"/>
        <w:keepLines w:val="0"/>
        <w:widowControl/>
        <w:suppressLineNumbers w:val="0"/>
        <w:spacing w:before="300" w:beforeAutospacing="0" w:after="0" w:afterAutospacing="0" w:line="360" w:lineRule="auto"/>
        <w:ind w:right="0" w:firstLine="320" w:firstLineChars="100"/>
        <w:jc w:val="both"/>
        <w:rPr>
          <w:rFonts w:hint="eastAsia"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w:t>
      </w:r>
      <w:r>
        <w:rPr>
          <w:rFonts w:hint="eastAsia" w:ascii="仿宋" w:hAnsi="仿宋" w:eastAsia="仿宋" w:cs="仿宋"/>
          <w:color w:val="000000"/>
          <w:kern w:val="2"/>
          <w:sz w:val="32"/>
          <w:szCs w:val="32"/>
          <w:shd w:val="clear" w:color="auto" w:fill="FFFFFF"/>
          <w:lang w:val="en-US"/>
        </w:rPr>
        <w:t>2</w:t>
      </w:r>
      <w:r>
        <w:rPr>
          <w:rFonts w:hint="eastAsia" w:ascii="仿宋" w:hAnsi="仿宋" w:eastAsia="仿宋" w:cs="仿宋"/>
          <w:color w:val="000000"/>
          <w:kern w:val="2"/>
          <w:sz w:val="32"/>
          <w:szCs w:val="32"/>
          <w:shd w:val="clear" w:color="auto" w:fill="FFFFFF"/>
        </w:rPr>
        <w:t>）</w:t>
      </w:r>
      <w:r>
        <w:rPr>
          <w:rFonts w:hint="eastAsia" w:ascii="仿宋" w:hAnsi="仿宋" w:eastAsia="仿宋" w:cs="仿宋"/>
          <w:color w:val="000000"/>
          <w:kern w:val="2"/>
          <w:sz w:val="32"/>
          <w:szCs w:val="32"/>
          <w:shd w:val="clear" w:color="auto" w:fill="FFFFFF"/>
          <w:lang w:val="en-US" w:eastAsia="zh-CN"/>
        </w:rPr>
        <w:t>资金管理方面</w:t>
      </w:r>
      <w:r>
        <w:rPr>
          <w:rFonts w:hint="eastAsia" w:ascii="仿宋" w:hAnsi="仿宋" w:eastAsia="仿宋" w:cs="仿宋"/>
          <w:color w:val="000000"/>
          <w:kern w:val="2"/>
          <w:sz w:val="32"/>
          <w:szCs w:val="32"/>
          <w:shd w:val="clear" w:color="auto" w:fill="FFFFFF"/>
          <w:lang w:eastAsia="zh-CN"/>
        </w:rPr>
        <w:t>，</w:t>
      </w:r>
      <w:r>
        <w:rPr>
          <w:rFonts w:hint="eastAsia" w:ascii="仿宋" w:hAnsi="仿宋" w:eastAsia="仿宋" w:cs="仿宋"/>
          <w:color w:val="000000"/>
          <w:kern w:val="2"/>
          <w:sz w:val="32"/>
          <w:szCs w:val="32"/>
          <w:shd w:val="clear" w:color="auto" w:fill="FFFFFF"/>
        </w:rPr>
        <w:t>资金使用较为合规，符合国家财经法规和财务管理制度以及专项资金管理办法的规定，资金的拨付有完整的审批程序和手续，固定资产有专人管理，固定资产利用率达</w:t>
      </w:r>
      <w:r>
        <w:rPr>
          <w:rFonts w:hint="eastAsia" w:ascii="仿宋" w:hAnsi="仿宋" w:eastAsia="仿宋" w:cs="仿宋"/>
          <w:color w:val="000000"/>
          <w:kern w:val="2"/>
          <w:sz w:val="32"/>
          <w:szCs w:val="32"/>
          <w:shd w:val="clear" w:color="auto" w:fill="FFFFFF"/>
          <w:lang w:val="en-US"/>
        </w:rPr>
        <w:t>100%</w:t>
      </w:r>
      <w:r>
        <w:rPr>
          <w:rFonts w:hint="eastAsia" w:ascii="仿宋" w:hAnsi="仿宋" w:eastAsia="仿宋" w:cs="仿宋"/>
          <w:color w:val="000000"/>
          <w:kern w:val="2"/>
          <w:sz w:val="32"/>
          <w:szCs w:val="32"/>
          <w:shd w:val="clear" w:color="auto" w:fill="FFFFFF"/>
        </w:rPr>
        <w:t>。项目资金较为安全，较为符合项目批复的用途使用。</w:t>
      </w:r>
    </w:p>
    <w:p>
      <w:pPr>
        <w:pStyle w:val="5"/>
        <w:keepNext w:val="0"/>
        <w:keepLines w:val="0"/>
        <w:widowControl/>
        <w:suppressLineNumbers w:val="0"/>
        <w:spacing w:before="300" w:beforeAutospacing="0" w:after="0" w:afterAutospacing="0" w:line="360" w:lineRule="auto"/>
        <w:ind w:right="0" w:firstLine="320" w:firstLineChars="100"/>
        <w:jc w:val="both"/>
        <w:rPr>
          <w:rFonts w:hint="default" w:ascii="仿宋" w:hAnsi="仿宋" w:eastAsia="仿宋" w:cs="仿宋"/>
          <w:color w:val="000000"/>
          <w:kern w:val="2"/>
          <w:sz w:val="32"/>
          <w:szCs w:val="32"/>
          <w:shd w:val="clear" w:color="auto" w:fill="FFFFFF"/>
          <w:lang w:val="en-US" w:eastAsia="zh-CN"/>
        </w:rPr>
      </w:pPr>
      <w:r>
        <w:rPr>
          <w:rFonts w:hint="eastAsia" w:ascii="仿宋" w:hAnsi="仿宋" w:eastAsia="仿宋" w:cs="仿宋"/>
          <w:color w:val="000000"/>
          <w:kern w:val="2"/>
          <w:sz w:val="32"/>
          <w:szCs w:val="32"/>
          <w:shd w:val="clear" w:color="auto" w:fill="FFFFFF"/>
          <w:lang w:eastAsia="zh-CN"/>
        </w:rPr>
        <w:t>（</w:t>
      </w:r>
      <w:r>
        <w:rPr>
          <w:rFonts w:hint="eastAsia" w:ascii="仿宋" w:hAnsi="仿宋" w:eastAsia="仿宋" w:cs="仿宋"/>
          <w:color w:val="000000"/>
          <w:kern w:val="2"/>
          <w:sz w:val="32"/>
          <w:szCs w:val="32"/>
          <w:shd w:val="clear" w:color="auto" w:fill="FFFFFF"/>
          <w:lang w:val="en-US" w:eastAsia="zh-CN"/>
        </w:rPr>
        <w:t>3</w:t>
      </w:r>
      <w:r>
        <w:rPr>
          <w:rFonts w:hint="eastAsia" w:ascii="仿宋" w:hAnsi="仿宋" w:eastAsia="仿宋" w:cs="仿宋"/>
          <w:color w:val="000000"/>
          <w:kern w:val="2"/>
          <w:sz w:val="32"/>
          <w:szCs w:val="32"/>
          <w:shd w:val="clear" w:color="auto" w:fill="FFFFFF"/>
          <w:lang w:eastAsia="zh-CN"/>
        </w:rPr>
        <w:t>）</w:t>
      </w:r>
      <w:r>
        <w:rPr>
          <w:rFonts w:hint="eastAsia" w:ascii="仿宋" w:hAnsi="仿宋" w:eastAsia="仿宋" w:cs="仿宋"/>
          <w:color w:val="000000"/>
          <w:kern w:val="2"/>
          <w:sz w:val="32"/>
          <w:szCs w:val="32"/>
          <w:shd w:val="clear" w:color="auto" w:fill="FFFFFF"/>
          <w:lang w:val="en-US" w:eastAsia="zh-CN"/>
        </w:rPr>
        <w:t>信息公开方面，预决算均在政府规定的时间内地政府信息网站公开。</w:t>
      </w:r>
    </w:p>
    <w:p>
      <w:pPr>
        <w:keepNext w:val="0"/>
        <w:keepLines w:val="0"/>
        <w:widowControl/>
        <w:numPr>
          <w:ilvl w:val="0"/>
          <w:numId w:val="0"/>
        </w:numPr>
        <w:suppressLineNumbers w:val="0"/>
        <w:ind w:leftChars="0"/>
        <w:jc w:val="left"/>
        <w:rPr>
          <w:rFonts w:hint="default" w:ascii="仿宋" w:hAnsi="仿宋" w:eastAsia="仿宋" w:cs="仿宋"/>
          <w:color w:val="000000"/>
          <w:kern w:val="0"/>
          <w:sz w:val="31"/>
          <w:szCs w:val="31"/>
          <w:lang w:val="en-US" w:eastAsia="zh-CN" w:bidi="ar"/>
        </w:rPr>
      </w:pPr>
    </w:p>
    <w:p>
      <w:pPr>
        <w:keepNext w:val="0"/>
        <w:keepLines w:val="0"/>
        <w:widowControl/>
        <w:numPr>
          <w:ilvl w:val="0"/>
          <w:numId w:val="1"/>
        </w:numPr>
        <w:suppressLineNumbers w:val="0"/>
        <w:ind w:left="0" w:leftChars="0" w:firstLine="0" w:firstLineChars="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部门产出完成情况 </w:t>
      </w:r>
    </w:p>
    <w:p>
      <w:pPr>
        <w:keepNext w:val="0"/>
        <w:keepLines w:val="0"/>
        <w:widowControl/>
        <w:numPr>
          <w:ilvl w:val="0"/>
          <w:numId w:val="0"/>
        </w:numPr>
        <w:suppressLineNumbers w:val="0"/>
        <w:spacing w:line="360" w:lineRule="auto"/>
        <w:ind w:leftChars="0" w:firstLine="620"/>
        <w:jc w:val="left"/>
        <w:rPr>
          <w:rFonts w:hint="eastAsia"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产出数量方面</w:t>
      </w:r>
      <w:r>
        <w:rPr>
          <w:rFonts w:hint="eastAsia" w:ascii="仿宋" w:hAnsi="仿宋" w:eastAsia="仿宋" w:cs="仿宋"/>
          <w:color w:val="000000"/>
          <w:kern w:val="2"/>
          <w:sz w:val="32"/>
          <w:szCs w:val="32"/>
          <w:shd w:val="clear" w:color="auto" w:fill="FFFFFF"/>
          <w:lang w:eastAsia="zh-CN"/>
        </w:rPr>
        <w:t>，</w:t>
      </w:r>
      <w:r>
        <w:rPr>
          <w:rFonts w:hint="eastAsia" w:ascii="仿宋" w:hAnsi="仿宋" w:eastAsia="仿宋" w:cs="仿宋"/>
          <w:color w:val="000000"/>
          <w:sz w:val="32"/>
          <w:szCs w:val="32"/>
          <w:lang w:eastAsia="zh-CN"/>
        </w:rPr>
        <w:t>按照项目实际完成的指标任务与年初预算进行对比，</w:t>
      </w:r>
      <w:r>
        <w:rPr>
          <w:rFonts w:hint="eastAsia" w:ascii="仿宋" w:hAnsi="仿宋" w:eastAsia="仿宋" w:cs="仿宋"/>
          <w:color w:val="000000"/>
          <w:sz w:val="32"/>
          <w:szCs w:val="32"/>
          <w:lang w:val="en-US" w:eastAsia="zh-CN"/>
        </w:rPr>
        <w:t>项目产出数量指标完成良好。</w:t>
      </w:r>
    </w:p>
    <w:p>
      <w:pPr>
        <w:keepNext w:val="0"/>
        <w:keepLines w:val="0"/>
        <w:widowControl/>
        <w:numPr>
          <w:ilvl w:val="0"/>
          <w:numId w:val="0"/>
        </w:numPr>
        <w:suppressLineNumbers w:val="0"/>
        <w:spacing w:line="360" w:lineRule="auto"/>
        <w:ind w:firstLine="640" w:firstLineChars="200"/>
        <w:jc w:val="left"/>
        <w:rPr>
          <w:rFonts w:hint="default" w:ascii="仿宋" w:hAnsi="仿宋" w:eastAsia="仿宋" w:cs="仿宋"/>
          <w:color w:val="000000"/>
          <w:kern w:val="2"/>
          <w:sz w:val="32"/>
          <w:szCs w:val="32"/>
          <w:shd w:val="clear" w:color="auto" w:fill="FFFFFF"/>
          <w:lang w:val="en-US" w:eastAsia="zh-CN"/>
        </w:rPr>
      </w:pPr>
      <w:r>
        <w:rPr>
          <w:rFonts w:hint="eastAsia" w:ascii="仿宋" w:hAnsi="仿宋" w:eastAsia="仿宋" w:cs="仿宋"/>
          <w:color w:val="000000"/>
          <w:kern w:val="2"/>
          <w:sz w:val="32"/>
          <w:szCs w:val="32"/>
          <w:shd w:val="clear" w:color="auto" w:fill="FFFFFF"/>
        </w:rPr>
        <w:t>产出质量方面</w:t>
      </w:r>
      <w:r>
        <w:rPr>
          <w:rFonts w:hint="eastAsia" w:ascii="仿宋" w:hAnsi="仿宋" w:eastAsia="仿宋" w:cs="仿宋"/>
          <w:color w:val="000000"/>
          <w:kern w:val="2"/>
          <w:sz w:val="32"/>
          <w:szCs w:val="32"/>
          <w:shd w:val="clear" w:color="auto" w:fill="FFFFFF"/>
          <w:lang w:eastAsia="zh-CN"/>
        </w:rPr>
        <w:t>，</w:t>
      </w:r>
      <w:r>
        <w:rPr>
          <w:rFonts w:hint="eastAsia" w:ascii="仿宋" w:hAnsi="仿宋" w:eastAsia="仿宋" w:cs="仿宋"/>
          <w:color w:val="000000"/>
          <w:sz w:val="32"/>
          <w:szCs w:val="32"/>
        </w:rPr>
        <w:t>对照年初或调整后的绩效目标评价产出质量</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通过各部门的努力全年项目基本完成。</w:t>
      </w:r>
    </w:p>
    <w:p>
      <w:pPr>
        <w:keepNext w:val="0"/>
        <w:keepLines w:val="0"/>
        <w:widowControl/>
        <w:numPr>
          <w:ilvl w:val="0"/>
          <w:numId w:val="0"/>
        </w:numPr>
        <w:suppressLineNumbers w:val="0"/>
        <w:spacing w:line="360" w:lineRule="auto"/>
        <w:ind w:firstLine="640" w:firstLineChars="200"/>
        <w:jc w:val="left"/>
        <w:rPr>
          <w:rFonts w:hint="default" w:ascii="仿宋" w:hAnsi="仿宋" w:eastAsia="仿宋" w:cs="仿宋"/>
          <w:color w:val="000000"/>
          <w:kern w:val="2"/>
          <w:sz w:val="32"/>
          <w:szCs w:val="32"/>
          <w:shd w:val="clear" w:color="auto" w:fill="FFFFFF"/>
          <w:lang w:val="en-US" w:eastAsia="zh-CN"/>
        </w:rPr>
      </w:pPr>
      <w:r>
        <w:rPr>
          <w:rFonts w:hint="eastAsia" w:ascii="仿宋" w:hAnsi="仿宋" w:eastAsia="仿宋" w:cs="仿宋"/>
          <w:color w:val="000000"/>
          <w:kern w:val="2"/>
          <w:sz w:val="32"/>
          <w:szCs w:val="32"/>
          <w:shd w:val="clear" w:color="auto" w:fill="FFFFFF"/>
          <w:lang w:val="en-US" w:eastAsia="zh-CN"/>
        </w:rPr>
        <w:t>产出时效方面，全年整体各项工作均在有效时内完成。</w:t>
      </w:r>
    </w:p>
    <w:p>
      <w:pPr>
        <w:keepNext w:val="0"/>
        <w:keepLines w:val="0"/>
        <w:widowControl/>
        <w:numPr>
          <w:ilvl w:val="0"/>
          <w:numId w:val="0"/>
        </w:numPr>
        <w:suppressLineNumbers w:val="0"/>
        <w:spacing w:line="360" w:lineRule="auto"/>
        <w:ind w:leftChars="0" w:firstLine="620"/>
        <w:jc w:val="left"/>
        <w:rPr>
          <w:rFonts w:hint="default" w:ascii="仿宋" w:hAnsi="仿宋" w:eastAsia="仿宋" w:cs="仿宋"/>
          <w:color w:val="000000"/>
          <w:kern w:val="2"/>
          <w:sz w:val="32"/>
          <w:szCs w:val="32"/>
          <w:shd w:val="clear" w:color="auto" w:fill="FFFFFF"/>
          <w:lang w:val="en-US" w:eastAsia="zh-CN"/>
        </w:rPr>
      </w:pPr>
      <w:r>
        <w:rPr>
          <w:rFonts w:hint="eastAsia" w:ascii="仿宋" w:hAnsi="仿宋" w:eastAsia="仿宋" w:cs="仿宋"/>
          <w:color w:val="000000"/>
          <w:kern w:val="2"/>
          <w:sz w:val="32"/>
          <w:szCs w:val="32"/>
          <w:shd w:val="clear" w:color="auto" w:fill="FFFFFF"/>
          <w:lang w:val="en-US" w:eastAsia="zh-CN"/>
        </w:rPr>
        <w:t>产出成本方面，预算支出执行率为97%。</w:t>
      </w:r>
    </w:p>
    <w:p>
      <w:pPr>
        <w:keepNext w:val="0"/>
        <w:keepLines w:val="0"/>
        <w:widowControl/>
        <w:numPr>
          <w:ilvl w:val="0"/>
          <w:numId w:val="1"/>
        </w:numPr>
        <w:suppressLineNumbers w:val="0"/>
        <w:spacing w:line="360" w:lineRule="auto"/>
        <w:ind w:left="0" w:leftChars="0" w:firstLine="0" w:firstLineChars="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部门效果完成情况 </w:t>
      </w:r>
    </w:p>
    <w:p>
      <w:pPr>
        <w:keepNext w:val="0"/>
        <w:keepLines w:val="0"/>
        <w:widowControl/>
        <w:numPr>
          <w:ilvl w:val="0"/>
          <w:numId w:val="0"/>
        </w:numPr>
        <w:suppressLineNumbers w:val="0"/>
        <w:spacing w:line="360" w:lineRule="auto"/>
        <w:ind w:leftChars="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    社会效益方面，本单位在各项工作取得良好成绩，促进社会稳定，维护社会和谐。</w:t>
      </w:r>
    </w:p>
    <w:p>
      <w:pPr>
        <w:keepNext w:val="0"/>
        <w:keepLines w:val="0"/>
        <w:widowControl/>
        <w:numPr>
          <w:ilvl w:val="0"/>
          <w:numId w:val="0"/>
        </w:numPr>
        <w:suppressLineNumbers w:val="0"/>
        <w:spacing w:line="360" w:lineRule="auto"/>
        <w:ind w:leftChars="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    本单位工作得到了社会公众至好评，满意度达到95%。</w:t>
      </w: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pPr>
        <w:pStyle w:val="5"/>
        <w:keepNext w:val="0"/>
        <w:keepLines w:val="0"/>
        <w:pageBreakBefore w:val="0"/>
        <w:widowControl/>
        <w:numPr>
          <w:ilvl w:val="0"/>
          <w:numId w:val="2"/>
        </w:numPr>
        <w:suppressLineNumbers w:val="0"/>
        <w:kinsoku/>
        <w:wordWrap/>
        <w:overflowPunct/>
        <w:topLinePunct w:val="0"/>
        <w:autoSpaceDE w:val="0"/>
        <w:autoSpaceDN w:val="0"/>
        <w:bidi w:val="0"/>
        <w:adjustRightInd/>
        <w:snapToGrid/>
        <w:spacing w:before="0" w:beforeAutospacing="0" w:after="120" w:afterAutospacing="0" w:line="360" w:lineRule="auto"/>
        <w:ind w:left="0" w:right="0" w:firstLine="573"/>
        <w:jc w:val="left"/>
        <w:textAlignment w:val="auto"/>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工作开展情况</w:t>
      </w:r>
    </w:p>
    <w:p>
      <w:pPr>
        <w:pStyle w:val="5"/>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120" w:afterAutospacing="0" w:line="360" w:lineRule="auto"/>
        <w:ind w:right="0" w:righ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sz w:val="32"/>
          <w:szCs w:val="32"/>
          <w:lang w:val="en-US" w:eastAsia="zh-CN"/>
        </w:rPr>
        <w:t>根据财政部门的精神要求，我单位及时成立绩效管理工作领导小组，每个小组成员各负其责，对绩效管理工作落实到每个工作环节中，做好内部管理控制，及时发现问题，解决问题，监督资金使用的合理性，配合完善资金配置，以保证绩效目标的全部实现。</w:t>
      </w:r>
    </w:p>
    <w:p>
      <w:pPr>
        <w:pStyle w:val="5"/>
        <w:keepNext w:val="0"/>
        <w:keepLines w:val="0"/>
        <w:pageBreakBefore w:val="0"/>
        <w:widowControl/>
        <w:numPr>
          <w:ilvl w:val="0"/>
          <w:numId w:val="2"/>
        </w:numPr>
        <w:suppressLineNumbers w:val="0"/>
        <w:kinsoku/>
        <w:wordWrap/>
        <w:overflowPunct/>
        <w:topLinePunct w:val="0"/>
        <w:autoSpaceDE w:val="0"/>
        <w:autoSpaceDN w:val="0"/>
        <w:bidi w:val="0"/>
        <w:adjustRightInd/>
        <w:snapToGrid/>
        <w:spacing w:before="0" w:beforeAutospacing="0" w:after="120" w:afterAutospacing="0" w:line="360" w:lineRule="auto"/>
        <w:ind w:left="0" w:leftChars="0" w:right="0" w:firstLine="573" w:firstLineChars="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综合评价结论</w:t>
      </w:r>
    </w:p>
    <w:p>
      <w:pPr>
        <w:pStyle w:val="5"/>
        <w:keepNext w:val="0"/>
        <w:keepLines w:val="0"/>
        <w:widowControl/>
        <w:suppressLineNumbers w:val="0"/>
        <w:spacing w:before="300" w:beforeAutospacing="0" w:after="0" w:afterAutospacing="0" w:line="360" w:lineRule="auto"/>
        <w:ind w:left="0" w:right="0" w:firstLine="64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单位严格根据昌江区财政局关于印发《 昌江区区级项目支出和部门整体支出绩效评价暂行管理办法》通知（昌财绩函〔2023〕1号）相关文件精神，根据细化的各项指标，针对完成情况进行了评估，确保绩效评价能充分反映成效，为来年的项目实施提供第一手的参考信息，为实施过程中的一些存在问题提供有效的解决方案。</w:t>
      </w:r>
    </w:p>
    <w:p>
      <w:pPr>
        <w:keepNext w:val="0"/>
        <w:keepLines w:val="0"/>
        <w:widowControl/>
        <w:numPr>
          <w:ilvl w:val="0"/>
          <w:numId w:val="0"/>
        </w:numPr>
        <w:suppressLineNumbers w:val="0"/>
        <w:spacing w:line="360" w:lineRule="auto"/>
        <w:ind w:firstLine="640" w:firstLineChars="200"/>
        <w:jc w:val="left"/>
        <w:rPr>
          <w:rFonts w:hint="default" w:ascii="仿宋" w:hAnsi="仿宋" w:eastAsia="仿宋" w:cs="仿宋"/>
          <w:color w:val="auto"/>
          <w:kern w:val="0"/>
          <w:sz w:val="32"/>
          <w:szCs w:val="32"/>
          <w:lang w:val="en-US" w:eastAsia="zh-CN"/>
        </w:rPr>
      </w:pPr>
      <w:r>
        <w:rPr>
          <w:rFonts w:hint="eastAsia" w:ascii="仿宋" w:hAnsi="仿宋" w:eastAsia="仿宋" w:cs="仿宋"/>
          <w:kern w:val="2"/>
          <w:sz w:val="32"/>
          <w:szCs w:val="32"/>
          <w:lang w:val="en-US" w:eastAsia="zh-CN" w:bidi="ar-SA"/>
        </w:rPr>
        <w:t>在绩效评价工作中，我单位各部门科室能分工协作，通过组织调研、数据测算，准确地计算出各项指标的实际得分，并对测算结果进行了细致的复核，形成最终的评价结果。评价得97分</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leftChars="0" w:right="0" w:firstLine="573" w:firstLineChars="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绩效目标完成情况总体分析</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财政使用资金精神要求，本单位在执行资金使用过程中严格合理使用资金，单位日常工作中发生的支出已及时拨付款到位，在支出的过程中严格把关，审核资料的完整性，真实性，有效性等，特别是项目资金，做到了专款专用，不存在挪用及替换使用资金；保证项目顺利有质有量的全部完成；取得了良好的成绩。</w:t>
      </w:r>
    </w:p>
    <w:p>
      <w:pPr>
        <w:pStyle w:val="5"/>
        <w:keepNext w:val="0"/>
        <w:keepLines w:val="0"/>
        <w:pageBreakBefore w:val="0"/>
        <w:widowControl/>
        <w:numPr>
          <w:ilvl w:val="0"/>
          <w:numId w:val="2"/>
        </w:numPr>
        <w:suppressLineNumbers w:val="0"/>
        <w:kinsoku/>
        <w:wordWrap/>
        <w:overflowPunct/>
        <w:topLinePunct w:val="0"/>
        <w:autoSpaceDE w:val="0"/>
        <w:autoSpaceDN w:val="0"/>
        <w:bidi w:val="0"/>
        <w:spacing w:before="300" w:beforeAutospacing="0" w:after="120" w:afterAutospacing="0" w:line="360" w:lineRule="auto"/>
        <w:ind w:left="0" w:leftChars="0" w:right="0" w:firstLine="573" w:firstLineChars="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偏离绩效目标的原因</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1、预算执行水平有待提高。预算完成率较低，执行进度不及时。</w:t>
      </w:r>
    </w:p>
    <w:p>
      <w:pPr>
        <w:pStyle w:val="5"/>
        <w:keepNext w:val="0"/>
        <w:keepLines w:val="0"/>
        <w:widowControl/>
        <w:suppressLineNumbers w:val="0"/>
        <w:spacing w:line="360" w:lineRule="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2、预算管理水平有待提高。基础信息完善性不足，资金使用合规性不足。</w:t>
      </w:r>
    </w:p>
    <w:p>
      <w:pPr>
        <w:pStyle w:val="5"/>
        <w:keepNext w:val="0"/>
        <w:keepLines w:val="0"/>
        <w:widowControl/>
        <w:suppressLineNumbers w:val="0"/>
        <w:spacing w:line="360" w:lineRule="auto"/>
        <w:rPr>
          <w:rFonts w:hint="eastAsia" w:ascii="仿宋" w:hAnsi="仿宋" w:eastAsia="仿宋" w:cs="仿宋"/>
          <w:color w:val="auto"/>
          <w:kern w:val="0"/>
          <w:sz w:val="32"/>
          <w:szCs w:val="32"/>
          <w:lang w:val="en-US" w:eastAsia="zh-CN"/>
        </w:rPr>
      </w:pPr>
      <w:r>
        <w:rPr>
          <w:rFonts w:hint="eastAsia" w:ascii="仿宋" w:hAnsi="仿宋" w:eastAsia="仿宋" w:cs="仿宋"/>
          <w:kern w:val="2"/>
          <w:sz w:val="32"/>
          <w:szCs w:val="32"/>
          <w:lang w:val="en-US" w:eastAsia="zh-CN" w:bidi="ar-SA"/>
        </w:rPr>
        <w:t>　  3、绩效管理不到位，绩效自评质量不高。</w:t>
      </w:r>
    </w:p>
    <w:p>
      <w:pPr>
        <w:pStyle w:val="5"/>
        <w:keepNext w:val="0"/>
        <w:keepLines w:val="0"/>
        <w:pageBreakBefore w:val="0"/>
        <w:widowControl/>
        <w:numPr>
          <w:ilvl w:val="0"/>
          <w:numId w:val="2"/>
        </w:numPr>
        <w:suppressLineNumbers w:val="0"/>
        <w:kinsoku/>
        <w:wordWrap/>
        <w:overflowPunct/>
        <w:topLinePunct w:val="0"/>
        <w:autoSpaceDE w:val="0"/>
        <w:autoSpaceDN w:val="0"/>
        <w:bidi w:val="0"/>
        <w:spacing w:before="300" w:beforeAutospacing="0" w:after="120" w:afterAutospacing="0" w:line="360" w:lineRule="auto"/>
        <w:ind w:left="0" w:leftChars="0" w:right="0" w:firstLine="573" w:firstLineChars="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改进措施</w:t>
      </w:r>
    </w:p>
    <w:p>
      <w:pPr>
        <w:pStyle w:val="5"/>
        <w:keepNext w:val="0"/>
        <w:keepLines w:val="0"/>
        <w:widowControl/>
        <w:suppressLineNumbers w:val="0"/>
        <w:spacing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1、全面提升预算管理水平，规范预算执行。</w:t>
      </w:r>
    </w:p>
    <w:p>
      <w:pPr>
        <w:pStyle w:val="5"/>
        <w:keepNext w:val="0"/>
        <w:keepLines w:val="0"/>
        <w:widowControl/>
        <w:suppressLineNumbers w:val="0"/>
        <w:spacing w:line="360" w:lineRule="auto"/>
        <w:ind w:firstLine="64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2、完善年初资金预算编制，压实责任。</w:t>
      </w:r>
    </w:p>
    <w:p>
      <w:pPr>
        <w:pStyle w:val="5"/>
        <w:keepNext w:val="0"/>
        <w:keepLines w:val="0"/>
        <w:widowControl/>
        <w:suppressLineNumbers w:val="0"/>
        <w:spacing w:line="360" w:lineRule="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3、加强项目支出绩效目标设置，项目绩效目标量化细化，落实绩效全流程管理。</w:t>
      </w:r>
    </w:p>
    <w:p>
      <w:pPr>
        <w:pStyle w:val="5"/>
        <w:keepNext w:val="0"/>
        <w:keepLines w:val="0"/>
        <w:pageBreakBefore w:val="0"/>
        <w:widowControl/>
        <w:numPr>
          <w:ilvl w:val="0"/>
          <w:numId w:val="0"/>
        </w:numPr>
        <w:suppressLineNumbers w:val="0"/>
        <w:kinsoku/>
        <w:wordWrap/>
        <w:overflowPunct/>
        <w:topLinePunct w:val="0"/>
        <w:autoSpaceDE w:val="0"/>
        <w:autoSpaceDN w:val="0"/>
        <w:bidi w:val="0"/>
        <w:spacing w:before="300" w:beforeAutospacing="0" w:after="120" w:afterAutospacing="0" w:line="360" w:lineRule="auto"/>
        <w:ind w:right="0" w:righ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kern w:val="2"/>
          <w:sz w:val="32"/>
          <w:szCs w:val="32"/>
          <w:lang w:val="en-US" w:eastAsia="zh-CN" w:bidi="ar-SA"/>
        </w:rPr>
        <w:t>在今后的工作一方面要严格预算编制，做到细化精确，争取一些费用纳入财政预算中；另一方面要严格落实项目经费使用管理规定，做到专款专用;三是要严格按照《公务员法》的规定，确保财政供养人员及时到位，保障各项工作的顺利实行；四是在经费开支上严格按照八项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645"/>
        <w:jc w:val="left"/>
        <w:rPr>
          <w:rFonts w:hint="eastAsia" w:ascii="仿宋" w:hAnsi="仿宋" w:eastAsia="仿宋" w:cs="仿宋"/>
          <w:color w:val="auto"/>
          <w:sz w:val="31"/>
          <w:szCs w:val="31"/>
          <w:shd w:val="clear" w:color="auto" w:fill="FFFFFF"/>
          <w:lang w:val="en-US" w:eastAsia="zh-CN"/>
        </w:rPr>
      </w:pPr>
      <w:r>
        <w:rPr>
          <w:rFonts w:hint="eastAsia" w:ascii="仿宋" w:hAnsi="仿宋" w:eastAsia="仿宋" w:cs="仿宋"/>
          <w:color w:val="auto"/>
          <w:kern w:val="0"/>
          <w:sz w:val="32"/>
          <w:szCs w:val="32"/>
          <w:lang w:val="en-US" w:eastAsia="zh-CN"/>
        </w:rPr>
        <w:t>六、</w:t>
      </w:r>
      <w:r>
        <w:rPr>
          <w:rFonts w:hint="eastAsia" w:ascii="仿宋" w:hAnsi="仿宋" w:eastAsia="仿宋" w:cs="仿宋"/>
          <w:color w:val="auto"/>
          <w:kern w:val="0"/>
          <w:sz w:val="32"/>
          <w:szCs w:val="32"/>
        </w:rPr>
        <w:t>绩效自评结果应用</w:t>
      </w:r>
      <w:r>
        <w:rPr>
          <w:rFonts w:hint="eastAsia" w:ascii="仿宋" w:hAnsi="仿宋" w:eastAsia="仿宋" w:cs="仿宋"/>
          <w:color w:val="auto"/>
          <w:kern w:val="0"/>
          <w:sz w:val="32"/>
          <w:szCs w:val="32"/>
          <w:lang w:val="en-US" w:eastAsia="zh-CN"/>
        </w:rPr>
        <w:t>及公开情况</w:t>
      </w:r>
    </w:p>
    <w:p>
      <w:pPr>
        <w:pStyle w:val="4"/>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从绩效自评中找到不足，从中领悟投入资金使用效益，绩效自评结果为单位来年预算提供可靠、真实数据依据，为下年度工作开展指引方向。</w:t>
      </w:r>
    </w:p>
    <w:p>
      <w:pPr>
        <w:autoSpaceDE w:val="0"/>
        <w:autoSpaceDN w:val="0"/>
        <w:adjustRightInd w:val="0"/>
        <w:spacing w:line="360" w:lineRule="auto"/>
        <w:ind w:firstLine="640" w:firstLineChars="200"/>
        <w:jc w:val="left"/>
        <w:rPr>
          <w:rFonts w:hint="eastAsia" w:ascii="仿宋" w:hAnsi="仿宋" w:eastAsia="仿宋" w:cs="仿宋"/>
          <w:color w:val="FF0000"/>
          <w:kern w:val="0"/>
          <w:sz w:val="32"/>
          <w:szCs w:val="32"/>
        </w:rPr>
      </w:pPr>
      <w:r>
        <w:rPr>
          <w:rFonts w:hint="eastAsia" w:ascii="仿宋" w:hAnsi="仿宋" w:eastAsia="仿宋" w:cs="仿宋"/>
          <w:b w:val="0"/>
          <w:bCs w:val="0"/>
          <w:sz w:val="32"/>
          <w:szCs w:val="32"/>
          <w:lang w:val="en-US" w:eastAsia="zh-CN"/>
        </w:rPr>
        <w:t>我单位会及时将绩效自评结果在政府公开网站公开</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本部门</w:t>
      </w:r>
      <w:r>
        <w:rPr>
          <w:rFonts w:hint="eastAsia" w:ascii="仿宋" w:hAnsi="仿宋" w:eastAsia="仿宋" w:cs="仿宋"/>
          <w:i w:val="0"/>
          <w:iCs w:val="0"/>
          <w:color w:val="000000"/>
          <w:kern w:val="0"/>
          <w:sz w:val="32"/>
          <w:szCs w:val="32"/>
          <w:u w:val="none"/>
          <w:lang w:val="en-US" w:eastAsia="zh-CN" w:bidi="ar"/>
        </w:rPr>
        <w:t>秦皇岛暑期信访维稳工作经费、景财行[2023]21号下达2023年中央解决特殊疑难信访问题资金、特殊疑难信访专项资金、信访维稳工作经费</w:t>
      </w:r>
      <w:r>
        <w:rPr>
          <w:rFonts w:hint="eastAsia" w:ascii="仿宋" w:hAnsi="仿宋" w:eastAsia="仿宋" w:cs="仿宋"/>
          <w:kern w:val="0"/>
          <w:sz w:val="32"/>
          <w:szCs w:val="32"/>
        </w:rPr>
        <w:t xml:space="preserve"> 、 </w:t>
      </w:r>
      <w:r>
        <w:rPr>
          <w:rFonts w:hint="eastAsia" w:ascii="仿宋" w:hAnsi="仿宋" w:eastAsia="仿宋" w:cs="仿宋"/>
          <w:i w:val="0"/>
          <w:iCs w:val="0"/>
          <w:color w:val="000000"/>
          <w:kern w:val="0"/>
          <w:sz w:val="32"/>
          <w:szCs w:val="32"/>
          <w:u w:val="none"/>
          <w:lang w:val="en-US" w:eastAsia="zh-CN" w:bidi="ar"/>
        </w:rPr>
        <w:t>信访接访维稳经费</w:t>
      </w:r>
      <w:r>
        <w:rPr>
          <w:rFonts w:hint="eastAsia" w:ascii="仿宋" w:hAnsi="仿宋" w:eastAsia="仿宋" w:cs="仿宋"/>
          <w:kern w:val="0"/>
          <w:sz w:val="32"/>
          <w:szCs w:val="32"/>
        </w:rPr>
        <w:t xml:space="preserve"> </w:t>
      </w:r>
      <w:r>
        <w:rPr>
          <w:rFonts w:hint="eastAsia" w:ascii="仿宋" w:hAnsi="仿宋" w:eastAsia="仿宋" w:cs="仿宋"/>
          <w:kern w:val="0"/>
          <w:sz w:val="32"/>
          <w:szCs w:val="32"/>
          <w:lang w:eastAsia="zh-CN"/>
        </w:rPr>
        <w:t>、</w:t>
      </w:r>
      <w:r>
        <w:rPr>
          <w:rFonts w:hint="eastAsia" w:ascii="仿宋" w:hAnsi="仿宋" w:eastAsia="仿宋" w:cs="仿宋"/>
          <w:i w:val="0"/>
          <w:iCs w:val="0"/>
          <w:color w:val="000000"/>
          <w:kern w:val="0"/>
          <w:sz w:val="32"/>
          <w:szCs w:val="32"/>
          <w:u w:val="none"/>
          <w:lang w:val="en-US" w:eastAsia="zh-CN" w:bidi="ar"/>
        </w:rPr>
        <w:t>景财行指【2023】11号下达2023年市级信访救助资金的通知、景财行指【2023】15号下达2023年解决特殊信访资金的通知、景财行指【2022】25号下达2022年省级特殊疑难信访资金</w:t>
      </w:r>
      <w:r>
        <w:rPr>
          <w:rFonts w:hint="eastAsia" w:ascii="仿宋" w:hAnsi="仿宋" w:eastAsia="仿宋" w:cs="仿宋"/>
          <w:kern w:val="0"/>
          <w:sz w:val="32"/>
          <w:szCs w:val="32"/>
        </w:rPr>
        <w:t xml:space="preserve"> </w:t>
      </w:r>
      <w:r>
        <w:rPr>
          <w:rFonts w:hint="eastAsia" w:ascii="仿宋_GB2312" w:hAnsi="仿宋_GB2312" w:eastAsia="仿宋_GB2312" w:cs="仿宋_GB2312"/>
          <w:kern w:val="0"/>
          <w:sz w:val="32"/>
          <w:szCs w:val="32"/>
        </w:rPr>
        <w:t>项目支出绩效自评结果如下：</w:t>
      </w:r>
    </w:p>
    <w:p>
      <w:pPr>
        <w:autoSpaceDE w:val="0"/>
        <w:autoSpaceDN w:val="0"/>
        <w:adjustRightInd w:val="0"/>
        <w:spacing w:line="360" w:lineRule="auto"/>
        <w:ind w:firstLine="643" w:firstLineChars="200"/>
        <w:jc w:val="left"/>
        <w:rPr>
          <w:rFonts w:ascii="仿宋_GB2312" w:hAnsi="仿宋_GB2312" w:eastAsia="仿宋_GB2312" w:cs="仿宋_GB2312"/>
          <w:b/>
          <w:bCs/>
          <w:kern w:val="0"/>
          <w:sz w:val="32"/>
          <w:szCs w:val="32"/>
        </w:rPr>
      </w:pPr>
    </w:p>
    <w:tbl>
      <w:tblPr>
        <w:tblStyle w:val="6"/>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560"/>
        <w:gridCol w:w="579"/>
        <w:gridCol w:w="1556"/>
        <w:gridCol w:w="1329"/>
        <w:gridCol w:w="582"/>
        <w:gridCol w:w="839"/>
        <w:gridCol w:w="1111"/>
        <w:gridCol w:w="553"/>
        <w:gridCol w:w="766"/>
        <w:gridCol w:w="766"/>
        <w:gridCol w:w="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秦皇岛暑期信访维稳工作经费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中共景德镇市昌江区委员会信访局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中共景德镇市昌江区委员会信访局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4.299543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当前北戴河暑期安保期间信访维稳形势严峻，昌江区信访局积极采取有力措施加强信访维稳工作，以确保北戴河安保期间昌江区不发生影响恶劣的赴北戴河的非访问题。    </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赴秦皇岛维稳人员交通费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＝760元/人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赴秦皇岛维稳人员差旅费成本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＝680元/人/天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赴秦皇岛维稳人员进驻时间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实际工作情况。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赴秦皇岛维稳接访人员人数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重点上访人员息诉罢访率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确保24小时内抵达现场处置信访问题</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24小时内抵达现场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为北戴河暑期营造安全稳定的社会环境</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社会环境安全稳定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b/>
          <w:bCs/>
        </w:rPr>
      </w:pPr>
    </w:p>
    <w:p>
      <w:pPr>
        <w:bidi w:val="0"/>
        <w:rPr>
          <w:rFonts w:hint="eastAsia"/>
          <w:b/>
          <w:bCs/>
        </w:rPr>
      </w:pPr>
    </w:p>
    <w:p>
      <w:pPr>
        <w:bidi w:val="0"/>
        <w:rPr>
          <w:rFonts w:hint="eastAsia"/>
          <w:b/>
          <w:bCs/>
        </w:rPr>
      </w:pPr>
    </w:p>
    <w:p>
      <w:pPr>
        <w:bidi w:val="0"/>
        <w:rPr>
          <w:rFonts w:hint="eastAsia"/>
          <w:b/>
          <w:bCs/>
        </w:rPr>
      </w:pPr>
    </w:p>
    <w:tbl>
      <w:tblPr>
        <w:tblStyle w:val="6"/>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景财行[2023]21号下达2023年中央解决特殊疑难信访问题资金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中共景德镇市昌江区委员会信访局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中共景德镇市昌江区委员会信访局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有效化解信访事项，维护社会稳定，同时能在扶危济困，有效解决信访者生活困难的同时，加强党和人民群众之间的血肉联系，化解社会矛盾，减少不和谐因素。</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特殊疑难信访案件救助成本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＝11000元/件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特殊疑难信访案件数量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被救助信访人停访息诉率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特殊疑难信访问题资金发放及时性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按规定及时发放</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化解社会矛盾，减少不和谐因素</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化解社会矛盾</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被救助人满意度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tbl>
      <w:tblPr>
        <w:tblStyle w:val="6"/>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8"/>
        <w:gridCol w:w="603"/>
        <w:gridCol w:w="1621"/>
        <w:gridCol w:w="1382"/>
        <w:gridCol w:w="615"/>
        <w:gridCol w:w="850"/>
        <w:gridCol w:w="1144"/>
        <w:gridCol w:w="554"/>
        <w:gridCol w:w="620"/>
        <w:gridCol w:w="656"/>
        <w:gridCol w:w="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特殊疑难信访专项资金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中共景德镇市昌江区委员会信访局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中共景德镇市昌江区委员会信访局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有效化解信访事项，维护社会稳定，同时能在扶危济困，有效解决信访者生活困难的同时，加强党和人民群众之间的血肉联系，化解社会矛盾，减少不和谐因素。         </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特殊疑难信访案件救助成本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＝80000元/件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救助实际工资偏差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特殊疑难信访案件数量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被救助信访人停访息诉率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特殊疑难信访问题资金发放及时性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化解社会矛盾，减少不和谐因素</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化解社会矛盾</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被救助人满意度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tbl>
      <w:tblPr>
        <w:tblStyle w:val="6"/>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信访接访维稳经费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中共景德镇市昌江区委员会信访局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中共景德镇市昌江区委员会信访局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1、完成好受理群众来信、来电、来访等工作；2、督办受理信访件及时转办；3、有效的协调相关成员单位做好全区信访稳定工作； 4、使老百姓的诉求得到合理解释。 </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赴省接访人员城市间交通费成本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＝200元/往返</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进京接访人员吃、住、行费用成本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＝680元/人/天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进京接访人员城市间交通费成本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＝2000元/往返</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赴省接访人员吃、住、行费用成本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＝400元/人/天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赴省接访人员数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进京接访人员吃、住、行天数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进京接访人员数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赴省接访人员吃、住、行天数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息诉罢访率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网上信访及时受理率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信访事件及时办结率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及时处理矛盾，维护社会稳定</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tbl>
      <w:tblPr>
        <w:tblStyle w:val="6"/>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景财行指【2023】11号下达2023年市级信访救助资金的通知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中共景德镇市昌江区委员会信访局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中共景德镇市昌江区委员会信访局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有效化解信访事项，维护社会稳定，同时能在扶危济困，有效解决信访者生活困难的同时，加强党和人民群众之间的血肉联系，化解社会矛盾，减少不和谐因素。</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特殊疑难信访案件救助成本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＝62500元/件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特殊疑难信访救助案件数量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被救助信访人停访息诉率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特殊疑难信访问题资金发放及时 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化解社会矛盾，减少不和谐因素</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化解社会矛盾</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被救助人满意度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b/>
          <w:bCs/>
        </w:rPr>
      </w:pPr>
    </w:p>
    <w:p>
      <w:pPr>
        <w:bidi w:val="0"/>
        <w:rPr>
          <w:rFonts w:hint="eastAsia"/>
          <w:b/>
          <w:bCs/>
        </w:rPr>
      </w:pPr>
    </w:p>
    <w:p>
      <w:pPr>
        <w:bidi w:val="0"/>
        <w:rPr>
          <w:rFonts w:hint="eastAsia"/>
          <w:b/>
          <w:bCs/>
        </w:rPr>
      </w:pPr>
    </w:p>
    <w:p>
      <w:pPr>
        <w:bidi w:val="0"/>
        <w:rPr>
          <w:rFonts w:hint="eastAsia"/>
          <w:b/>
          <w:bCs/>
        </w:rPr>
      </w:pPr>
    </w:p>
    <w:tbl>
      <w:tblPr>
        <w:tblStyle w:val="6"/>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8"/>
        <w:gridCol w:w="603"/>
        <w:gridCol w:w="1621"/>
        <w:gridCol w:w="1382"/>
        <w:gridCol w:w="615"/>
        <w:gridCol w:w="850"/>
        <w:gridCol w:w="1144"/>
        <w:gridCol w:w="554"/>
        <w:gridCol w:w="620"/>
        <w:gridCol w:w="656"/>
        <w:gridCol w:w="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景财行指【2023】15号下达2023年解决特殊信访资金的通知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中共景德镇市昌江区委员会信访局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中共景德镇市昌江区委员会信访局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有效化解信访事项，维护社会稳定，同时能在扶危济困，有效解决信访者生活困难的同时，加强党和人民群众之间的血肉联系，化解社会矛盾，减少不和谐因素。    </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特殊疑难信访案件救助成本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＝29000元/件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特殊疑难信访救助案件数量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实际工资进展中。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被救助信访人停访息诉率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特殊疑难信访问题资金发放及时性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化解社会矛盾，减少不和谐因素</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化解社会矛盾</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被救助人满意度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tbl>
      <w:tblPr>
        <w:tblStyle w:val="6"/>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景财行指【2022】25号下达2022年省级特殊疑难信访资金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中共景德镇市昌江区委员会信访局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中共景德镇市昌江区委员会信访局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有效化解信访事项，维护社会稳定，同时能在扶危济困，有效解决信访者生活困难的同时，加强党和人民群众之间的血肉联系，化解社会矛盾，减少不和谐因素。</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省级特殊疑难信访救助资金成本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＝39000元/件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申请省级特殊疑难信访资金信访件数量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被救助信访人停访息诉率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特殊疑难信访问题资金发放及时率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化解社会矛盾，减少不和谐因素</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化解社会矛盾</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被救助对象满意度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tbl>
      <w:tblPr>
        <w:tblStyle w:val="6"/>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信访维稳工作经费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中共景德镇市昌江区委员会信访局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中共景德镇市昌江区委员会信访局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完善应急处置预案，及时处理矛盾纠纷，妥善处理突发群体性事件，维护社会大局稳定。    </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全国两会、全会上访人员城市间交通费成本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＝2000元/人/次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全国两会、全会接访人员吃、住行费用成本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＝680元/人/天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全国两会、全会上访人员吃、住费用成本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＝600元/人/天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省两会、全会接访人员城市间交通费成本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＝200元/人/次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省两会、全会接访人员吃、住行费用成本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＝490元/人/天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百姓说事宣传小视频制作成本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＝5000元/分钟</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资料印刷费成本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＝5.8元/份</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省两会、全会上访人员城市间交通费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＝200元/人/次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全国两会、全会接访人员城市间交通费成本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＝2000元/人/次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律师咨询服务费成本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＝3000元/年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资料印刷数量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＝2000份</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聘请律师事务所数量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省两会、全会上访人员吃、住天数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省两会、全会上访人员城市间往返次数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省两会、全会接访人员吃、住行天数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省两会、全会接访人员城市间往返次数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全国两会、全会上访人员吃、住天数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全国两会、全会上访人员城市间往返次数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全国两会、全会接访人员吃、住行天数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全国两会、全会接访人员城市间往返次数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百姓说事宣传小视频数量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＝7分钟</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息诉罢访率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网上信访及时受理率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信访按期答复反馈率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信访事件及时办结率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及时处理矛盾，维护社会稳定</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b/>
          <w:bCs/>
        </w:rPr>
      </w:pP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p>
    <w:p>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项目部门评价报告见第五部分附件。</w:t>
      </w: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18"/>
        <w:spacing w:line="600" w:lineRule="atLeast"/>
        <w:ind w:firstLine="600"/>
        <w:rPr>
          <w:rFonts w:hint="eastAsia" w:ascii="仿宋_GB2312" w:hAnsi="仿宋_GB2312" w:eastAsia="仿宋_GB2312"/>
          <w:sz w:val="30"/>
          <w:szCs w:val="30"/>
        </w:rPr>
      </w:pP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w:t>
      </w:r>
      <w:r>
        <w:rPr>
          <w:rFonts w:hint="eastAsia" w:ascii="仿宋_GB2312" w:eastAsia="仿宋_GB2312"/>
          <w:color w:val="000000"/>
          <w:sz w:val="32"/>
          <w:szCs w:val="30"/>
          <w:lang w:eastAsia="zh-CN"/>
        </w:rPr>
        <w:t>区</w:t>
      </w:r>
      <w:r>
        <w:rPr>
          <w:rFonts w:hint="eastAsia" w:ascii="仿宋_GB2312" w:eastAsia="仿宋_GB2312"/>
          <w:color w:val="000000"/>
          <w:sz w:val="32"/>
          <w:szCs w:val="30"/>
        </w:rPr>
        <w:t>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2023</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年全部结转和结余的资金数，包括当年结转结余资金和历年滚存结转结余资金。</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行政运行：反映</w:t>
      </w:r>
      <w:r>
        <w:rPr>
          <w:rFonts w:hint="eastAsia" w:ascii="仿宋_GB2312" w:hAnsi="仿宋_GB2312" w:eastAsia="仿宋_GB2312" w:cs="仿宋_GB2312"/>
          <w:sz w:val="32"/>
          <w:szCs w:val="32"/>
          <w:lang w:eastAsia="zh-CN"/>
        </w:rPr>
        <w:t>单位公室</w:t>
      </w:r>
      <w:r>
        <w:rPr>
          <w:rFonts w:hint="eastAsia" w:ascii="仿宋_GB2312" w:hAnsi="仿宋_GB2312" w:eastAsia="仿宋_GB2312" w:cs="仿宋_GB2312"/>
          <w:sz w:val="32"/>
          <w:szCs w:val="32"/>
        </w:rPr>
        <w:t>的基本支出。</w:t>
      </w:r>
    </w:p>
    <w:p>
      <w:pPr>
        <w:widowControl/>
        <w:spacing w:line="60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2、一般行政管理事务：反映</w:t>
      </w:r>
      <w:r>
        <w:rPr>
          <w:rFonts w:hint="eastAsia" w:ascii="仿宋_GB2312" w:hAnsi="仿宋_GB2312" w:eastAsia="仿宋_GB2312" w:cs="仿宋_GB2312"/>
          <w:sz w:val="32"/>
          <w:szCs w:val="32"/>
          <w:lang w:eastAsia="zh-CN"/>
        </w:rPr>
        <w:t>单位公室</w:t>
      </w:r>
      <w:r>
        <w:rPr>
          <w:rFonts w:hint="eastAsia" w:ascii="仿宋_GB2312" w:hAnsi="仿宋_GB2312" w:eastAsia="仿宋_GB2312" w:cs="仿宋_GB2312"/>
          <w:sz w:val="32"/>
          <w:szCs w:val="32"/>
        </w:rPr>
        <w:t>未单独设置项级科目的其他项目支出。</w:t>
      </w:r>
    </w:p>
    <w:p>
      <w:pPr>
        <w:widowControl/>
        <w:spacing w:line="60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、行政单位医疗：财政部门安排的</w:t>
      </w:r>
      <w:r>
        <w:rPr>
          <w:rFonts w:hint="eastAsia" w:ascii="仿宋_GB2312" w:hAnsi="仿宋_GB2312" w:eastAsia="仿宋_GB2312" w:cs="仿宋_GB2312"/>
          <w:sz w:val="32"/>
          <w:szCs w:val="32"/>
          <w:lang w:eastAsia="zh-CN"/>
        </w:rPr>
        <w:t>单位公室</w:t>
      </w:r>
      <w:r>
        <w:rPr>
          <w:rFonts w:hint="eastAsia" w:ascii="仿宋_GB2312" w:hAnsi="仿宋_GB2312" w:eastAsia="仿宋_GB2312" w:cs="仿宋_GB2312"/>
          <w:sz w:val="32"/>
          <w:szCs w:val="32"/>
        </w:rPr>
        <w:t>职工基本医疗保险缴费缴费。</w:t>
      </w:r>
    </w:p>
    <w:p>
      <w:pPr>
        <w:widowControl/>
        <w:spacing w:line="60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、住房公积金：反映</w:t>
      </w:r>
      <w:r>
        <w:rPr>
          <w:rFonts w:hint="eastAsia" w:ascii="仿宋_GB2312" w:hAnsi="仿宋_GB2312" w:eastAsia="仿宋_GB2312" w:cs="仿宋_GB2312"/>
          <w:sz w:val="32"/>
          <w:szCs w:val="32"/>
          <w:lang w:eastAsia="zh-CN"/>
        </w:rPr>
        <w:t>单位公室</w:t>
      </w:r>
      <w:r>
        <w:rPr>
          <w:rFonts w:hint="eastAsia" w:ascii="仿宋_GB2312" w:hAnsi="仿宋_GB2312" w:eastAsia="仿宋_GB2312" w:cs="仿宋_GB2312"/>
          <w:sz w:val="32"/>
          <w:szCs w:val="32"/>
        </w:rPr>
        <w:t>按人力资源和社会保障部、财政部规定的基本工资和津贴补贴以及规定比例为职工缴纳的住房公积金。</w:t>
      </w:r>
    </w:p>
    <w:p>
      <w:pPr>
        <w:widowControl/>
        <w:shd w:val="clear" w:color="auto" w:fill="FCFCFC"/>
        <w:spacing w:line="60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“三公经费”：反映财政拨款安排的因公出国（境）费、公务用车购置及运行费和公务接待费。其中，因公出国（境）费反映</w:t>
      </w:r>
      <w:r>
        <w:rPr>
          <w:rFonts w:hint="eastAsia" w:ascii="仿宋_GB2312" w:hAnsi="仿宋_GB2312" w:eastAsia="仿宋_GB2312" w:cs="仿宋_GB2312"/>
          <w:color w:val="000000"/>
          <w:kern w:val="0"/>
          <w:sz w:val="32"/>
          <w:szCs w:val="32"/>
          <w:lang w:eastAsia="zh-CN"/>
        </w:rPr>
        <w:t>单位公室</w:t>
      </w:r>
      <w:r>
        <w:rPr>
          <w:rFonts w:hint="eastAsia" w:ascii="仿宋_GB2312" w:hAnsi="仿宋_GB2312" w:eastAsia="仿宋_GB2312" w:cs="仿宋_GB2312"/>
          <w:color w:val="000000"/>
          <w:kern w:val="0"/>
          <w:sz w:val="32"/>
          <w:szCs w:val="32"/>
        </w:rPr>
        <w:t>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w:t>
      </w:r>
      <w:r>
        <w:rPr>
          <w:rFonts w:hint="eastAsia" w:ascii="仿宋_GB2312" w:hAnsi="仿宋_GB2312" w:eastAsia="仿宋_GB2312" w:cs="仿宋_GB2312"/>
          <w:color w:val="000000"/>
          <w:kern w:val="0"/>
          <w:sz w:val="32"/>
          <w:szCs w:val="32"/>
          <w:lang w:eastAsia="zh-CN"/>
        </w:rPr>
        <w:t>单位公室</w:t>
      </w:r>
      <w:r>
        <w:rPr>
          <w:rFonts w:hint="eastAsia" w:ascii="仿宋_GB2312" w:hAnsi="仿宋_GB2312" w:eastAsia="仿宋_GB2312" w:cs="仿宋_GB2312"/>
          <w:color w:val="000000"/>
          <w:kern w:val="0"/>
          <w:sz w:val="32"/>
          <w:szCs w:val="32"/>
        </w:rPr>
        <w:t>按规定开支的各类公务接待（含外宾接待）支出。</w:t>
      </w:r>
    </w:p>
    <w:p>
      <w:pPr>
        <w:spacing w:line="360" w:lineRule="auto"/>
        <w:ind w:firstLine="320" w:firstLineChars="100"/>
        <w:rPr>
          <w:rFonts w:hint="eastAsia" w:ascii="仿宋_GB2312" w:hAnsi="仿宋_GB2312" w:eastAsia="仿宋_GB2312"/>
          <w:color w:val="FF0000"/>
          <w:kern w:val="0"/>
          <w:sz w:val="32"/>
          <w:szCs w:val="32"/>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机关运行经费：为保障</w:t>
      </w:r>
      <w:r>
        <w:rPr>
          <w:rFonts w:hint="eastAsia" w:ascii="仿宋_GB2312" w:hAnsi="仿宋_GB2312" w:eastAsia="仿宋_GB2312" w:cs="仿宋_GB2312"/>
          <w:color w:val="000000"/>
          <w:kern w:val="0"/>
          <w:sz w:val="32"/>
          <w:szCs w:val="32"/>
          <w:lang w:eastAsia="zh-CN"/>
        </w:rPr>
        <w:t>单位公室</w:t>
      </w:r>
      <w:r>
        <w:rPr>
          <w:rFonts w:hint="eastAsia" w:ascii="仿宋_GB2312" w:hAnsi="仿宋_GB2312" w:eastAsia="仿宋_GB2312" w:cs="仿宋_GB2312"/>
          <w:color w:val="000000"/>
          <w:kern w:val="0"/>
          <w:sz w:val="32"/>
          <w:szCs w:val="32"/>
        </w:rPr>
        <w:t>运行用于购买货物和服务的各项资金，包括办公及印刷费、邮电费、差旅费、会议费、福利费、日常维修费、专用材料及一般购置费、办公用房水电费、办公用房取暖费、办公用房物业管理费及其他费用</w:t>
      </w:r>
      <w:r>
        <w:rPr>
          <w:rFonts w:hint="eastAsia" w:ascii="仿宋_GB2312" w:hAnsi="仿宋_GB2312" w:eastAsia="仿宋_GB2312" w:cs="仿宋_GB2312"/>
          <w:kern w:val="0"/>
          <w:sz w:val="32"/>
          <w:szCs w:val="32"/>
          <w:lang w:val="en-US" w:eastAsia="zh-CN"/>
        </w:rPr>
        <w:t>。</w:t>
      </w:r>
    </w:p>
    <w:p>
      <w:pPr>
        <w:spacing w:line="360" w:lineRule="auto"/>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spacing w:line="360" w:lineRule="auto"/>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spacing w:line="360" w:lineRule="auto"/>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spacing w:line="360" w:lineRule="auto"/>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pPr>
        <w:ind w:firstLine="640" w:firstLineChars="200"/>
        <w:rPr>
          <w:rFonts w:hint="eastAsia" w:ascii="仿宋_GB2312" w:hAnsi="仿宋_GB2312" w:eastAsia="仿宋_GB2312"/>
          <w:color w:val="FF0000"/>
          <w:kern w:val="0"/>
          <w:sz w:val="32"/>
          <w:szCs w:val="32"/>
        </w:rPr>
      </w:pPr>
    </w:p>
    <w:p>
      <w:pPr>
        <w:pStyle w:val="2"/>
        <w:spacing w:line="624" w:lineRule="exact"/>
        <w:ind w:firstLine="836" w:firstLineChars="200"/>
        <w:jc w:val="center"/>
        <w:rPr>
          <w:rFonts w:ascii="微软雅黑 Light" w:hAnsi="微软雅黑 Light" w:eastAsia="微软雅黑 Light" w:cs="微软雅黑 Light"/>
          <w:color w:val="000000" w:themeColor="text1"/>
          <w:lang w:eastAsia="zh-CN"/>
        </w:rPr>
      </w:pPr>
      <w:r>
        <w:rPr>
          <w:rFonts w:hint="eastAsia" w:ascii="微软雅黑 Light" w:hAnsi="微软雅黑 Light" w:eastAsia="微软雅黑 Light" w:cs="微软雅黑 Light"/>
          <w:color w:val="000000" w:themeColor="text1"/>
          <w:w w:val="95"/>
          <w:lang w:eastAsia="zh-CN"/>
        </w:rPr>
        <w:t>昌江区信访局项目支出绩效评价报告</w:t>
      </w:r>
    </w:p>
    <w:p>
      <w:pPr>
        <w:pStyle w:val="4"/>
        <w:rPr>
          <w:rFonts w:asciiTheme="minorEastAsia" w:hAnsiTheme="minorEastAsia" w:eastAsiaTheme="minorEastAsia" w:cstheme="minorEastAsia"/>
          <w:color w:val="000000" w:themeColor="text1"/>
          <w:sz w:val="52"/>
          <w:lang w:eastAsia="zh-CN"/>
        </w:rPr>
      </w:pPr>
    </w:p>
    <w:p>
      <w:pPr>
        <w:pStyle w:val="4"/>
        <w:tabs>
          <w:tab w:val="left" w:pos="7700"/>
        </w:tabs>
        <w:rPr>
          <w:rFonts w:ascii="宋体" w:hAnsi="宋体" w:eastAsia="宋体" w:cs="宋体"/>
          <w:color w:val="000000" w:themeColor="text1"/>
          <w:sz w:val="52"/>
          <w:lang w:eastAsia="zh-CN"/>
        </w:rPr>
      </w:pPr>
      <w:r>
        <w:rPr>
          <w:rFonts w:hint="eastAsia" w:ascii="宋体" w:hAnsi="宋体" w:eastAsia="宋体" w:cs="宋体"/>
          <w:color w:val="000000" w:themeColor="text1"/>
          <w:sz w:val="52"/>
          <w:lang w:eastAsia="zh-CN"/>
        </w:rPr>
        <w:tab/>
      </w:r>
    </w:p>
    <w:p>
      <w:pPr>
        <w:pStyle w:val="4"/>
        <w:spacing w:before="5"/>
        <w:rPr>
          <w:rFonts w:ascii="宋体" w:hAnsi="宋体" w:eastAsia="宋体" w:cs="宋体"/>
          <w:color w:val="000000" w:themeColor="text1"/>
          <w:sz w:val="52"/>
          <w:lang w:eastAsia="zh-CN"/>
        </w:rPr>
      </w:pPr>
    </w:p>
    <w:p>
      <w:pPr>
        <w:tabs>
          <w:tab w:val="left" w:pos="5772"/>
        </w:tabs>
        <w:ind w:left="1052"/>
        <w:rPr>
          <w:rFonts w:ascii="宋体" w:hAnsi="宋体" w:eastAsia="宋体" w:cs="宋体"/>
          <w:color w:val="000000" w:themeColor="text1"/>
          <w:sz w:val="28"/>
          <w:lang w:eastAsia="zh-CN"/>
        </w:rPr>
      </w:pPr>
      <w:r>
        <w:rPr>
          <w:rFonts w:hint="eastAsia" w:ascii="宋体" w:hAnsi="宋体" w:eastAsia="宋体" w:cs="宋体"/>
          <w:color w:val="000000" w:themeColor="text1"/>
          <w:sz w:val="28"/>
          <w:lang w:eastAsia="zh-CN"/>
        </w:rPr>
        <w:t>评</w:t>
      </w:r>
      <w:r>
        <w:rPr>
          <w:rFonts w:hint="eastAsia" w:ascii="宋体" w:hAnsi="宋体" w:eastAsia="宋体" w:cs="宋体"/>
          <w:color w:val="000000" w:themeColor="text1"/>
          <w:spacing w:val="-3"/>
          <w:sz w:val="28"/>
          <w:lang w:eastAsia="zh-CN"/>
        </w:rPr>
        <w:t>价</w:t>
      </w:r>
      <w:r>
        <w:rPr>
          <w:rFonts w:hint="eastAsia" w:ascii="宋体" w:hAnsi="宋体" w:eastAsia="宋体" w:cs="宋体"/>
          <w:color w:val="000000" w:themeColor="text1"/>
          <w:sz w:val="28"/>
          <w:lang w:eastAsia="zh-CN"/>
        </w:rPr>
        <w:t>类型</w:t>
      </w:r>
      <w:r>
        <w:rPr>
          <w:rFonts w:hint="eastAsia" w:ascii="宋体" w:hAnsi="宋体" w:eastAsia="宋体" w:cs="宋体"/>
          <w:color w:val="000000" w:themeColor="text1"/>
          <w:spacing w:val="-21"/>
          <w:sz w:val="28"/>
          <w:lang w:eastAsia="zh-CN"/>
        </w:rPr>
        <w:t>：</w:t>
      </w:r>
      <w:r>
        <w:rPr>
          <w:rFonts w:hint="eastAsia" w:ascii="宋体" w:hAnsi="宋体" w:eastAsia="宋体" w:cs="宋体"/>
          <w:color w:val="000000" w:themeColor="text1"/>
          <w:spacing w:val="-21"/>
          <w:sz w:val="28"/>
          <w:u w:val="single"/>
          <w:lang w:eastAsia="zh-CN"/>
        </w:rPr>
        <w:t>☑</w:t>
      </w:r>
      <w:r>
        <w:rPr>
          <w:rFonts w:hint="eastAsia" w:ascii="宋体" w:hAnsi="宋体" w:eastAsia="宋体" w:cs="宋体"/>
          <w:color w:val="000000" w:themeColor="text1"/>
          <w:sz w:val="28"/>
          <w:u w:val="single"/>
          <w:lang w:eastAsia="zh-CN"/>
        </w:rPr>
        <w:t>实</w:t>
      </w:r>
      <w:r>
        <w:rPr>
          <w:rFonts w:hint="eastAsia" w:ascii="宋体" w:hAnsi="宋体" w:eastAsia="宋体" w:cs="宋体"/>
          <w:color w:val="000000" w:themeColor="text1"/>
          <w:spacing w:val="-3"/>
          <w:sz w:val="28"/>
          <w:u w:val="single"/>
          <w:lang w:eastAsia="zh-CN"/>
        </w:rPr>
        <w:t>施</w:t>
      </w:r>
      <w:r>
        <w:rPr>
          <w:rFonts w:hint="eastAsia" w:ascii="宋体" w:hAnsi="宋体" w:eastAsia="宋体" w:cs="宋体"/>
          <w:color w:val="000000" w:themeColor="text1"/>
          <w:sz w:val="28"/>
          <w:u w:val="single"/>
          <w:lang w:eastAsia="zh-CN"/>
        </w:rPr>
        <w:t>过程</w:t>
      </w:r>
      <w:r>
        <w:rPr>
          <w:rFonts w:hint="eastAsia" w:ascii="宋体" w:hAnsi="宋体" w:eastAsia="宋体" w:cs="宋体"/>
          <w:color w:val="000000" w:themeColor="text1"/>
          <w:spacing w:val="-3"/>
          <w:sz w:val="28"/>
          <w:u w:val="single"/>
          <w:lang w:eastAsia="zh-CN"/>
        </w:rPr>
        <w:t>评</w:t>
      </w:r>
      <w:r>
        <w:rPr>
          <w:rFonts w:hint="eastAsia" w:ascii="宋体" w:hAnsi="宋体" w:eastAsia="宋体" w:cs="宋体"/>
          <w:color w:val="000000" w:themeColor="text1"/>
          <w:sz w:val="28"/>
          <w:u w:val="single"/>
          <w:lang w:eastAsia="zh-CN"/>
        </w:rPr>
        <w:t>价</w:t>
      </w:r>
      <w:r>
        <w:rPr>
          <w:rFonts w:hint="eastAsia" w:ascii="宋体" w:hAnsi="宋体" w:eastAsia="宋体" w:cs="宋体"/>
          <w:color w:val="000000" w:themeColor="text1"/>
          <w:sz w:val="28"/>
          <w:lang w:eastAsia="zh-CN"/>
        </w:rPr>
        <w:tab/>
      </w:r>
      <w:r>
        <w:rPr>
          <w:rFonts w:hint="eastAsia" w:ascii="宋体" w:hAnsi="宋体" w:eastAsia="宋体" w:cs="宋体"/>
          <w:color w:val="000000" w:themeColor="text1"/>
          <w:spacing w:val="-41"/>
          <w:sz w:val="28"/>
          <w:u w:val="single"/>
          <w:lang w:eastAsia="zh-CN"/>
        </w:rPr>
        <w:t>☑</w:t>
      </w:r>
      <w:r>
        <w:rPr>
          <w:rFonts w:hint="eastAsia" w:ascii="宋体" w:hAnsi="宋体" w:eastAsia="宋体" w:cs="宋体"/>
          <w:color w:val="000000" w:themeColor="text1"/>
          <w:spacing w:val="-1"/>
          <w:sz w:val="28"/>
          <w:u w:val="single"/>
          <w:lang w:eastAsia="zh-CN"/>
        </w:rPr>
        <w:t>完</w:t>
      </w:r>
      <w:r>
        <w:rPr>
          <w:rFonts w:hint="eastAsia" w:ascii="宋体" w:hAnsi="宋体" w:eastAsia="宋体" w:cs="宋体"/>
          <w:color w:val="000000" w:themeColor="text1"/>
          <w:spacing w:val="-3"/>
          <w:sz w:val="28"/>
          <w:u w:val="single"/>
          <w:lang w:eastAsia="zh-CN"/>
        </w:rPr>
        <w:t>成</w:t>
      </w:r>
      <w:r>
        <w:rPr>
          <w:rFonts w:hint="eastAsia" w:ascii="宋体" w:hAnsi="宋体" w:eastAsia="宋体" w:cs="宋体"/>
          <w:color w:val="000000" w:themeColor="text1"/>
          <w:spacing w:val="-1"/>
          <w:sz w:val="28"/>
          <w:u w:val="single"/>
          <w:lang w:eastAsia="zh-CN"/>
        </w:rPr>
        <w:t>结果</w:t>
      </w:r>
      <w:r>
        <w:rPr>
          <w:rFonts w:hint="eastAsia" w:ascii="宋体" w:hAnsi="宋体" w:eastAsia="宋体" w:cs="宋体"/>
          <w:color w:val="000000" w:themeColor="text1"/>
          <w:spacing w:val="-3"/>
          <w:sz w:val="28"/>
          <w:u w:val="single"/>
          <w:lang w:eastAsia="zh-CN"/>
        </w:rPr>
        <w:t>评</w:t>
      </w:r>
      <w:r>
        <w:rPr>
          <w:rFonts w:hint="eastAsia" w:ascii="宋体" w:hAnsi="宋体" w:eastAsia="宋体" w:cs="宋体"/>
          <w:color w:val="000000" w:themeColor="text1"/>
          <w:sz w:val="28"/>
          <w:u w:val="single"/>
          <w:lang w:eastAsia="zh-CN"/>
        </w:rPr>
        <w:t>价</w:t>
      </w:r>
    </w:p>
    <w:p>
      <w:pPr>
        <w:pStyle w:val="4"/>
        <w:spacing w:before="4"/>
        <w:rPr>
          <w:rFonts w:ascii="宋体" w:hAnsi="宋体" w:eastAsia="宋体" w:cs="宋体"/>
          <w:color w:val="000000" w:themeColor="text1"/>
          <w:sz w:val="14"/>
          <w:lang w:eastAsia="zh-CN"/>
        </w:rPr>
      </w:pPr>
    </w:p>
    <w:p>
      <w:pPr>
        <w:tabs>
          <w:tab w:val="left" w:pos="7877"/>
        </w:tabs>
        <w:spacing w:before="24"/>
        <w:ind w:left="1088"/>
        <w:rPr>
          <w:rFonts w:ascii="宋体" w:hAnsi="宋体" w:eastAsia="宋体" w:cs="宋体"/>
          <w:color w:val="000000" w:themeColor="text1"/>
          <w:sz w:val="28"/>
          <w:lang w:eastAsia="zh-CN"/>
        </w:rPr>
      </w:pPr>
      <w:r>
        <w:rPr>
          <w:rFonts w:hint="eastAsia" w:ascii="宋体" w:hAnsi="宋体" w:eastAsia="宋体" w:cs="宋体"/>
          <w:color w:val="000000" w:themeColor="text1"/>
          <w:spacing w:val="-1"/>
          <w:sz w:val="28"/>
          <w:lang w:eastAsia="zh-CN"/>
        </w:rPr>
        <w:t>项</w:t>
      </w:r>
      <w:r>
        <w:rPr>
          <w:rFonts w:hint="eastAsia" w:ascii="宋体" w:hAnsi="宋体" w:eastAsia="宋体" w:cs="宋体"/>
          <w:color w:val="000000" w:themeColor="text1"/>
          <w:spacing w:val="-3"/>
          <w:sz w:val="28"/>
          <w:lang w:eastAsia="zh-CN"/>
        </w:rPr>
        <w:t>目</w:t>
      </w:r>
      <w:r>
        <w:rPr>
          <w:rFonts w:hint="eastAsia" w:ascii="宋体" w:hAnsi="宋体" w:eastAsia="宋体" w:cs="宋体"/>
          <w:color w:val="000000" w:themeColor="text1"/>
          <w:spacing w:val="-1"/>
          <w:sz w:val="28"/>
          <w:lang w:eastAsia="zh-CN"/>
        </w:rPr>
        <w:t>名称</w:t>
      </w:r>
      <w:r>
        <w:rPr>
          <w:rFonts w:hint="eastAsia" w:ascii="宋体" w:hAnsi="宋体" w:eastAsia="宋体" w:cs="宋体"/>
          <w:color w:val="000000" w:themeColor="text1"/>
          <w:sz w:val="28"/>
          <w:lang w:eastAsia="zh-CN"/>
        </w:rPr>
        <w:t>：</w:t>
      </w:r>
      <w:r>
        <w:rPr>
          <w:rFonts w:hint="eastAsia" w:ascii="宋体" w:hAnsi="宋体" w:eastAsia="宋体" w:cs="宋体"/>
          <w:color w:val="000000" w:themeColor="text1"/>
          <w:sz w:val="28"/>
          <w:u w:val="single"/>
          <w:lang w:eastAsia="zh-CN"/>
        </w:rPr>
        <w:t>信访维稳工作经费</w:t>
      </w:r>
      <w:r>
        <w:rPr>
          <w:rFonts w:hint="eastAsia" w:ascii="宋体" w:hAnsi="宋体" w:eastAsia="宋体" w:cs="宋体"/>
          <w:color w:val="000000" w:themeColor="text1"/>
          <w:sz w:val="28"/>
          <w:u w:val="single"/>
          <w:lang w:eastAsia="zh-CN"/>
        </w:rPr>
        <w:tab/>
      </w:r>
    </w:p>
    <w:p>
      <w:pPr>
        <w:pStyle w:val="4"/>
        <w:spacing w:before="4"/>
        <w:rPr>
          <w:rFonts w:ascii="宋体" w:hAnsi="宋体" w:eastAsia="宋体" w:cs="宋体"/>
          <w:color w:val="000000" w:themeColor="text1"/>
          <w:sz w:val="16"/>
          <w:lang w:eastAsia="zh-CN"/>
        </w:rPr>
      </w:pPr>
    </w:p>
    <w:p>
      <w:pPr>
        <w:tabs>
          <w:tab w:val="left" w:pos="8016"/>
        </w:tabs>
        <w:spacing w:before="24"/>
        <w:ind w:left="1088"/>
        <w:rPr>
          <w:rFonts w:ascii="宋体" w:hAnsi="宋体" w:eastAsia="宋体" w:cs="宋体"/>
          <w:color w:val="000000" w:themeColor="text1"/>
          <w:sz w:val="28"/>
          <w:lang w:eastAsia="zh-CN"/>
        </w:rPr>
      </w:pPr>
      <w:r>
        <w:rPr>
          <w:rFonts w:hint="eastAsia" w:ascii="宋体" w:hAnsi="宋体" w:eastAsia="宋体" w:cs="宋体"/>
          <w:color w:val="000000" w:themeColor="text1"/>
          <w:spacing w:val="-1"/>
          <w:sz w:val="28"/>
          <w:lang w:eastAsia="zh-CN"/>
        </w:rPr>
        <w:t>项</w:t>
      </w:r>
      <w:r>
        <w:rPr>
          <w:rFonts w:hint="eastAsia" w:ascii="宋体" w:hAnsi="宋体" w:eastAsia="宋体" w:cs="宋体"/>
          <w:color w:val="000000" w:themeColor="text1"/>
          <w:spacing w:val="-3"/>
          <w:sz w:val="28"/>
          <w:lang w:eastAsia="zh-CN"/>
        </w:rPr>
        <w:t>目</w:t>
      </w:r>
      <w:r>
        <w:rPr>
          <w:rFonts w:hint="eastAsia" w:ascii="宋体" w:hAnsi="宋体" w:eastAsia="宋体" w:cs="宋体"/>
          <w:color w:val="000000" w:themeColor="text1"/>
          <w:spacing w:val="-1"/>
          <w:sz w:val="28"/>
          <w:lang w:eastAsia="zh-CN"/>
        </w:rPr>
        <w:t>单位</w:t>
      </w:r>
      <w:r>
        <w:rPr>
          <w:rFonts w:hint="eastAsia" w:ascii="宋体" w:hAnsi="宋体" w:eastAsia="宋体" w:cs="宋体"/>
          <w:color w:val="000000" w:themeColor="text1"/>
          <w:sz w:val="28"/>
          <w:lang w:eastAsia="zh-CN"/>
        </w:rPr>
        <w:t>：</w:t>
      </w:r>
      <w:r>
        <w:rPr>
          <w:rFonts w:hint="eastAsia" w:ascii="宋体" w:hAnsi="宋体" w:eastAsia="宋体" w:cs="宋体"/>
          <w:color w:val="000000" w:themeColor="text1"/>
          <w:spacing w:val="-2"/>
          <w:sz w:val="28"/>
          <w:lang w:eastAsia="zh-CN"/>
        </w:rPr>
        <w:t>昌江区信访局</w:t>
      </w:r>
    </w:p>
    <w:p>
      <w:pPr>
        <w:pStyle w:val="4"/>
        <w:spacing w:before="4"/>
        <w:rPr>
          <w:rFonts w:ascii="宋体" w:hAnsi="宋体" w:eastAsia="宋体" w:cs="宋体"/>
          <w:color w:val="000000" w:themeColor="text1"/>
          <w:sz w:val="16"/>
          <w:lang w:eastAsia="zh-CN"/>
        </w:rPr>
      </w:pPr>
    </w:p>
    <w:p>
      <w:pPr>
        <w:tabs>
          <w:tab w:val="left" w:pos="8016"/>
        </w:tabs>
        <w:spacing w:before="24"/>
        <w:ind w:left="1088"/>
        <w:rPr>
          <w:rFonts w:ascii="宋体" w:hAnsi="宋体" w:eastAsia="宋体" w:cs="宋体"/>
          <w:color w:val="000000" w:themeColor="text1"/>
          <w:sz w:val="28"/>
          <w:lang w:eastAsia="zh-CN"/>
        </w:rPr>
      </w:pPr>
      <w:r>
        <w:rPr>
          <w:rFonts w:hint="eastAsia" w:ascii="宋体" w:hAnsi="宋体" w:eastAsia="宋体" w:cs="宋体"/>
          <w:color w:val="000000" w:themeColor="text1"/>
          <w:spacing w:val="-1"/>
          <w:sz w:val="28"/>
          <w:lang w:eastAsia="zh-CN"/>
        </w:rPr>
        <w:t>主</w:t>
      </w:r>
      <w:r>
        <w:rPr>
          <w:rFonts w:hint="eastAsia" w:ascii="宋体" w:hAnsi="宋体" w:eastAsia="宋体" w:cs="宋体"/>
          <w:color w:val="000000" w:themeColor="text1"/>
          <w:spacing w:val="-3"/>
          <w:sz w:val="28"/>
          <w:lang w:eastAsia="zh-CN"/>
        </w:rPr>
        <w:t>管</w:t>
      </w:r>
      <w:r>
        <w:rPr>
          <w:rFonts w:hint="eastAsia" w:ascii="宋体" w:hAnsi="宋体" w:eastAsia="宋体" w:cs="宋体"/>
          <w:color w:val="000000" w:themeColor="text1"/>
          <w:spacing w:val="-1"/>
          <w:sz w:val="28"/>
          <w:lang w:eastAsia="zh-CN"/>
        </w:rPr>
        <w:t>部门</w:t>
      </w:r>
      <w:r>
        <w:rPr>
          <w:rFonts w:hint="eastAsia" w:ascii="宋体" w:hAnsi="宋体" w:eastAsia="宋体" w:cs="宋体"/>
          <w:color w:val="000000" w:themeColor="text1"/>
          <w:sz w:val="28"/>
          <w:lang w:eastAsia="zh-CN"/>
        </w:rPr>
        <w:t>：</w:t>
      </w:r>
      <w:r>
        <w:rPr>
          <w:rFonts w:hint="eastAsia" w:ascii="宋体" w:hAnsi="宋体" w:eastAsia="宋体" w:cs="宋体"/>
          <w:color w:val="000000" w:themeColor="text1"/>
          <w:spacing w:val="-2"/>
          <w:sz w:val="28"/>
          <w:lang w:eastAsia="zh-CN"/>
        </w:rPr>
        <w:t>昌江区信访局</w:t>
      </w:r>
      <w:r>
        <w:rPr>
          <w:rFonts w:hint="eastAsia" w:ascii="宋体" w:hAnsi="宋体" w:eastAsia="宋体" w:cs="宋体"/>
          <w:color w:val="000000" w:themeColor="text1"/>
          <w:sz w:val="28"/>
          <w:u w:val="single"/>
          <w:lang w:eastAsia="zh-CN"/>
        </w:rPr>
        <w:tab/>
      </w:r>
    </w:p>
    <w:p>
      <w:pPr>
        <w:pStyle w:val="4"/>
        <w:spacing w:before="4"/>
        <w:rPr>
          <w:rFonts w:ascii="宋体" w:hAnsi="宋体" w:eastAsia="宋体" w:cs="宋体"/>
          <w:color w:val="000000" w:themeColor="text1"/>
          <w:sz w:val="16"/>
          <w:lang w:eastAsia="zh-CN"/>
        </w:rPr>
      </w:pPr>
    </w:p>
    <w:p>
      <w:pPr>
        <w:tabs>
          <w:tab w:val="left" w:pos="3468"/>
          <w:tab w:val="left" w:pos="4167"/>
          <w:tab w:val="left" w:pos="4867"/>
          <w:tab w:val="left" w:pos="6267"/>
          <w:tab w:val="left" w:pos="6967"/>
          <w:tab w:val="left" w:pos="7807"/>
        </w:tabs>
        <w:spacing w:before="24"/>
        <w:ind w:left="1088"/>
        <w:rPr>
          <w:rFonts w:ascii="宋体" w:hAnsi="宋体" w:eastAsia="宋体" w:cs="宋体"/>
          <w:color w:val="000000" w:themeColor="text1"/>
          <w:sz w:val="28"/>
          <w:lang w:eastAsia="zh-CN"/>
        </w:rPr>
      </w:pPr>
      <w:r>
        <w:rPr>
          <w:rFonts w:hint="eastAsia" w:ascii="宋体" w:hAnsi="宋体" w:eastAsia="宋体" w:cs="宋体"/>
          <w:color w:val="000000" w:themeColor="text1"/>
          <w:sz w:val="28"/>
          <w:lang w:eastAsia="zh-CN"/>
        </w:rPr>
        <w:t>评</w:t>
      </w:r>
      <w:r>
        <w:rPr>
          <w:rFonts w:hint="eastAsia" w:ascii="宋体" w:hAnsi="宋体" w:eastAsia="宋体" w:cs="宋体"/>
          <w:color w:val="000000" w:themeColor="text1"/>
          <w:spacing w:val="-3"/>
          <w:sz w:val="28"/>
          <w:lang w:eastAsia="zh-CN"/>
        </w:rPr>
        <w:t>价</w:t>
      </w:r>
      <w:r>
        <w:rPr>
          <w:rFonts w:hint="eastAsia" w:ascii="宋体" w:hAnsi="宋体" w:eastAsia="宋体" w:cs="宋体"/>
          <w:color w:val="000000" w:themeColor="text1"/>
          <w:sz w:val="28"/>
          <w:lang w:eastAsia="zh-CN"/>
        </w:rPr>
        <w:t>时间：</w:t>
      </w:r>
      <w:r>
        <w:rPr>
          <w:rFonts w:hint="eastAsia" w:ascii="宋体" w:hAnsi="宋体" w:eastAsia="宋体" w:cs="宋体"/>
          <w:color w:val="000000" w:themeColor="text1"/>
          <w:sz w:val="28"/>
          <w:u w:val="single"/>
          <w:lang w:eastAsia="zh-CN"/>
        </w:rPr>
        <w:t>202</w:t>
      </w:r>
      <w:r>
        <w:rPr>
          <w:rFonts w:hint="eastAsia" w:ascii="宋体" w:hAnsi="宋体" w:eastAsia="宋体" w:cs="宋体"/>
          <w:color w:val="000000" w:themeColor="text1"/>
          <w:sz w:val="28"/>
          <w:u w:val="single"/>
          <w:lang w:val="en-US" w:eastAsia="zh-CN"/>
        </w:rPr>
        <w:t>4</w:t>
      </w:r>
      <w:r>
        <w:rPr>
          <w:rFonts w:hint="eastAsia" w:ascii="宋体" w:hAnsi="宋体" w:eastAsia="宋体" w:cs="宋体"/>
          <w:color w:val="000000" w:themeColor="text1"/>
          <w:sz w:val="28"/>
          <w:u w:val="single"/>
          <w:lang w:eastAsia="zh-CN"/>
        </w:rPr>
        <w:t>年</w:t>
      </w:r>
      <w:r>
        <w:rPr>
          <w:rFonts w:hint="eastAsia" w:ascii="宋体" w:hAnsi="宋体" w:eastAsia="宋体" w:cs="宋体"/>
          <w:color w:val="000000" w:themeColor="text1"/>
          <w:sz w:val="28"/>
          <w:u w:val="single"/>
          <w:lang w:val="en-US" w:eastAsia="zh-CN"/>
        </w:rPr>
        <w:t>1</w:t>
      </w:r>
      <w:r>
        <w:rPr>
          <w:rFonts w:hint="eastAsia" w:ascii="宋体" w:hAnsi="宋体" w:eastAsia="宋体" w:cs="宋体"/>
          <w:color w:val="000000" w:themeColor="text1"/>
          <w:sz w:val="28"/>
          <w:u w:val="single"/>
          <w:lang w:eastAsia="zh-CN"/>
        </w:rPr>
        <w:t>月</w:t>
      </w:r>
      <w:r>
        <w:rPr>
          <w:rFonts w:hint="eastAsia" w:ascii="宋体" w:hAnsi="宋体" w:eastAsia="宋体" w:cs="宋体"/>
          <w:color w:val="000000" w:themeColor="text1"/>
          <w:sz w:val="28"/>
          <w:u w:val="single"/>
          <w:lang w:val="en-US" w:eastAsia="zh-CN"/>
        </w:rPr>
        <w:t>1</w:t>
      </w:r>
      <w:r>
        <w:rPr>
          <w:rFonts w:hint="eastAsia" w:ascii="宋体" w:hAnsi="宋体" w:eastAsia="宋体" w:cs="宋体"/>
          <w:color w:val="000000" w:themeColor="text1"/>
          <w:sz w:val="28"/>
          <w:u w:val="single"/>
          <w:lang w:eastAsia="zh-CN"/>
        </w:rPr>
        <w:t>日至202</w:t>
      </w:r>
      <w:r>
        <w:rPr>
          <w:rFonts w:hint="eastAsia" w:ascii="宋体" w:hAnsi="宋体" w:eastAsia="宋体" w:cs="宋体"/>
          <w:color w:val="000000" w:themeColor="text1"/>
          <w:sz w:val="28"/>
          <w:u w:val="single"/>
          <w:lang w:val="en-US" w:eastAsia="zh-CN"/>
        </w:rPr>
        <w:t>4</w:t>
      </w:r>
      <w:r>
        <w:rPr>
          <w:rFonts w:hint="eastAsia" w:ascii="宋体" w:hAnsi="宋体" w:eastAsia="宋体" w:cs="宋体"/>
          <w:color w:val="000000" w:themeColor="text1"/>
          <w:sz w:val="28"/>
          <w:u w:val="single"/>
          <w:lang w:eastAsia="zh-CN"/>
        </w:rPr>
        <w:t>年3月</w:t>
      </w:r>
      <w:r>
        <w:rPr>
          <w:rFonts w:hint="eastAsia" w:ascii="宋体" w:hAnsi="宋体" w:eastAsia="宋体" w:cs="宋体"/>
          <w:color w:val="000000" w:themeColor="text1"/>
          <w:sz w:val="28"/>
          <w:u w:val="single"/>
          <w:lang w:val="en-US" w:eastAsia="zh-CN"/>
        </w:rPr>
        <w:t>15</w:t>
      </w:r>
      <w:r>
        <w:rPr>
          <w:rFonts w:hint="eastAsia" w:ascii="宋体" w:hAnsi="宋体" w:eastAsia="宋体" w:cs="宋体"/>
          <w:color w:val="000000" w:themeColor="text1"/>
          <w:sz w:val="28"/>
          <w:u w:val="single"/>
          <w:lang w:eastAsia="zh-CN"/>
        </w:rPr>
        <w:t>日</w:t>
      </w:r>
    </w:p>
    <w:p>
      <w:pPr>
        <w:pStyle w:val="4"/>
        <w:spacing w:before="1"/>
        <w:rPr>
          <w:rFonts w:ascii="宋体" w:hAnsi="宋体" w:eastAsia="宋体" w:cs="宋体"/>
          <w:color w:val="000000" w:themeColor="text1"/>
          <w:sz w:val="15"/>
          <w:lang w:eastAsia="zh-CN"/>
        </w:rPr>
      </w:pPr>
    </w:p>
    <w:p>
      <w:pPr>
        <w:tabs>
          <w:tab w:val="left" w:pos="4548"/>
          <w:tab w:val="left" w:pos="6607"/>
        </w:tabs>
        <w:spacing w:before="15"/>
        <w:ind w:left="1088"/>
        <w:rPr>
          <w:rFonts w:ascii="宋体" w:hAnsi="宋体" w:eastAsia="宋体" w:cs="宋体"/>
          <w:color w:val="000000" w:themeColor="text1"/>
          <w:sz w:val="28"/>
          <w:lang w:eastAsia="zh-CN"/>
        </w:rPr>
      </w:pPr>
      <w:r>
        <w:rPr>
          <w:rFonts w:hint="eastAsia" w:ascii="宋体" w:hAnsi="宋体" w:eastAsia="宋体" w:cs="宋体"/>
          <w:color w:val="000000" w:themeColor="text1"/>
          <w:sz w:val="28"/>
          <w:lang w:eastAsia="zh-CN"/>
        </w:rPr>
        <w:t>组</w:t>
      </w:r>
      <w:r>
        <w:rPr>
          <w:rFonts w:hint="eastAsia" w:ascii="宋体" w:hAnsi="宋体" w:eastAsia="宋体" w:cs="宋体"/>
          <w:color w:val="000000" w:themeColor="text1"/>
          <w:spacing w:val="-3"/>
          <w:sz w:val="28"/>
          <w:lang w:eastAsia="zh-CN"/>
        </w:rPr>
        <w:t>织</w:t>
      </w:r>
      <w:r>
        <w:rPr>
          <w:rFonts w:hint="eastAsia" w:ascii="宋体" w:hAnsi="宋体" w:eastAsia="宋体" w:cs="宋体"/>
          <w:color w:val="000000" w:themeColor="text1"/>
          <w:sz w:val="28"/>
          <w:lang w:eastAsia="zh-CN"/>
        </w:rPr>
        <w:t>方式</w:t>
      </w:r>
      <w:r>
        <w:rPr>
          <w:rFonts w:hint="eastAsia" w:ascii="宋体" w:hAnsi="宋体" w:eastAsia="宋体" w:cs="宋体"/>
          <w:color w:val="000000" w:themeColor="text1"/>
          <w:spacing w:val="-22"/>
          <w:sz w:val="28"/>
          <w:lang w:eastAsia="zh-CN"/>
        </w:rPr>
        <w:t>：</w:t>
      </w:r>
      <w:r>
        <w:rPr>
          <w:rFonts w:hint="eastAsia" w:ascii="宋体" w:hAnsi="宋体" w:eastAsia="宋体" w:cs="宋体"/>
          <w:color w:val="000000" w:themeColor="text1"/>
          <w:spacing w:val="-22"/>
          <w:sz w:val="28"/>
          <w:u w:val="single"/>
          <w:lang w:eastAsia="zh-CN"/>
        </w:rPr>
        <w:t>□</w:t>
      </w:r>
      <w:r>
        <w:rPr>
          <w:rFonts w:hint="eastAsia" w:ascii="宋体" w:hAnsi="宋体" w:eastAsia="宋体" w:cs="宋体"/>
          <w:color w:val="000000" w:themeColor="text1"/>
          <w:sz w:val="28"/>
          <w:u w:val="single"/>
          <w:lang w:eastAsia="zh-CN"/>
        </w:rPr>
        <w:t>财</w:t>
      </w:r>
      <w:r>
        <w:rPr>
          <w:rFonts w:hint="eastAsia" w:ascii="宋体" w:hAnsi="宋体" w:eastAsia="宋体" w:cs="宋体"/>
          <w:color w:val="000000" w:themeColor="text1"/>
          <w:spacing w:val="-3"/>
          <w:sz w:val="28"/>
          <w:u w:val="single"/>
          <w:lang w:eastAsia="zh-CN"/>
        </w:rPr>
        <w:t>政</w:t>
      </w:r>
      <w:r>
        <w:rPr>
          <w:rFonts w:hint="eastAsia" w:ascii="宋体" w:hAnsi="宋体" w:eastAsia="宋体" w:cs="宋体"/>
          <w:color w:val="000000" w:themeColor="text1"/>
          <w:sz w:val="28"/>
          <w:u w:val="single"/>
          <w:lang w:eastAsia="zh-CN"/>
        </w:rPr>
        <w:t>部门</w:t>
      </w:r>
      <w:r>
        <w:rPr>
          <w:rFonts w:hint="eastAsia" w:ascii="宋体" w:hAnsi="宋体" w:eastAsia="宋体" w:cs="宋体"/>
          <w:color w:val="000000" w:themeColor="text1"/>
          <w:sz w:val="28"/>
          <w:lang w:eastAsia="zh-CN"/>
        </w:rPr>
        <w:tab/>
      </w:r>
      <w:r>
        <w:rPr>
          <w:rFonts w:hint="eastAsia" w:ascii="宋体" w:hAnsi="宋体" w:eastAsia="宋体" w:cs="宋体"/>
          <w:color w:val="000000" w:themeColor="text1"/>
          <w:spacing w:val="-41"/>
          <w:sz w:val="28"/>
          <w:u w:val="single"/>
          <w:lang w:eastAsia="zh-CN"/>
        </w:rPr>
        <w:t>□</w:t>
      </w:r>
      <w:r>
        <w:rPr>
          <w:rFonts w:hint="eastAsia" w:ascii="宋体" w:hAnsi="宋体" w:eastAsia="宋体" w:cs="宋体"/>
          <w:color w:val="000000" w:themeColor="text1"/>
          <w:sz w:val="28"/>
          <w:u w:val="single"/>
          <w:lang w:eastAsia="zh-CN"/>
        </w:rPr>
        <w:t>主</w:t>
      </w:r>
      <w:r>
        <w:rPr>
          <w:rFonts w:hint="eastAsia" w:ascii="宋体" w:hAnsi="宋体" w:eastAsia="宋体" w:cs="宋体"/>
          <w:color w:val="000000" w:themeColor="text1"/>
          <w:spacing w:val="-3"/>
          <w:sz w:val="28"/>
          <w:u w:val="single"/>
          <w:lang w:eastAsia="zh-CN"/>
        </w:rPr>
        <w:t>管</w:t>
      </w:r>
      <w:r>
        <w:rPr>
          <w:rFonts w:hint="eastAsia" w:ascii="宋体" w:hAnsi="宋体" w:eastAsia="宋体" w:cs="宋体"/>
          <w:color w:val="000000" w:themeColor="text1"/>
          <w:sz w:val="28"/>
          <w:u w:val="single"/>
          <w:lang w:eastAsia="zh-CN"/>
        </w:rPr>
        <w:t>部门</w:t>
      </w:r>
      <w:r>
        <w:rPr>
          <w:rFonts w:hint="eastAsia" w:ascii="宋体" w:hAnsi="宋体" w:eastAsia="宋体" w:cs="宋体"/>
          <w:color w:val="000000" w:themeColor="text1"/>
          <w:sz w:val="28"/>
          <w:lang w:eastAsia="zh-CN"/>
        </w:rPr>
        <w:tab/>
      </w:r>
      <w:r>
        <w:rPr>
          <w:rFonts w:hint="eastAsia" w:ascii="宋体" w:hAnsi="宋体" w:eastAsia="宋体" w:cs="宋体"/>
          <w:color w:val="000000" w:themeColor="text1"/>
          <w:spacing w:val="-41"/>
          <w:sz w:val="28"/>
          <w:u w:val="single"/>
          <w:lang w:eastAsia="zh-CN"/>
        </w:rPr>
        <w:t>☑</w:t>
      </w:r>
      <w:r>
        <w:rPr>
          <w:rFonts w:hint="eastAsia" w:ascii="宋体" w:hAnsi="宋体" w:eastAsia="宋体" w:cs="宋体"/>
          <w:color w:val="000000" w:themeColor="text1"/>
          <w:spacing w:val="-1"/>
          <w:sz w:val="28"/>
          <w:u w:val="single"/>
          <w:lang w:eastAsia="zh-CN"/>
        </w:rPr>
        <w:t>项</w:t>
      </w:r>
      <w:r>
        <w:rPr>
          <w:rFonts w:hint="eastAsia" w:ascii="宋体" w:hAnsi="宋体" w:eastAsia="宋体" w:cs="宋体"/>
          <w:color w:val="000000" w:themeColor="text1"/>
          <w:spacing w:val="-3"/>
          <w:sz w:val="28"/>
          <w:u w:val="single"/>
          <w:lang w:eastAsia="zh-CN"/>
        </w:rPr>
        <w:t>目</w:t>
      </w:r>
      <w:r>
        <w:rPr>
          <w:rFonts w:hint="eastAsia" w:ascii="宋体" w:hAnsi="宋体" w:eastAsia="宋体" w:cs="宋体"/>
          <w:color w:val="000000" w:themeColor="text1"/>
          <w:spacing w:val="-1"/>
          <w:sz w:val="28"/>
          <w:u w:val="single"/>
          <w:lang w:eastAsia="zh-CN"/>
        </w:rPr>
        <w:t>单</w:t>
      </w:r>
      <w:r>
        <w:rPr>
          <w:rFonts w:hint="eastAsia" w:ascii="宋体" w:hAnsi="宋体" w:eastAsia="宋体" w:cs="宋体"/>
          <w:color w:val="000000" w:themeColor="text1"/>
          <w:sz w:val="28"/>
          <w:u w:val="single"/>
          <w:lang w:eastAsia="zh-CN"/>
        </w:rPr>
        <w:t>位</w:t>
      </w:r>
    </w:p>
    <w:p>
      <w:pPr>
        <w:pStyle w:val="4"/>
        <w:spacing w:before="12"/>
        <w:rPr>
          <w:rFonts w:ascii="宋体" w:hAnsi="宋体" w:eastAsia="宋体" w:cs="宋体"/>
          <w:color w:val="000000" w:themeColor="text1"/>
          <w:sz w:val="14"/>
          <w:lang w:eastAsia="zh-CN"/>
        </w:rPr>
      </w:pPr>
    </w:p>
    <w:p>
      <w:pPr>
        <w:tabs>
          <w:tab w:val="left" w:pos="4548"/>
          <w:tab w:val="left" w:pos="6048"/>
        </w:tabs>
        <w:spacing w:before="14"/>
        <w:ind w:left="1088"/>
        <w:rPr>
          <w:rFonts w:ascii="宋体" w:hAnsi="宋体" w:eastAsia="宋体" w:cs="宋体"/>
          <w:color w:val="000000" w:themeColor="text1"/>
          <w:sz w:val="28"/>
          <w:lang w:eastAsia="zh-CN"/>
        </w:rPr>
      </w:pPr>
      <w:r>
        <w:rPr>
          <w:rFonts w:hint="eastAsia" w:ascii="宋体" w:hAnsi="宋体" w:eastAsia="宋体" w:cs="宋体"/>
          <w:color w:val="000000" w:themeColor="text1"/>
          <w:sz w:val="28"/>
          <w:lang w:eastAsia="zh-CN"/>
        </w:rPr>
        <w:t>评</w:t>
      </w:r>
      <w:r>
        <w:rPr>
          <w:rFonts w:hint="eastAsia" w:ascii="宋体" w:hAnsi="宋体" w:eastAsia="宋体" w:cs="宋体"/>
          <w:color w:val="000000" w:themeColor="text1"/>
          <w:spacing w:val="-3"/>
          <w:sz w:val="28"/>
          <w:lang w:eastAsia="zh-CN"/>
        </w:rPr>
        <w:t>价</w:t>
      </w:r>
      <w:r>
        <w:rPr>
          <w:rFonts w:hint="eastAsia" w:ascii="宋体" w:hAnsi="宋体" w:eastAsia="宋体" w:cs="宋体"/>
          <w:color w:val="000000" w:themeColor="text1"/>
          <w:sz w:val="28"/>
          <w:lang w:eastAsia="zh-CN"/>
        </w:rPr>
        <w:t>机构</w:t>
      </w:r>
      <w:r>
        <w:rPr>
          <w:rFonts w:hint="eastAsia" w:ascii="宋体" w:hAnsi="宋体" w:eastAsia="宋体" w:cs="宋体"/>
          <w:color w:val="000000" w:themeColor="text1"/>
          <w:spacing w:val="-22"/>
          <w:sz w:val="28"/>
          <w:lang w:eastAsia="zh-CN"/>
        </w:rPr>
        <w:t>：</w:t>
      </w:r>
      <w:r>
        <w:rPr>
          <w:rFonts w:hint="eastAsia" w:ascii="宋体" w:hAnsi="宋体" w:eastAsia="宋体" w:cs="宋体"/>
          <w:color w:val="000000" w:themeColor="text1"/>
          <w:spacing w:val="-22"/>
          <w:sz w:val="28"/>
          <w:u w:val="single"/>
          <w:lang w:eastAsia="zh-CN"/>
        </w:rPr>
        <w:t>□</w:t>
      </w:r>
      <w:r>
        <w:rPr>
          <w:rFonts w:hint="eastAsia" w:ascii="宋体" w:hAnsi="宋体" w:eastAsia="宋体" w:cs="宋体"/>
          <w:color w:val="000000" w:themeColor="text1"/>
          <w:sz w:val="28"/>
          <w:u w:val="single"/>
          <w:lang w:eastAsia="zh-CN"/>
        </w:rPr>
        <w:t>第</w:t>
      </w:r>
      <w:r>
        <w:rPr>
          <w:rFonts w:hint="eastAsia" w:ascii="宋体" w:hAnsi="宋体" w:eastAsia="宋体" w:cs="宋体"/>
          <w:color w:val="000000" w:themeColor="text1"/>
          <w:spacing w:val="-3"/>
          <w:sz w:val="28"/>
          <w:u w:val="single"/>
          <w:lang w:eastAsia="zh-CN"/>
        </w:rPr>
        <w:t>三</w:t>
      </w:r>
      <w:r>
        <w:rPr>
          <w:rFonts w:hint="eastAsia" w:ascii="宋体" w:hAnsi="宋体" w:eastAsia="宋体" w:cs="宋体"/>
          <w:color w:val="000000" w:themeColor="text1"/>
          <w:sz w:val="28"/>
          <w:u w:val="single"/>
          <w:lang w:eastAsia="zh-CN"/>
        </w:rPr>
        <w:t>方机构</w:t>
      </w:r>
      <w:r>
        <w:rPr>
          <w:rFonts w:hint="eastAsia" w:ascii="宋体" w:hAnsi="宋体" w:eastAsia="宋体" w:cs="宋体"/>
          <w:color w:val="000000" w:themeColor="text1"/>
          <w:sz w:val="28"/>
          <w:lang w:eastAsia="zh-CN"/>
        </w:rPr>
        <w:tab/>
      </w:r>
      <w:r>
        <w:rPr>
          <w:rFonts w:hint="eastAsia" w:ascii="宋体" w:hAnsi="宋体" w:eastAsia="宋体" w:cs="宋体"/>
          <w:color w:val="000000" w:themeColor="text1"/>
          <w:spacing w:val="-41"/>
          <w:sz w:val="28"/>
          <w:u w:val="single"/>
          <w:lang w:eastAsia="zh-CN"/>
        </w:rPr>
        <w:t>□</w:t>
      </w:r>
      <w:r>
        <w:rPr>
          <w:rFonts w:hint="eastAsia" w:ascii="宋体" w:hAnsi="宋体" w:eastAsia="宋体" w:cs="宋体"/>
          <w:color w:val="000000" w:themeColor="text1"/>
          <w:sz w:val="28"/>
          <w:u w:val="single"/>
          <w:lang w:eastAsia="zh-CN"/>
        </w:rPr>
        <w:t>专</w:t>
      </w:r>
      <w:r>
        <w:rPr>
          <w:rFonts w:hint="eastAsia" w:ascii="宋体" w:hAnsi="宋体" w:eastAsia="宋体" w:cs="宋体"/>
          <w:color w:val="000000" w:themeColor="text1"/>
          <w:spacing w:val="-3"/>
          <w:sz w:val="28"/>
          <w:u w:val="single"/>
          <w:lang w:eastAsia="zh-CN"/>
        </w:rPr>
        <w:t>家</w:t>
      </w:r>
      <w:r>
        <w:rPr>
          <w:rFonts w:hint="eastAsia" w:ascii="宋体" w:hAnsi="宋体" w:eastAsia="宋体" w:cs="宋体"/>
          <w:color w:val="000000" w:themeColor="text1"/>
          <w:sz w:val="28"/>
          <w:u w:val="single"/>
          <w:lang w:eastAsia="zh-CN"/>
        </w:rPr>
        <w:t>组</w:t>
      </w:r>
      <w:r>
        <w:rPr>
          <w:rFonts w:hint="eastAsia" w:ascii="宋体" w:hAnsi="宋体" w:eastAsia="宋体" w:cs="宋体"/>
          <w:color w:val="000000" w:themeColor="text1"/>
          <w:sz w:val="28"/>
          <w:lang w:eastAsia="zh-CN"/>
        </w:rPr>
        <w:tab/>
      </w:r>
      <w:r>
        <w:rPr>
          <w:rFonts w:hint="eastAsia" w:ascii="宋体" w:hAnsi="宋体" w:eastAsia="宋体" w:cs="宋体"/>
          <w:color w:val="000000" w:themeColor="text1"/>
          <w:spacing w:val="-41"/>
          <w:sz w:val="28"/>
          <w:u w:val="single"/>
          <w:lang w:eastAsia="zh-CN"/>
        </w:rPr>
        <w:t>☑</w:t>
      </w:r>
      <w:r>
        <w:rPr>
          <w:rFonts w:hint="eastAsia" w:ascii="宋体" w:hAnsi="宋体" w:eastAsia="宋体" w:cs="宋体"/>
          <w:color w:val="000000" w:themeColor="text1"/>
          <w:spacing w:val="-1"/>
          <w:sz w:val="28"/>
          <w:u w:val="single"/>
          <w:lang w:eastAsia="zh-CN"/>
        </w:rPr>
        <w:t>项</w:t>
      </w:r>
      <w:r>
        <w:rPr>
          <w:rFonts w:hint="eastAsia" w:ascii="宋体" w:hAnsi="宋体" w:eastAsia="宋体" w:cs="宋体"/>
          <w:color w:val="000000" w:themeColor="text1"/>
          <w:spacing w:val="-3"/>
          <w:sz w:val="28"/>
          <w:u w:val="single"/>
          <w:lang w:eastAsia="zh-CN"/>
        </w:rPr>
        <w:t>目</w:t>
      </w:r>
      <w:r>
        <w:rPr>
          <w:rFonts w:hint="eastAsia" w:ascii="宋体" w:hAnsi="宋体" w:eastAsia="宋体" w:cs="宋体"/>
          <w:color w:val="000000" w:themeColor="text1"/>
          <w:spacing w:val="-1"/>
          <w:sz w:val="28"/>
          <w:u w:val="single"/>
          <w:lang w:eastAsia="zh-CN"/>
        </w:rPr>
        <w:t>单位</w:t>
      </w:r>
      <w:r>
        <w:rPr>
          <w:rFonts w:hint="eastAsia" w:ascii="宋体" w:hAnsi="宋体" w:eastAsia="宋体" w:cs="宋体"/>
          <w:color w:val="000000" w:themeColor="text1"/>
          <w:spacing w:val="-3"/>
          <w:sz w:val="28"/>
          <w:u w:val="single"/>
          <w:lang w:eastAsia="zh-CN"/>
        </w:rPr>
        <w:t>评</w:t>
      </w:r>
      <w:r>
        <w:rPr>
          <w:rFonts w:hint="eastAsia" w:ascii="宋体" w:hAnsi="宋体" w:eastAsia="宋体" w:cs="宋体"/>
          <w:color w:val="000000" w:themeColor="text1"/>
          <w:spacing w:val="-1"/>
          <w:sz w:val="28"/>
          <w:u w:val="single"/>
          <w:lang w:eastAsia="zh-CN"/>
        </w:rPr>
        <w:t>价</w:t>
      </w:r>
      <w:r>
        <w:rPr>
          <w:rFonts w:hint="eastAsia" w:ascii="宋体" w:hAnsi="宋体" w:eastAsia="宋体" w:cs="宋体"/>
          <w:color w:val="000000" w:themeColor="text1"/>
          <w:sz w:val="28"/>
          <w:u w:val="single"/>
          <w:lang w:eastAsia="zh-CN"/>
        </w:rPr>
        <w:t>组</w:t>
      </w:r>
    </w:p>
    <w:p>
      <w:pPr>
        <w:pStyle w:val="4"/>
        <w:rPr>
          <w:rFonts w:ascii="宋体" w:hAnsi="宋体" w:eastAsia="宋体" w:cs="宋体"/>
          <w:color w:val="000000" w:themeColor="text1"/>
          <w:sz w:val="20"/>
          <w:lang w:eastAsia="zh-CN"/>
        </w:rPr>
      </w:pPr>
    </w:p>
    <w:p>
      <w:pPr>
        <w:pStyle w:val="4"/>
        <w:rPr>
          <w:rFonts w:ascii="宋体" w:hAnsi="宋体" w:eastAsia="宋体" w:cs="宋体"/>
          <w:color w:val="000000" w:themeColor="text1"/>
          <w:sz w:val="20"/>
          <w:lang w:eastAsia="zh-CN"/>
        </w:rPr>
      </w:pPr>
    </w:p>
    <w:p>
      <w:pPr>
        <w:spacing w:before="15"/>
        <w:jc w:val="both"/>
        <w:rPr>
          <w:rFonts w:ascii="宋体" w:hAnsi="宋体" w:eastAsia="宋体" w:cs="宋体"/>
          <w:color w:val="000000" w:themeColor="text1"/>
          <w:spacing w:val="-2"/>
          <w:sz w:val="28"/>
          <w:lang w:eastAsia="zh-CN"/>
        </w:rPr>
      </w:pPr>
    </w:p>
    <w:p>
      <w:pPr>
        <w:spacing w:before="15"/>
        <w:jc w:val="both"/>
        <w:rPr>
          <w:rFonts w:ascii="宋体" w:hAnsi="宋体" w:eastAsia="宋体" w:cs="宋体"/>
          <w:color w:val="000000" w:themeColor="text1"/>
          <w:spacing w:val="-2"/>
          <w:sz w:val="28"/>
          <w:lang w:eastAsia="zh-CN"/>
        </w:rPr>
      </w:pPr>
    </w:p>
    <w:p>
      <w:pPr>
        <w:spacing w:before="15"/>
        <w:jc w:val="both"/>
        <w:rPr>
          <w:rFonts w:ascii="宋体" w:hAnsi="宋体" w:eastAsia="宋体" w:cs="宋体"/>
          <w:color w:val="000000" w:themeColor="text1"/>
          <w:spacing w:val="-2"/>
          <w:sz w:val="28"/>
          <w:lang w:eastAsia="zh-CN"/>
        </w:rPr>
      </w:pPr>
    </w:p>
    <w:p>
      <w:pPr>
        <w:spacing w:before="15"/>
        <w:jc w:val="both"/>
        <w:rPr>
          <w:rFonts w:ascii="宋体" w:hAnsi="宋体" w:eastAsia="宋体" w:cs="宋体"/>
          <w:color w:val="000000" w:themeColor="text1"/>
          <w:spacing w:val="-2"/>
          <w:sz w:val="28"/>
          <w:lang w:eastAsia="zh-CN"/>
        </w:rPr>
      </w:pPr>
    </w:p>
    <w:p>
      <w:pPr>
        <w:spacing w:before="15"/>
        <w:jc w:val="both"/>
        <w:rPr>
          <w:rFonts w:ascii="宋体" w:hAnsi="宋体" w:eastAsia="宋体" w:cs="宋体"/>
          <w:color w:val="000000" w:themeColor="text1"/>
          <w:spacing w:val="-2"/>
          <w:sz w:val="28"/>
          <w:lang w:eastAsia="zh-CN"/>
        </w:rPr>
      </w:pPr>
    </w:p>
    <w:p>
      <w:pPr>
        <w:spacing w:before="15"/>
        <w:jc w:val="both"/>
        <w:rPr>
          <w:rFonts w:ascii="宋体" w:hAnsi="宋体" w:eastAsia="宋体" w:cs="宋体"/>
          <w:color w:val="000000" w:themeColor="text1"/>
          <w:spacing w:val="-2"/>
          <w:sz w:val="28"/>
          <w:lang w:eastAsia="zh-CN"/>
        </w:rPr>
      </w:pPr>
    </w:p>
    <w:p>
      <w:pPr>
        <w:spacing w:before="15"/>
        <w:jc w:val="center"/>
        <w:rPr>
          <w:rFonts w:ascii="宋体" w:hAnsi="宋体" w:eastAsia="宋体" w:cs="宋体"/>
          <w:color w:val="000000" w:themeColor="text1"/>
          <w:sz w:val="28"/>
          <w:lang w:eastAsia="zh-CN"/>
        </w:rPr>
      </w:pPr>
      <w:r>
        <w:rPr>
          <w:rFonts w:hint="eastAsia" w:ascii="宋体" w:hAnsi="宋体" w:eastAsia="宋体" w:cs="宋体"/>
          <w:color w:val="000000" w:themeColor="text1"/>
          <w:spacing w:val="-2"/>
          <w:sz w:val="28"/>
          <w:lang w:eastAsia="zh-CN"/>
        </w:rPr>
        <w:t>评价单位</w:t>
      </w:r>
      <w:r>
        <w:rPr>
          <w:rFonts w:hint="eastAsia" w:ascii="宋体" w:hAnsi="宋体" w:eastAsia="宋体" w:cs="宋体"/>
          <w:color w:val="000000" w:themeColor="text1"/>
          <w:spacing w:val="-3"/>
          <w:sz w:val="28"/>
          <w:lang w:eastAsia="zh-CN"/>
        </w:rPr>
        <w:t>（</w:t>
      </w:r>
      <w:r>
        <w:rPr>
          <w:rFonts w:hint="eastAsia" w:ascii="宋体" w:hAnsi="宋体" w:eastAsia="宋体" w:cs="宋体"/>
          <w:color w:val="000000" w:themeColor="text1"/>
          <w:spacing w:val="-1"/>
          <w:sz w:val="28"/>
          <w:lang w:eastAsia="zh-CN"/>
        </w:rPr>
        <w:t>盖章</w:t>
      </w:r>
      <w:r>
        <w:rPr>
          <w:rFonts w:hint="eastAsia" w:ascii="宋体" w:hAnsi="宋体" w:eastAsia="宋体" w:cs="宋体"/>
          <w:color w:val="000000" w:themeColor="text1"/>
          <w:spacing w:val="-142"/>
          <w:sz w:val="28"/>
          <w:lang w:eastAsia="zh-CN"/>
        </w:rPr>
        <w:t>）</w:t>
      </w:r>
      <w:r>
        <w:rPr>
          <w:rFonts w:hint="eastAsia" w:ascii="宋体" w:hAnsi="宋体" w:eastAsia="宋体" w:cs="宋体"/>
          <w:color w:val="000000" w:themeColor="text1"/>
          <w:sz w:val="28"/>
          <w:lang w:eastAsia="zh-CN"/>
        </w:rPr>
        <w:t>：</w:t>
      </w:r>
    </w:p>
    <w:p>
      <w:pPr>
        <w:spacing w:before="212"/>
        <w:ind w:left="2067"/>
        <w:jc w:val="right"/>
        <w:rPr>
          <w:rFonts w:ascii="宋体" w:hAnsi="宋体" w:eastAsia="宋体" w:cs="宋体"/>
          <w:color w:val="000000" w:themeColor="text1"/>
          <w:sz w:val="28"/>
          <w:lang w:eastAsia="zh-CN"/>
        </w:rPr>
        <w:sectPr>
          <w:pgSz w:w="11910" w:h="16840"/>
          <w:pgMar w:top="1580" w:right="1680" w:bottom="1140" w:left="1480" w:header="0" w:footer="959" w:gutter="0"/>
          <w:cols w:space="720" w:num="1"/>
        </w:sectPr>
      </w:pPr>
      <w:r>
        <w:rPr>
          <w:rFonts w:hint="eastAsia" w:ascii="宋体" w:hAnsi="宋体" w:eastAsia="宋体" w:cs="宋体"/>
          <w:color w:val="000000" w:themeColor="text1"/>
          <w:sz w:val="28"/>
          <w:lang w:eastAsia="zh-CN"/>
        </w:rPr>
        <w:t>上报时间：202</w:t>
      </w:r>
      <w:r>
        <w:rPr>
          <w:rFonts w:hint="eastAsia" w:ascii="宋体" w:hAnsi="宋体" w:eastAsia="宋体" w:cs="宋体"/>
          <w:color w:val="000000" w:themeColor="text1"/>
          <w:sz w:val="28"/>
          <w:lang w:val="en-US" w:eastAsia="zh-CN"/>
        </w:rPr>
        <w:t>4</w:t>
      </w:r>
      <w:r>
        <w:rPr>
          <w:rFonts w:hint="eastAsia" w:ascii="宋体" w:hAnsi="宋体" w:eastAsia="宋体" w:cs="宋体"/>
          <w:color w:val="000000" w:themeColor="text1"/>
          <w:sz w:val="28"/>
          <w:lang w:eastAsia="zh-CN"/>
        </w:rPr>
        <w:t>年3月</w:t>
      </w:r>
      <w:r>
        <w:rPr>
          <w:rFonts w:hint="eastAsia" w:ascii="宋体" w:hAnsi="宋体" w:eastAsia="宋体" w:cs="宋体"/>
          <w:color w:val="000000" w:themeColor="text1"/>
          <w:sz w:val="28"/>
          <w:lang w:val="en-US" w:eastAsia="zh-CN"/>
        </w:rPr>
        <w:t>15</w:t>
      </w:r>
      <w:r>
        <w:rPr>
          <w:rFonts w:hint="eastAsia" w:ascii="宋体" w:hAnsi="宋体" w:eastAsia="宋体" w:cs="宋体"/>
          <w:color w:val="000000" w:themeColor="text1"/>
          <w:sz w:val="28"/>
          <w:lang w:eastAsia="zh-CN"/>
        </w:rPr>
        <w:t>日</w:t>
      </w:r>
    </w:p>
    <w:p>
      <w:pPr>
        <w:pStyle w:val="4"/>
        <w:spacing w:before="3"/>
        <w:rPr>
          <w:rFonts w:ascii="宋体" w:hAnsi="宋体" w:eastAsia="宋体" w:cs="宋体"/>
          <w:color w:val="000000" w:themeColor="text1"/>
          <w:lang w:eastAsia="zh-CN"/>
        </w:rPr>
        <w:sectPr>
          <w:type w:val="continuous"/>
          <w:pgSz w:w="11910" w:h="16840"/>
          <w:pgMar w:top="1580" w:right="1560" w:bottom="1140" w:left="1440" w:header="720" w:footer="720" w:gutter="0"/>
          <w:cols w:equalWidth="0" w:num="2">
            <w:col w:w="1348" w:space="1035"/>
            <w:col w:w="6527"/>
          </w:cols>
        </w:sectPr>
      </w:pPr>
    </w:p>
    <w:p>
      <w:pPr>
        <w:jc w:val="center"/>
        <w:rPr>
          <w:rFonts w:ascii="宋体" w:hAnsi="宋体" w:eastAsia="宋体" w:cs="宋体"/>
          <w:b/>
          <w:color w:val="000000" w:themeColor="text1"/>
          <w:sz w:val="36"/>
          <w:szCs w:val="36"/>
          <w:lang w:eastAsia="zh-CN"/>
        </w:rPr>
      </w:pPr>
      <w:r>
        <w:rPr>
          <w:rFonts w:hint="eastAsia" w:ascii="宋体" w:hAnsi="宋体" w:eastAsia="宋体" w:cs="宋体"/>
          <w:b/>
          <w:color w:val="000000" w:themeColor="text1"/>
          <w:sz w:val="36"/>
          <w:szCs w:val="36"/>
          <w:lang w:eastAsia="zh-CN"/>
        </w:rPr>
        <w:t>信访维稳工作经费项目支出绩效评价报告</w:t>
      </w:r>
    </w:p>
    <w:p>
      <w:pPr>
        <w:spacing w:after="120" w:line="600" w:lineRule="exact"/>
        <w:ind w:firstLine="640" w:firstLineChars="200"/>
        <w:rPr>
          <w:rFonts w:ascii="宋体" w:hAnsi="宋体" w:eastAsia="宋体" w:cs="宋体"/>
          <w:color w:val="000000" w:themeColor="text1"/>
          <w:sz w:val="32"/>
          <w:szCs w:val="32"/>
          <w:lang w:eastAsia="zh-CN"/>
        </w:rPr>
      </w:pPr>
      <w:r>
        <w:rPr>
          <w:rFonts w:hint="eastAsia" w:ascii="宋体" w:hAnsi="宋体" w:eastAsia="宋体" w:cs="宋体"/>
          <w:color w:val="000000" w:themeColor="text1"/>
          <w:sz w:val="32"/>
          <w:szCs w:val="32"/>
          <w:lang w:eastAsia="zh-CN"/>
        </w:rPr>
        <w:t>一、基本情况</w:t>
      </w:r>
    </w:p>
    <w:p>
      <w:pPr>
        <w:spacing w:after="120" w:line="600" w:lineRule="exact"/>
        <w:ind w:firstLine="640" w:firstLineChars="200"/>
        <w:outlineLvl w:val="0"/>
        <w:rPr>
          <w:rFonts w:ascii="宋体" w:hAnsi="宋体" w:eastAsia="宋体" w:cs="宋体"/>
          <w:color w:val="000000" w:themeColor="text1"/>
          <w:sz w:val="32"/>
          <w:szCs w:val="32"/>
          <w:lang w:eastAsia="zh-CN"/>
        </w:rPr>
      </w:pPr>
      <w:r>
        <w:rPr>
          <w:rFonts w:hint="eastAsia" w:ascii="宋体" w:hAnsi="宋体" w:eastAsia="宋体" w:cs="宋体"/>
          <w:color w:val="000000" w:themeColor="text1"/>
          <w:sz w:val="32"/>
          <w:szCs w:val="32"/>
          <w:lang w:eastAsia="zh-CN"/>
        </w:rPr>
        <w:t>（一）项目概况。包括项目背景、主要内容及实施情况、资金投入和使用情况等。</w:t>
      </w:r>
    </w:p>
    <w:p>
      <w:pPr>
        <w:widowControl/>
        <w:shd w:val="clear" w:color="auto" w:fill="FFFFFF"/>
        <w:spacing w:before="75" w:after="75" w:line="360" w:lineRule="auto"/>
        <w:ind w:firstLine="640" w:firstLineChars="200"/>
        <w:rPr>
          <w:rFonts w:ascii="仿宋" w:hAnsi="仿宋" w:eastAsia="仿宋" w:cs="宋体"/>
          <w:color w:val="000000" w:themeColor="text1"/>
          <w:sz w:val="32"/>
          <w:szCs w:val="32"/>
          <w:lang w:eastAsia="zh-CN"/>
        </w:rPr>
      </w:pPr>
      <w:r>
        <w:rPr>
          <w:rFonts w:hint="eastAsia" w:ascii="仿宋" w:hAnsi="仿宋" w:eastAsia="仿宋" w:cs="宋体"/>
          <w:color w:val="000000" w:themeColor="text1"/>
          <w:sz w:val="32"/>
          <w:szCs w:val="32"/>
          <w:lang w:eastAsia="zh-CN"/>
        </w:rPr>
        <w:t>202</w:t>
      </w:r>
      <w:r>
        <w:rPr>
          <w:rFonts w:hint="eastAsia" w:ascii="仿宋" w:hAnsi="仿宋" w:eastAsia="仿宋" w:cs="宋体"/>
          <w:color w:val="000000" w:themeColor="text1"/>
          <w:sz w:val="32"/>
          <w:szCs w:val="32"/>
          <w:lang w:val="en-US" w:eastAsia="zh-CN"/>
        </w:rPr>
        <w:t>3</w:t>
      </w:r>
      <w:r>
        <w:rPr>
          <w:rFonts w:hint="eastAsia" w:ascii="仿宋" w:hAnsi="仿宋" w:eastAsia="仿宋" w:cs="宋体"/>
          <w:color w:val="000000" w:themeColor="text1"/>
          <w:sz w:val="32"/>
          <w:szCs w:val="32"/>
          <w:lang w:eastAsia="zh-CN"/>
        </w:rPr>
        <w:t>年昌江区信访局围绕区委、区政府中心工作，对标对表国家治理体系和治理能力现代化，畅通和规范群众诉求表达、利益协调、权益保障渠道，完善信访制度，强化源头预防，抓实日常业务，推动重点工作，统筹做好疫情防控和信访工作，充分发挥信访工作在维护群众权益、维护社会稳定中的源头性、基础性作用，切实为群众排忧解难，全力服务保障全区经济社会高质量跨越发展大局。</w:t>
      </w:r>
    </w:p>
    <w:p>
      <w:pPr>
        <w:widowControl/>
        <w:spacing w:before="226" w:after="120" w:line="580" w:lineRule="exact"/>
        <w:ind w:firstLine="640" w:firstLineChars="200"/>
        <w:rPr>
          <w:rFonts w:ascii="仿宋" w:hAnsi="仿宋" w:eastAsia="仿宋" w:cs="宋体"/>
          <w:color w:val="000000" w:themeColor="text1"/>
          <w:sz w:val="32"/>
          <w:szCs w:val="32"/>
          <w:shd w:val="clear" w:color="auto" w:fill="FFFFFF"/>
          <w:lang w:eastAsia="zh-CN"/>
        </w:rPr>
      </w:pPr>
      <w:r>
        <w:rPr>
          <w:rFonts w:hint="eastAsia" w:ascii="仿宋" w:hAnsi="仿宋" w:eastAsia="仿宋" w:cs="宋体"/>
          <w:color w:val="000000" w:themeColor="text1"/>
          <w:sz w:val="32"/>
          <w:szCs w:val="32"/>
          <w:shd w:val="clear" w:color="auto" w:fill="FFFFFF"/>
          <w:lang w:eastAsia="zh-CN"/>
        </w:rPr>
        <w:t>依据昌江区财政财政预算管理办法通知申请信访维稳经费资金，设立信访维稳经费项目。此资金主要用于信访维稳工作经费及维稳宣传印刷资料支出。</w:t>
      </w:r>
    </w:p>
    <w:p>
      <w:pPr>
        <w:widowControl/>
        <w:spacing w:before="226" w:after="120" w:line="580" w:lineRule="exact"/>
        <w:ind w:firstLine="640" w:firstLineChars="200"/>
        <w:rPr>
          <w:rFonts w:ascii="仿宋" w:hAnsi="仿宋" w:eastAsia="仿宋" w:cs="宋体"/>
          <w:color w:val="000000" w:themeColor="text1"/>
          <w:sz w:val="32"/>
          <w:szCs w:val="32"/>
          <w:shd w:val="clear" w:color="auto" w:fill="FFFFFF"/>
          <w:lang w:eastAsia="zh-CN"/>
        </w:rPr>
      </w:pPr>
      <w:r>
        <w:rPr>
          <w:rFonts w:hint="eastAsia" w:ascii="仿宋" w:hAnsi="仿宋" w:eastAsia="仿宋" w:cs="宋体"/>
          <w:color w:val="000000" w:themeColor="text1"/>
          <w:sz w:val="32"/>
          <w:szCs w:val="32"/>
          <w:shd w:val="clear" w:color="auto" w:fill="FFFFFF"/>
          <w:lang w:eastAsia="zh-CN"/>
        </w:rPr>
        <w:t>202</w:t>
      </w:r>
      <w:r>
        <w:rPr>
          <w:rFonts w:hint="eastAsia" w:ascii="仿宋" w:hAnsi="仿宋" w:eastAsia="仿宋" w:cs="宋体"/>
          <w:color w:val="000000" w:themeColor="text1"/>
          <w:sz w:val="32"/>
          <w:szCs w:val="32"/>
          <w:shd w:val="clear" w:color="auto" w:fill="FFFFFF"/>
          <w:lang w:val="en-US" w:eastAsia="zh-CN"/>
        </w:rPr>
        <w:t>3</w:t>
      </w:r>
      <w:r>
        <w:rPr>
          <w:rFonts w:hint="eastAsia" w:ascii="仿宋" w:hAnsi="仿宋" w:eastAsia="仿宋" w:cs="宋体"/>
          <w:color w:val="000000" w:themeColor="text1"/>
          <w:sz w:val="32"/>
          <w:szCs w:val="32"/>
          <w:shd w:val="clear" w:color="auto" w:fill="FFFFFF"/>
          <w:lang w:eastAsia="zh-CN"/>
        </w:rPr>
        <w:t>年信访维稳经费财政预算资金</w:t>
      </w:r>
      <w:r>
        <w:rPr>
          <w:rFonts w:hint="eastAsia" w:ascii="仿宋" w:hAnsi="仿宋" w:eastAsia="仿宋" w:cs="宋体"/>
          <w:color w:val="000000" w:themeColor="text1"/>
          <w:sz w:val="32"/>
          <w:szCs w:val="32"/>
          <w:shd w:val="clear" w:color="auto" w:fill="FFFFFF"/>
          <w:lang w:val="en-US" w:eastAsia="zh-CN"/>
        </w:rPr>
        <w:t>5</w:t>
      </w:r>
      <w:r>
        <w:rPr>
          <w:rFonts w:hint="eastAsia" w:ascii="仿宋" w:hAnsi="仿宋" w:eastAsia="仿宋" w:cs="宋体"/>
          <w:color w:val="000000" w:themeColor="text1"/>
          <w:sz w:val="32"/>
          <w:szCs w:val="32"/>
          <w:shd w:val="clear" w:color="auto" w:fill="FFFFFF"/>
          <w:lang w:eastAsia="zh-CN"/>
        </w:rPr>
        <w:t>7.2万元，财政实际下拨资金为</w:t>
      </w:r>
      <w:r>
        <w:rPr>
          <w:rFonts w:hint="eastAsia" w:ascii="仿宋" w:hAnsi="仿宋" w:eastAsia="仿宋" w:cs="宋体"/>
          <w:color w:val="000000" w:themeColor="text1"/>
          <w:sz w:val="32"/>
          <w:szCs w:val="32"/>
          <w:shd w:val="clear" w:color="auto" w:fill="FFFFFF"/>
          <w:lang w:val="en-US" w:eastAsia="zh-CN"/>
        </w:rPr>
        <w:t>5</w:t>
      </w:r>
      <w:r>
        <w:rPr>
          <w:rFonts w:hint="eastAsia" w:ascii="仿宋" w:hAnsi="仿宋" w:eastAsia="仿宋" w:cs="宋体"/>
          <w:color w:val="000000" w:themeColor="text1"/>
          <w:sz w:val="32"/>
          <w:szCs w:val="32"/>
          <w:shd w:val="clear" w:color="auto" w:fill="FFFFFF"/>
          <w:lang w:eastAsia="zh-CN"/>
        </w:rPr>
        <w:t>7.2万元，全年实际支出</w:t>
      </w:r>
      <w:r>
        <w:rPr>
          <w:rFonts w:hint="eastAsia" w:ascii="仿宋" w:hAnsi="仿宋" w:eastAsia="仿宋" w:cs="宋体"/>
          <w:color w:val="000000" w:themeColor="text1"/>
          <w:sz w:val="32"/>
          <w:szCs w:val="32"/>
          <w:shd w:val="clear" w:color="auto" w:fill="FFFFFF"/>
          <w:lang w:val="en-US" w:eastAsia="zh-CN"/>
        </w:rPr>
        <w:t>5</w:t>
      </w:r>
      <w:r>
        <w:rPr>
          <w:rFonts w:hint="eastAsia" w:ascii="仿宋" w:hAnsi="仿宋" w:eastAsia="仿宋" w:cs="宋体"/>
          <w:color w:val="000000" w:themeColor="text1"/>
          <w:sz w:val="32"/>
          <w:szCs w:val="32"/>
          <w:shd w:val="clear" w:color="auto" w:fill="FFFFFF"/>
          <w:lang w:eastAsia="zh-CN"/>
        </w:rPr>
        <w:t>7.2万元。</w:t>
      </w:r>
    </w:p>
    <w:p>
      <w:pPr>
        <w:widowControl/>
        <w:numPr>
          <w:ilvl w:val="0"/>
          <w:numId w:val="3"/>
        </w:numPr>
        <w:spacing w:before="226" w:after="120" w:line="580" w:lineRule="exact"/>
        <w:ind w:firstLine="640" w:firstLineChars="200"/>
        <w:rPr>
          <w:rFonts w:ascii="楷体" w:hAnsi="楷体" w:eastAsia="楷体" w:cs="宋体"/>
          <w:color w:val="000000" w:themeColor="text1"/>
          <w:sz w:val="32"/>
          <w:szCs w:val="32"/>
          <w:lang w:eastAsia="zh-CN"/>
        </w:rPr>
      </w:pPr>
      <w:r>
        <w:rPr>
          <w:rFonts w:hint="eastAsia" w:ascii="楷体" w:hAnsi="楷体" w:eastAsia="楷体" w:cs="宋体"/>
          <w:color w:val="000000" w:themeColor="text1"/>
          <w:sz w:val="32"/>
          <w:szCs w:val="32"/>
          <w:lang w:eastAsia="zh-CN"/>
        </w:rPr>
        <w:t>项目绩效目标。包括总体目标和阶段性目标。</w:t>
      </w:r>
    </w:p>
    <w:p>
      <w:pPr>
        <w:widowControl/>
        <w:spacing w:before="226" w:after="120" w:line="580" w:lineRule="exact"/>
        <w:ind w:left="420" w:leftChars="200"/>
        <w:rPr>
          <w:rFonts w:ascii="仿宋" w:hAnsi="仿宋" w:eastAsia="仿宋" w:cs="宋体"/>
          <w:b/>
          <w:color w:val="000000" w:themeColor="text1"/>
          <w:sz w:val="32"/>
          <w:szCs w:val="32"/>
          <w:lang w:eastAsia="zh-CN"/>
        </w:rPr>
      </w:pPr>
      <w:r>
        <w:rPr>
          <w:rFonts w:hint="eastAsia" w:ascii="仿宋" w:hAnsi="仿宋" w:eastAsia="仿宋" w:cs="宋体"/>
          <w:b/>
          <w:color w:val="000000" w:themeColor="text1"/>
          <w:sz w:val="32"/>
          <w:szCs w:val="32"/>
          <w:lang w:eastAsia="zh-CN"/>
        </w:rPr>
        <w:t>总体目标</w:t>
      </w:r>
    </w:p>
    <w:p>
      <w:pPr>
        <w:widowControl/>
        <w:adjustRightInd w:val="0"/>
        <w:snapToGrid w:val="0"/>
        <w:spacing w:before="226" w:after="120" w:line="580" w:lineRule="exact"/>
        <w:ind w:firstLine="720"/>
        <w:rPr>
          <w:rFonts w:ascii="仿宋" w:hAnsi="仿宋" w:eastAsia="仿宋" w:cs="宋体"/>
          <w:color w:val="000000" w:themeColor="text1"/>
          <w:sz w:val="32"/>
          <w:szCs w:val="32"/>
          <w:lang w:eastAsia="zh-CN"/>
        </w:rPr>
      </w:pPr>
      <w:r>
        <w:rPr>
          <w:rFonts w:hint="eastAsia" w:ascii="仿宋" w:hAnsi="仿宋" w:eastAsia="仿宋" w:cs="宋体"/>
          <w:color w:val="000000" w:themeColor="text1"/>
          <w:sz w:val="32"/>
          <w:szCs w:val="32"/>
          <w:lang w:eastAsia="zh-CN"/>
        </w:rPr>
        <w:t>202</w:t>
      </w:r>
      <w:r>
        <w:rPr>
          <w:rFonts w:hint="eastAsia" w:ascii="仿宋" w:hAnsi="仿宋" w:eastAsia="仿宋" w:cs="宋体"/>
          <w:color w:val="000000" w:themeColor="text1"/>
          <w:sz w:val="32"/>
          <w:szCs w:val="32"/>
          <w:lang w:val="en-US" w:eastAsia="zh-CN"/>
        </w:rPr>
        <w:t>3</w:t>
      </w:r>
      <w:r>
        <w:rPr>
          <w:rFonts w:hint="eastAsia" w:ascii="仿宋" w:hAnsi="仿宋" w:eastAsia="仿宋" w:cs="宋体"/>
          <w:color w:val="000000" w:themeColor="text1"/>
          <w:sz w:val="32"/>
          <w:szCs w:val="32"/>
          <w:lang w:eastAsia="zh-CN"/>
        </w:rPr>
        <w:t>年，昌江区信访局以习近平新时代中国特色社会主义思想为指导，全面贯彻落实中央、省委和区委关于信访工作的决策部署，切实增强做好信访工作的责任感、使命感和紧迫感，树牢“四个意识”，坚定“四个自信”，坚决做到“两个维护”，坚持最高标准、最严要求、最大力度，坚持抓源头、抓重点、抓导向，坚持细致、精致、极致的工作作风，强化源头治理，着力解决问题，维护信访秩序，全力维护全区社会大局稳定。</w:t>
      </w:r>
    </w:p>
    <w:p>
      <w:pPr>
        <w:widowControl/>
        <w:adjustRightInd w:val="0"/>
        <w:snapToGrid w:val="0"/>
        <w:spacing w:before="226" w:after="120" w:line="580" w:lineRule="exact"/>
        <w:ind w:firstLine="720"/>
        <w:rPr>
          <w:rFonts w:ascii="宋体" w:hAnsi="宋体" w:eastAsia="宋体" w:cs="宋体"/>
          <w:color w:val="000000" w:themeColor="text1"/>
          <w:sz w:val="32"/>
          <w:szCs w:val="32"/>
          <w:shd w:val="clear" w:color="auto" w:fill="FFFFFF"/>
          <w:lang w:eastAsia="zh-CN"/>
        </w:rPr>
      </w:pPr>
      <w:r>
        <w:rPr>
          <w:rFonts w:hint="eastAsia" w:ascii="宋体" w:hAnsi="宋体" w:eastAsia="宋体" w:cs="宋体"/>
          <w:color w:val="000000" w:themeColor="text1"/>
          <w:sz w:val="32"/>
          <w:szCs w:val="32"/>
          <w:lang w:eastAsia="zh-CN"/>
        </w:rPr>
        <w:t>阶段性目标</w:t>
      </w:r>
    </w:p>
    <w:p>
      <w:pPr>
        <w:widowControl/>
        <w:shd w:val="clear" w:color="auto" w:fill="FFFFFF"/>
        <w:spacing w:before="100" w:beforeAutospacing="1" w:after="100" w:afterAutospacing="1" w:line="360" w:lineRule="auto"/>
        <w:ind w:firstLine="480"/>
        <w:rPr>
          <w:rFonts w:ascii="仿宋" w:hAnsi="仿宋" w:eastAsia="仿宋" w:cs="宋体"/>
          <w:color w:val="000000" w:themeColor="text1"/>
          <w:sz w:val="32"/>
          <w:szCs w:val="32"/>
          <w:shd w:val="clear" w:color="auto" w:fill="FFFFFF"/>
          <w:lang w:eastAsia="zh-CN"/>
        </w:rPr>
      </w:pPr>
      <w:r>
        <w:rPr>
          <w:rFonts w:hint="eastAsia" w:ascii="仿宋" w:hAnsi="仿宋" w:eastAsia="仿宋" w:cs="宋体"/>
          <w:color w:val="000000" w:themeColor="text1"/>
          <w:sz w:val="32"/>
          <w:szCs w:val="32"/>
          <w:shd w:val="clear" w:color="auto" w:fill="FFFFFF"/>
          <w:lang w:eastAsia="zh-CN"/>
        </w:rPr>
        <w:t>分期进行信访维稳工作，各负其职，做好每个阶段的信访维稳工作，接待群众来访，了解来访群众原因及情况，帮助来访群众解决问题及其困难。</w:t>
      </w:r>
      <w:r>
        <w:rPr>
          <w:rFonts w:hint="eastAsia" w:ascii="仿宋" w:hAnsi="仿宋" w:eastAsia="仿宋" w:cs="宋体"/>
          <w:color w:val="000000" w:themeColor="text1"/>
          <w:sz w:val="32"/>
          <w:szCs w:val="32"/>
          <w:lang w:eastAsia="zh-CN"/>
        </w:rPr>
        <w:t>搞好信访预测，及时掌握群众集体上访苗头，耐心劝阻集体上访；做好信访老户的稳定工作；收集、筛选信访信息，及时报送区委、区政府领导，为领导决策当参谋；检查、督促、指导全区的信访工作，发现问题，解决问题，组织交流信访工作经验；定期综合研究人民群众来信来访反映的情况和问题，及时向有关领导和有关部门反映，并提出解决问题的建议。</w:t>
      </w:r>
    </w:p>
    <w:p>
      <w:pPr>
        <w:spacing w:after="120" w:line="600" w:lineRule="exact"/>
        <w:ind w:firstLine="640" w:firstLineChars="200"/>
        <w:rPr>
          <w:rFonts w:ascii="宋体" w:hAnsi="宋体" w:eastAsia="宋体" w:cs="宋体"/>
          <w:color w:val="000000" w:themeColor="text1"/>
          <w:sz w:val="32"/>
          <w:szCs w:val="32"/>
          <w:lang w:eastAsia="zh-CN"/>
        </w:rPr>
      </w:pPr>
      <w:r>
        <w:rPr>
          <w:rFonts w:hint="eastAsia" w:ascii="宋体" w:hAnsi="宋体" w:eastAsia="宋体" w:cs="宋体"/>
          <w:color w:val="000000" w:themeColor="text1"/>
          <w:sz w:val="32"/>
          <w:szCs w:val="32"/>
          <w:lang w:eastAsia="zh-CN"/>
        </w:rPr>
        <w:t>二、绩效评价工作开展情况</w:t>
      </w:r>
    </w:p>
    <w:p>
      <w:pPr>
        <w:spacing w:after="120" w:line="600" w:lineRule="exact"/>
        <w:ind w:firstLine="640" w:firstLineChars="200"/>
        <w:rPr>
          <w:rFonts w:ascii="宋体" w:hAnsi="宋体" w:eastAsia="宋体" w:cs="宋体"/>
          <w:color w:val="000000" w:themeColor="text1"/>
          <w:sz w:val="32"/>
          <w:szCs w:val="32"/>
          <w:lang w:eastAsia="zh-CN"/>
        </w:rPr>
      </w:pPr>
      <w:r>
        <w:rPr>
          <w:rFonts w:hint="eastAsia" w:ascii="宋体" w:hAnsi="宋体" w:eastAsia="宋体" w:cs="宋体"/>
          <w:color w:val="000000" w:themeColor="text1"/>
          <w:sz w:val="32"/>
          <w:szCs w:val="32"/>
          <w:lang w:eastAsia="zh-CN"/>
        </w:rPr>
        <w:t>（一）绩效评价目的、对象和范围。</w:t>
      </w:r>
    </w:p>
    <w:p>
      <w:pPr>
        <w:pStyle w:val="5"/>
        <w:widowControl/>
        <w:spacing w:after="120" w:line="360" w:lineRule="auto"/>
        <w:ind w:firstLine="450"/>
        <w:jc w:val="both"/>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通过对</w:t>
      </w:r>
      <w:r>
        <w:rPr>
          <w:rFonts w:hint="eastAsia" w:ascii="仿宋" w:hAnsi="仿宋" w:eastAsia="仿宋" w:cs="宋体"/>
          <w:color w:val="000000" w:themeColor="text1"/>
          <w:sz w:val="32"/>
          <w:szCs w:val="32"/>
          <w:shd w:val="clear" w:color="auto" w:fill="FFFFFF"/>
        </w:rPr>
        <w:t>信访维稳经费</w:t>
      </w:r>
      <w:r>
        <w:rPr>
          <w:rFonts w:hint="eastAsia" w:ascii="仿宋" w:hAnsi="仿宋" w:eastAsia="仿宋" w:cs="宋体"/>
          <w:color w:val="000000" w:themeColor="text1"/>
          <w:sz w:val="32"/>
          <w:szCs w:val="32"/>
        </w:rPr>
        <w:t>支出绩效评价，能及时出现问题及不足，不断改进工作方法，查漏补缺，提高工作效率，加快项目建设步伐，快速帮助信访群众解决问题及困难。降低信访群众上访率。同时监督</w:t>
      </w:r>
      <w:r>
        <w:rPr>
          <w:rFonts w:hint="eastAsia" w:ascii="仿宋" w:hAnsi="仿宋" w:eastAsia="仿宋" w:cs="宋体"/>
          <w:color w:val="000000" w:themeColor="text1"/>
          <w:sz w:val="32"/>
          <w:szCs w:val="32"/>
          <w:shd w:val="clear" w:color="auto" w:fill="FFFFFF"/>
        </w:rPr>
        <w:t>信访维稳</w:t>
      </w:r>
      <w:r>
        <w:rPr>
          <w:rFonts w:hint="eastAsia" w:ascii="仿宋" w:hAnsi="仿宋" w:eastAsia="仿宋" w:cs="宋体"/>
          <w:color w:val="000000" w:themeColor="text1"/>
          <w:sz w:val="32"/>
          <w:szCs w:val="32"/>
        </w:rPr>
        <w:t>资金使用，按照专款专用的原则，合理使用资金，防止挪用资金使用情况发生。</w:t>
      </w:r>
    </w:p>
    <w:p>
      <w:pPr>
        <w:pStyle w:val="5"/>
        <w:widowControl/>
        <w:spacing w:after="120" w:line="360" w:lineRule="auto"/>
        <w:ind w:firstLine="450"/>
        <w:jc w:val="both"/>
        <w:rPr>
          <w:rFonts w:ascii="宋体" w:hAnsi="宋体" w:eastAsia="宋体" w:cs="宋体"/>
          <w:color w:val="000000" w:themeColor="text1"/>
          <w:sz w:val="32"/>
          <w:szCs w:val="32"/>
        </w:rPr>
      </w:pPr>
      <w:r>
        <w:rPr>
          <w:rFonts w:hint="eastAsia" w:ascii="宋体" w:hAnsi="宋体" w:eastAsia="宋体" w:cs="宋体"/>
          <w:color w:val="000000" w:themeColor="text1"/>
          <w:sz w:val="32"/>
          <w:szCs w:val="32"/>
        </w:rPr>
        <w:t>评价对象是昌江区</w:t>
      </w:r>
      <w:r>
        <w:rPr>
          <w:rFonts w:hint="eastAsia" w:ascii="宋体" w:hAnsi="宋体" w:eastAsia="宋体" w:cs="宋体"/>
          <w:color w:val="000000" w:themeColor="text1"/>
          <w:sz w:val="32"/>
          <w:szCs w:val="32"/>
          <w:shd w:val="clear" w:color="auto" w:fill="FFFFFF"/>
        </w:rPr>
        <w:t>信访维稳经费。</w:t>
      </w:r>
    </w:p>
    <w:p>
      <w:pPr>
        <w:pStyle w:val="5"/>
        <w:widowControl/>
        <w:spacing w:after="120" w:line="360" w:lineRule="auto"/>
        <w:ind w:firstLine="450"/>
        <w:jc w:val="both"/>
        <w:rPr>
          <w:rFonts w:ascii="宋体" w:hAnsi="宋体" w:eastAsia="宋体" w:cs="宋体"/>
          <w:color w:val="000000" w:themeColor="text1"/>
          <w:sz w:val="32"/>
          <w:szCs w:val="32"/>
        </w:rPr>
      </w:pPr>
      <w:r>
        <w:rPr>
          <w:rFonts w:hint="eastAsia" w:ascii="宋体" w:hAnsi="宋体" w:eastAsia="宋体" w:cs="宋体"/>
          <w:color w:val="000000" w:themeColor="text1"/>
          <w:sz w:val="32"/>
          <w:szCs w:val="32"/>
        </w:rPr>
        <w:t>对昌江区</w:t>
      </w:r>
      <w:r>
        <w:rPr>
          <w:rFonts w:hint="eastAsia" w:ascii="宋体" w:hAnsi="宋体" w:eastAsia="宋体" w:cs="宋体"/>
          <w:color w:val="000000" w:themeColor="text1"/>
          <w:sz w:val="32"/>
          <w:szCs w:val="32"/>
          <w:shd w:val="clear" w:color="auto" w:fill="FFFFFF"/>
        </w:rPr>
        <w:t>信访维稳</w:t>
      </w:r>
      <w:r>
        <w:rPr>
          <w:rFonts w:hint="eastAsia" w:ascii="宋体" w:hAnsi="宋体" w:eastAsia="宋体" w:cs="宋体"/>
          <w:color w:val="000000" w:themeColor="text1"/>
          <w:sz w:val="32"/>
          <w:szCs w:val="32"/>
        </w:rPr>
        <w:t>项目支出绩效进行评价。</w:t>
      </w:r>
    </w:p>
    <w:p>
      <w:pPr>
        <w:pStyle w:val="5"/>
        <w:widowControl/>
        <w:spacing w:after="120" w:line="360" w:lineRule="auto"/>
        <w:ind w:firstLine="450"/>
        <w:jc w:val="both"/>
        <w:rPr>
          <w:rFonts w:ascii="宋体" w:hAnsi="宋体" w:eastAsia="宋体" w:cs="宋体"/>
          <w:color w:val="000000" w:themeColor="text1"/>
          <w:sz w:val="32"/>
          <w:szCs w:val="32"/>
        </w:rPr>
      </w:pPr>
      <w:r>
        <w:rPr>
          <w:rFonts w:hint="eastAsia" w:ascii="宋体" w:hAnsi="宋体" w:eastAsia="宋体" w:cs="宋体"/>
          <w:color w:val="000000" w:themeColor="text1"/>
          <w:sz w:val="32"/>
          <w:szCs w:val="32"/>
        </w:rPr>
        <w:t>评价的范围</w:t>
      </w:r>
    </w:p>
    <w:p>
      <w:pPr>
        <w:pStyle w:val="5"/>
        <w:widowControl/>
        <w:spacing w:after="120" w:line="360" w:lineRule="auto"/>
        <w:ind w:firstLine="450"/>
        <w:jc w:val="both"/>
        <w:rPr>
          <w:rFonts w:ascii="仿宋" w:hAnsi="仿宋" w:eastAsia="仿宋" w:cs="宋体"/>
          <w:color w:val="000000" w:themeColor="text1"/>
          <w:sz w:val="32"/>
          <w:szCs w:val="32"/>
        </w:rPr>
      </w:pPr>
      <w:r>
        <w:rPr>
          <w:rFonts w:hint="eastAsia" w:ascii="仿宋" w:hAnsi="仿宋" w:eastAsia="仿宋" w:cs="宋体"/>
          <w:color w:val="000000" w:themeColor="text1"/>
          <w:sz w:val="32"/>
          <w:szCs w:val="32"/>
          <w:shd w:val="clear" w:color="auto" w:fill="FFFFFF"/>
        </w:rPr>
        <w:t>对昌江区信访维稳项目支出的数量指标；质量指标；时效指标：成本指标；社会效益指标（群众满意度）服务对象满意度等进行评价。</w:t>
      </w:r>
    </w:p>
    <w:p>
      <w:pPr>
        <w:spacing w:after="120" w:line="600" w:lineRule="exact"/>
        <w:ind w:firstLine="640" w:firstLineChars="200"/>
        <w:rPr>
          <w:rFonts w:ascii="宋体" w:hAnsi="宋体" w:eastAsia="宋体" w:cs="宋体"/>
          <w:color w:val="000000" w:themeColor="text1"/>
          <w:sz w:val="32"/>
          <w:szCs w:val="32"/>
          <w:lang w:eastAsia="zh-CN"/>
        </w:rPr>
      </w:pPr>
      <w:r>
        <w:rPr>
          <w:rFonts w:hint="eastAsia" w:ascii="宋体" w:hAnsi="宋体" w:eastAsia="宋体" w:cs="宋体"/>
          <w:color w:val="000000" w:themeColor="text1"/>
          <w:sz w:val="32"/>
          <w:szCs w:val="32"/>
          <w:lang w:eastAsia="zh-CN"/>
        </w:rPr>
        <w:t>（二）绩效评价原则、评价指标体系（附表说明）、评价方法、评价标准等。</w:t>
      </w:r>
    </w:p>
    <w:p>
      <w:pPr>
        <w:pStyle w:val="5"/>
        <w:widowControl/>
        <w:shd w:val="clear" w:color="auto" w:fill="FFFFFF"/>
        <w:spacing w:after="105" w:line="30" w:lineRule="atLeast"/>
        <w:ind w:firstLine="643" w:firstLineChars="200"/>
        <w:rPr>
          <w:rFonts w:ascii="宋体" w:hAnsi="宋体" w:eastAsia="宋体" w:cs="宋体"/>
          <w:b/>
          <w:bCs/>
          <w:color w:val="000000" w:themeColor="text1"/>
          <w:sz w:val="32"/>
          <w:szCs w:val="32"/>
        </w:rPr>
      </w:pPr>
      <w:r>
        <w:rPr>
          <w:rFonts w:hint="eastAsia" w:ascii="宋体" w:hAnsi="宋体" w:eastAsia="宋体" w:cs="宋体"/>
          <w:b/>
          <w:bCs/>
          <w:color w:val="000000" w:themeColor="text1"/>
          <w:sz w:val="32"/>
          <w:szCs w:val="32"/>
        </w:rPr>
        <w:t>绩效评价原则</w:t>
      </w:r>
    </w:p>
    <w:p>
      <w:pPr>
        <w:spacing w:after="120" w:line="600" w:lineRule="exact"/>
        <w:ind w:firstLine="640"/>
        <w:rPr>
          <w:rFonts w:ascii="仿宋" w:hAnsi="仿宋" w:eastAsia="仿宋" w:cs="宋体"/>
          <w:bCs/>
          <w:color w:val="000000" w:themeColor="text1"/>
          <w:sz w:val="32"/>
          <w:szCs w:val="32"/>
          <w:lang w:eastAsia="zh-CN"/>
        </w:rPr>
      </w:pPr>
      <w:r>
        <w:rPr>
          <w:rFonts w:hint="eastAsia" w:ascii="仿宋" w:hAnsi="仿宋" w:eastAsia="仿宋" w:cs="宋体"/>
          <w:bCs/>
          <w:color w:val="000000" w:themeColor="text1"/>
          <w:sz w:val="32"/>
          <w:szCs w:val="32"/>
          <w:lang w:eastAsia="zh-CN"/>
        </w:rPr>
        <w:t>（一）科学公正。绩效评价应当运用科学合理的方法，按照规范的程序，对项目绩效进行客观、公正的反映。</w:t>
      </w:r>
    </w:p>
    <w:p>
      <w:pPr>
        <w:spacing w:after="120" w:line="600" w:lineRule="exact"/>
        <w:ind w:firstLine="640"/>
        <w:rPr>
          <w:rFonts w:ascii="仿宋" w:hAnsi="仿宋" w:eastAsia="仿宋" w:cs="宋体"/>
          <w:bCs/>
          <w:color w:val="000000" w:themeColor="text1"/>
          <w:sz w:val="32"/>
          <w:szCs w:val="32"/>
          <w:lang w:eastAsia="zh-CN"/>
        </w:rPr>
      </w:pPr>
      <w:r>
        <w:rPr>
          <w:rFonts w:hint="eastAsia" w:ascii="仿宋" w:hAnsi="仿宋" w:eastAsia="仿宋" w:cs="宋体"/>
          <w:bCs/>
          <w:color w:val="000000" w:themeColor="text1"/>
          <w:sz w:val="32"/>
          <w:szCs w:val="32"/>
          <w:lang w:eastAsia="zh-CN"/>
        </w:rPr>
        <w:t>（二）统筹兼顾。单位自评、部门评价和财政评价应职责明确，各有侧重，相互衔接。单位自评应由项目单位自主实施，即“谁支出、谁自评”。部门评价和财政评价应在单位自评的基础上开展，必要时可委托第三方机构实施。</w:t>
      </w:r>
    </w:p>
    <w:p>
      <w:pPr>
        <w:spacing w:after="120" w:line="600" w:lineRule="exact"/>
        <w:ind w:firstLine="640"/>
        <w:rPr>
          <w:rFonts w:ascii="仿宋" w:hAnsi="仿宋" w:eastAsia="仿宋" w:cs="宋体"/>
          <w:bCs/>
          <w:color w:val="000000" w:themeColor="text1"/>
          <w:sz w:val="32"/>
          <w:szCs w:val="32"/>
          <w:lang w:eastAsia="zh-CN"/>
        </w:rPr>
      </w:pPr>
      <w:r>
        <w:rPr>
          <w:rFonts w:hint="eastAsia" w:ascii="仿宋" w:hAnsi="仿宋" w:eastAsia="仿宋" w:cs="宋体"/>
          <w:bCs/>
          <w:color w:val="000000" w:themeColor="text1"/>
          <w:sz w:val="32"/>
          <w:szCs w:val="32"/>
          <w:lang w:eastAsia="zh-CN"/>
        </w:rPr>
        <w:t>（三）激励约束。绩效评价结果应与预算安排、政策调整、改进管理实质性挂钩，体现奖优罚劣和激励相容导向，有效要安排、低效要压减、无效要问责。</w:t>
      </w:r>
    </w:p>
    <w:p>
      <w:pPr>
        <w:spacing w:after="120" w:line="600" w:lineRule="exact"/>
        <w:ind w:firstLine="640"/>
        <w:rPr>
          <w:rFonts w:ascii="仿宋" w:hAnsi="仿宋" w:eastAsia="仿宋" w:cs="宋体"/>
          <w:color w:val="000000" w:themeColor="text1"/>
          <w:sz w:val="32"/>
          <w:szCs w:val="32"/>
          <w:lang w:eastAsia="zh-CN"/>
        </w:rPr>
      </w:pPr>
      <w:r>
        <w:rPr>
          <w:rFonts w:hint="eastAsia" w:ascii="仿宋" w:hAnsi="仿宋" w:eastAsia="仿宋" w:cs="宋体"/>
          <w:bCs/>
          <w:color w:val="000000" w:themeColor="text1"/>
          <w:sz w:val="32"/>
          <w:szCs w:val="32"/>
          <w:lang w:eastAsia="zh-CN"/>
        </w:rPr>
        <w:t>（四）公开透明。绩效评价结果应依法依规公开，并自觉接受社会监督。</w:t>
      </w:r>
    </w:p>
    <w:p>
      <w:pPr>
        <w:spacing w:after="120" w:line="600" w:lineRule="exact"/>
        <w:ind w:firstLine="321" w:firstLineChars="100"/>
        <w:rPr>
          <w:rFonts w:ascii="宋体" w:hAnsi="宋体" w:eastAsia="宋体" w:cs="宋体"/>
          <w:b/>
          <w:bCs/>
          <w:color w:val="000000" w:themeColor="text1"/>
          <w:sz w:val="32"/>
          <w:szCs w:val="32"/>
          <w:lang w:eastAsia="zh-CN"/>
        </w:rPr>
      </w:pPr>
      <w:r>
        <w:rPr>
          <w:rFonts w:hint="eastAsia" w:ascii="宋体" w:hAnsi="宋体" w:eastAsia="宋体" w:cs="宋体"/>
          <w:b/>
          <w:bCs/>
          <w:color w:val="000000" w:themeColor="text1"/>
          <w:sz w:val="32"/>
          <w:szCs w:val="32"/>
          <w:lang w:eastAsia="zh-CN"/>
        </w:rPr>
        <w:t>评价方法</w:t>
      </w:r>
    </w:p>
    <w:p>
      <w:pPr>
        <w:spacing w:after="120" w:line="600" w:lineRule="exact"/>
        <w:ind w:firstLine="640"/>
        <w:rPr>
          <w:rFonts w:ascii="仿宋" w:hAnsi="仿宋" w:eastAsia="仿宋" w:cs="宋体"/>
          <w:bCs/>
          <w:color w:val="000000" w:themeColor="text1"/>
          <w:sz w:val="32"/>
          <w:szCs w:val="32"/>
          <w:lang w:eastAsia="zh-CN"/>
        </w:rPr>
      </w:pPr>
      <w:r>
        <w:rPr>
          <w:rFonts w:hint="eastAsia" w:ascii="仿宋" w:hAnsi="仿宋" w:eastAsia="仿宋" w:cs="宋体"/>
          <w:bCs/>
          <w:color w:val="000000" w:themeColor="text1"/>
          <w:sz w:val="32"/>
          <w:szCs w:val="32"/>
          <w:lang w:eastAsia="zh-CN"/>
        </w:rPr>
        <w:t xml:space="preserve">（一）成本效益分析法。是指将投入与产出、效益进行关联性分析的方法。 </w:t>
      </w:r>
    </w:p>
    <w:p>
      <w:pPr>
        <w:spacing w:after="120" w:line="600" w:lineRule="exact"/>
        <w:ind w:firstLine="649" w:firstLineChars="203"/>
        <w:rPr>
          <w:rFonts w:ascii="仿宋" w:hAnsi="仿宋" w:eastAsia="仿宋" w:cs="宋体"/>
          <w:bCs/>
          <w:color w:val="000000" w:themeColor="text1"/>
          <w:sz w:val="32"/>
          <w:szCs w:val="32"/>
          <w:lang w:eastAsia="zh-CN"/>
        </w:rPr>
      </w:pPr>
      <w:r>
        <w:rPr>
          <w:rFonts w:hint="eastAsia" w:ascii="仿宋" w:hAnsi="仿宋" w:eastAsia="仿宋" w:cs="宋体"/>
          <w:bCs/>
          <w:color w:val="000000" w:themeColor="text1"/>
          <w:sz w:val="32"/>
          <w:szCs w:val="32"/>
          <w:lang w:eastAsia="zh-CN"/>
        </w:rPr>
        <w:t>（二）比较法。是指将实施情况与绩效目标、历史情况、不同部门和地区同类支出情况进行比较的方法。</w:t>
      </w:r>
    </w:p>
    <w:p>
      <w:pPr>
        <w:spacing w:after="120" w:line="600" w:lineRule="exact"/>
        <w:ind w:firstLine="640"/>
        <w:rPr>
          <w:rFonts w:ascii="仿宋" w:hAnsi="仿宋" w:eastAsia="仿宋" w:cs="宋体"/>
          <w:bCs/>
          <w:color w:val="000000" w:themeColor="text1"/>
          <w:sz w:val="32"/>
          <w:szCs w:val="32"/>
          <w:lang w:eastAsia="zh-CN"/>
        </w:rPr>
      </w:pPr>
      <w:r>
        <w:rPr>
          <w:rFonts w:hint="eastAsia" w:ascii="仿宋" w:hAnsi="仿宋" w:eastAsia="仿宋" w:cs="宋体"/>
          <w:bCs/>
          <w:color w:val="000000" w:themeColor="text1"/>
          <w:sz w:val="32"/>
          <w:szCs w:val="32"/>
          <w:lang w:eastAsia="zh-CN"/>
        </w:rPr>
        <w:t>（三）因素分析法。是指综合分析影响绩效目标实现、实施效果的内外部因素的方法。</w:t>
      </w:r>
    </w:p>
    <w:p>
      <w:pPr>
        <w:spacing w:after="120" w:line="600" w:lineRule="exact"/>
        <w:ind w:firstLine="640"/>
        <w:rPr>
          <w:rFonts w:ascii="仿宋" w:hAnsi="仿宋" w:eastAsia="仿宋" w:cs="宋体"/>
          <w:bCs/>
          <w:color w:val="000000" w:themeColor="text1"/>
          <w:sz w:val="32"/>
          <w:szCs w:val="32"/>
          <w:lang w:eastAsia="zh-CN"/>
        </w:rPr>
      </w:pPr>
      <w:r>
        <w:rPr>
          <w:rFonts w:hint="eastAsia" w:ascii="仿宋" w:hAnsi="仿宋" w:eastAsia="仿宋" w:cs="宋体"/>
          <w:bCs/>
          <w:color w:val="000000" w:themeColor="text1"/>
          <w:sz w:val="32"/>
          <w:szCs w:val="32"/>
          <w:lang w:eastAsia="zh-CN"/>
        </w:rPr>
        <w:t>（四）最低成本法。是指在绩效目标确定的前提下，成本最小者为优的方法。</w:t>
      </w:r>
    </w:p>
    <w:p>
      <w:pPr>
        <w:spacing w:after="120" w:line="600" w:lineRule="exact"/>
        <w:ind w:firstLine="640"/>
        <w:rPr>
          <w:rFonts w:ascii="仿宋" w:hAnsi="仿宋" w:eastAsia="仿宋" w:cs="宋体"/>
          <w:bCs/>
          <w:color w:val="000000" w:themeColor="text1"/>
          <w:sz w:val="32"/>
          <w:szCs w:val="32"/>
          <w:lang w:eastAsia="zh-CN"/>
        </w:rPr>
      </w:pPr>
      <w:r>
        <w:rPr>
          <w:rFonts w:hint="eastAsia" w:ascii="仿宋" w:hAnsi="仿宋" w:eastAsia="仿宋" w:cs="宋体"/>
          <w:bCs/>
          <w:color w:val="000000" w:themeColor="text1"/>
          <w:sz w:val="32"/>
          <w:szCs w:val="32"/>
          <w:lang w:eastAsia="zh-CN"/>
        </w:rPr>
        <w:t>（五）公众评判法。是指通过专家评估、公众问卷及抽样调查等方式进行评判的方法。</w:t>
      </w:r>
    </w:p>
    <w:p>
      <w:pPr>
        <w:spacing w:after="120" w:line="600" w:lineRule="exact"/>
        <w:ind w:firstLine="640"/>
        <w:rPr>
          <w:rFonts w:ascii="仿宋" w:hAnsi="仿宋" w:eastAsia="仿宋" w:cs="宋体"/>
          <w:bCs/>
          <w:color w:val="000000" w:themeColor="text1"/>
          <w:sz w:val="32"/>
          <w:szCs w:val="32"/>
          <w:lang w:eastAsia="zh-CN"/>
        </w:rPr>
      </w:pPr>
      <w:r>
        <w:rPr>
          <w:rFonts w:hint="eastAsia" w:ascii="仿宋" w:hAnsi="仿宋" w:eastAsia="仿宋" w:cs="宋体"/>
          <w:bCs/>
          <w:color w:val="000000" w:themeColor="text1"/>
          <w:sz w:val="32"/>
          <w:szCs w:val="32"/>
          <w:lang w:eastAsia="zh-CN"/>
        </w:rPr>
        <w:t>（六）标杆管理法。是指以国内外同行业中较高的绩效水平为标杆进行评判的方法。</w:t>
      </w:r>
    </w:p>
    <w:p>
      <w:pPr>
        <w:spacing w:after="120" w:line="600" w:lineRule="exact"/>
        <w:ind w:firstLine="640"/>
        <w:rPr>
          <w:rFonts w:ascii="仿宋" w:hAnsi="仿宋" w:eastAsia="仿宋" w:cs="宋体"/>
          <w:bCs/>
          <w:color w:val="000000" w:themeColor="text1"/>
          <w:sz w:val="32"/>
          <w:szCs w:val="32"/>
          <w:lang w:eastAsia="zh-CN"/>
        </w:rPr>
      </w:pPr>
      <w:r>
        <w:rPr>
          <w:rFonts w:hint="eastAsia" w:ascii="仿宋" w:hAnsi="仿宋" w:eastAsia="仿宋" w:cs="宋体"/>
          <w:bCs/>
          <w:color w:val="000000" w:themeColor="text1"/>
          <w:sz w:val="32"/>
          <w:szCs w:val="32"/>
          <w:lang w:eastAsia="zh-CN"/>
        </w:rPr>
        <w:t>（七）其他评价方法。</w:t>
      </w:r>
    </w:p>
    <w:p>
      <w:pPr>
        <w:widowControl/>
        <w:spacing w:line="360" w:lineRule="auto"/>
        <w:rPr>
          <w:rFonts w:ascii="宋体" w:hAnsi="宋体" w:eastAsia="宋体" w:cs="宋体"/>
          <w:color w:val="000000" w:themeColor="text1"/>
          <w:spacing w:val="-5"/>
          <w:w w:val="95"/>
          <w:sz w:val="32"/>
          <w:szCs w:val="32"/>
          <w:lang w:eastAsia="zh-CN"/>
        </w:rPr>
      </w:pPr>
      <w:r>
        <w:rPr>
          <w:rFonts w:hint="eastAsia" w:ascii="宋体" w:hAnsi="宋体" w:eastAsia="宋体" w:cs="宋体"/>
          <w:color w:val="000000" w:themeColor="text1"/>
          <w:spacing w:val="-5"/>
          <w:w w:val="95"/>
          <w:sz w:val="32"/>
          <w:szCs w:val="32"/>
          <w:lang w:eastAsia="zh-CN"/>
        </w:rPr>
        <w:t>评价标准</w:t>
      </w:r>
    </w:p>
    <w:p>
      <w:pPr>
        <w:spacing w:line="360" w:lineRule="auto"/>
        <w:ind w:firstLine="640" w:firstLineChars="200"/>
        <w:rPr>
          <w:rFonts w:ascii="宋体" w:hAnsi="宋体" w:eastAsia="宋体" w:cs="宋体"/>
          <w:bCs/>
          <w:color w:val="000000" w:themeColor="text1"/>
          <w:sz w:val="32"/>
          <w:szCs w:val="32"/>
          <w:lang w:eastAsia="zh-CN"/>
        </w:rPr>
      </w:pPr>
      <w:r>
        <w:rPr>
          <w:rFonts w:hint="eastAsia" w:ascii="仿宋" w:hAnsi="仿宋" w:eastAsia="仿宋" w:cs="宋体"/>
          <w:color w:val="000000" w:themeColor="text1"/>
          <w:sz w:val="32"/>
          <w:szCs w:val="32"/>
          <w:lang w:eastAsia="zh-CN"/>
        </w:rPr>
        <w:t>根据产出数量指标，质量指标，时间指标，成本指标，经济效益指标，社会效益指标，持续效益及满意度指标逐一进行评价</w:t>
      </w:r>
      <w:r>
        <w:rPr>
          <w:rFonts w:hint="eastAsia" w:ascii="宋体" w:hAnsi="宋体" w:eastAsia="宋体" w:cs="宋体"/>
          <w:color w:val="000000" w:themeColor="text1"/>
          <w:sz w:val="32"/>
          <w:szCs w:val="32"/>
          <w:lang w:eastAsia="zh-CN"/>
        </w:rPr>
        <w:t>。</w:t>
      </w:r>
    </w:p>
    <w:p>
      <w:pPr>
        <w:spacing w:after="120" w:line="600" w:lineRule="exact"/>
        <w:ind w:firstLine="321" w:firstLineChars="100"/>
        <w:rPr>
          <w:rFonts w:ascii="宋体" w:hAnsi="宋体" w:eastAsia="宋体" w:cs="宋体"/>
          <w:b/>
          <w:bCs/>
          <w:color w:val="000000" w:themeColor="text1"/>
          <w:sz w:val="32"/>
          <w:szCs w:val="32"/>
          <w:lang w:eastAsia="zh-CN"/>
        </w:rPr>
      </w:pPr>
      <w:r>
        <w:rPr>
          <w:rFonts w:hint="eastAsia" w:ascii="宋体" w:hAnsi="宋体" w:eastAsia="宋体" w:cs="宋体"/>
          <w:b/>
          <w:bCs/>
          <w:color w:val="000000" w:themeColor="text1"/>
          <w:sz w:val="32"/>
          <w:szCs w:val="32"/>
          <w:lang w:eastAsia="zh-CN"/>
        </w:rPr>
        <w:t>（三）</w:t>
      </w:r>
      <w:r>
        <w:rPr>
          <w:rFonts w:hint="eastAsia" w:ascii="仿宋" w:hAnsi="仿宋" w:eastAsia="仿宋" w:cs="宋体"/>
          <w:b/>
          <w:bCs/>
          <w:color w:val="000000" w:themeColor="text1"/>
          <w:sz w:val="32"/>
          <w:szCs w:val="32"/>
          <w:lang w:eastAsia="zh-CN"/>
        </w:rPr>
        <w:t>绩效评价工作过程</w:t>
      </w:r>
      <w:r>
        <w:rPr>
          <w:rFonts w:hint="eastAsia" w:ascii="宋体" w:hAnsi="宋体" w:eastAsia="宋体" w:cs="宋体"/>
          <w:b/>
          <w:bCs/>
          <w:color w:val="000000" w:themeColor="text1"/>
          <w:sz w:val="32"/>
          <w:szCs w:val="32"/>
          <w:lang w:eastAsia="zh-CN"/>
        </w:rPr>
        <w:t>。</w:t>
      </w:r>
    </w:p>
    <w:p>
      <w:pPr>
        <w:pStyle w:val="5"/>
        <w:widowControl/>
        <w:spacing w:after="120" w:line="360" w:lineRule="auto"/>
        <w:ind w:firstLine="573"/>
        <w:rPr>
          <w:rFonts w:ascii="仿宋" w:hAnsi="仿宋" w:eastAsia="仿宋" w:cs="宋体"/>
          <w:color w:val="000000" w:themeColor="text1"/>
          <w:sz w:val="32"/>
          <w:szCs w:val="32"/>
        </w:rPr>
      </w:pPr>
      <w:r>
        <w:rPr>
          <w:rFonts w:hint="eastAsia" w:ascii="仿宋" w:hAnsi="仿宋" w:eastAsia="仿宋" w:cs="宋体"/>
          <w:color w:val="000000" w:themeColor="text1"/>
          <w:sz w:val="32"/>
          <w:szCs w:val="32"/>
          <w:shd w:val="clear" w:color="auto" w:fill="FFFFFF"/>
        </w:rPr>
        <w:t>绩效评价主要采取以下方式：一是召开座谈会，听取项目单位有关资金使用管理及项目组织实施管理等情况介绍，了解资金使用取得的成效、存在的主要问题及建议等。二是对项目单位评价基础数据资料、辅证材料等进行审查核实。三是实地察看项目进展情况并进行了实地拍照。通过以上方式全面了解项目的基本情况，为评价结论提供了依据。成立绩效管理工作领导小组，局长为组长，相关业务科室负责人为成员，负责具体项目实施，下设办公室依托在计财股，负责进行协调、跟踪、监督、送报绩效材料等。结合202</w:t>
      </w:r>
      <w:r>
        <w:rPr>
          <w:rFonts w:hint="eastAsia" w:ascii="仿宋" w:hAnsi="仿宋" w:eastAsia="仿宋" w:cs="宋体"/>
          <w:color w:val="000000" w:themeColor="text1"/>
          <w:sz w:val="32"/>
          <w:szCs w:val="32"/>
          <w:shd w:val="clear" w:color="auto" w:fill="FFFFFF"/>
          <w:lang w:val="en-US" w:eastAsia="zh-CN"/>
        </w:rPr>
        <w:t>2</w:t>
      </w:r>
      <w:r>
        <w:rPr>
          <w:rFonts w:hint="eastAsia" w:ascii="仿宋" w:hAnsi="仿宋" w:eastAsia="仿宋" w:cs="宋体"/>
          <w:color w:val="000000" w:themeColor="text1"/>
          <w:sz w:val="32"/>
          <w:szCs w:val="32"/>
          <w:shd w:val="clear" w:color="auto" w:fill="FFFFFF"/>
        </w:rPr>
        <w:t>年区绩效考评方案和202</w:t>
      </w:r>
      <w:r>
        <w:rPr>
          <w:rFonts w:hint="eastAsia" w:ascii="仿宋" w:hAnsi="仿宋" w:eastAsia="仿宋" w:cs="宋体"/>
          <w:color w:val="000000" w:themeColor="text1"/>
          <w:sz w:val="32"/>
          <w:szCs w:val="32"/>
          <w:shd w:val="clear" w:color="auto" w:fill="FFFFFF"/>
          <w:lang w:val="en-US" w:eastAsia="zh-CN"/>
        </w:rPr>
        <w:t>3</w:t>
      </w:r>
      <w:r>
        <w:rPr>
          <w:rFonts w:hint="eastAsia" w:ascii="仿宋" w:hAnsi="仿宋" w:eastAsia="仿宋" w:cs="宋体"/>
          <w:color w:val="000000" w:themeColor="text1"/>
          <w:sz w:val="32"/>
          <w:szCs w:val="32"/>
          <w:shd w:val="clear" w:color="auto" w:fill="FFFFFF"/>
        </w:rPr>
        <w:t>年工作计划，召集相关业务科室负责人进行探讨、研究、论证的基础上，参考前三年的平均值、当年的数值、发展趋势等，制定了切合实际、可量化、可考评的年度目标。</w:t>
      </w:r>
    </w:p>
    <w:p>
      <w:pPr>
        <w:numPr>
          <w:ilvl w:val="0"/>
          <w:numId w:val="4"/>
        </w:numPr>
        <w:spacing w:after="120" w:line="600" w:lineRule="exact"/>
        <w:ind w:firstLine="640" w:firstLineChars="200"/>
        <w:rPr>
          <w:rFonts w:ascii="楷体" w:hAnsi="楷体" w:eastAsia="楷体" w:cs="宋体"/>
          <w:color w:val="000000" w:themeColor="text1"/>
          <w:sz w:val="32"/>
          <w:szCs w:val="32"/>
          <w:lang w:eastAsia="zh-CN"/>
        </w:rPr>
      </w:pPr>
      <w:r>
        <w:rPr>
          <w:rFonts w:hint="eastAsia" w:ascii="楷体" w:hAnsi="楷体" w:eastAsia="楷体" w:cs="宋体"/>
          <w:color w:val="000000" w:themeColor="text1"/>
          <w:sz w:val="32"/>
          <w:szCs w:val="32"/>
          <w:lang w:eastAsia="zh-CN"/>
        </w:rPr>
        <w:t>综合评价情况及评价结论（附评价体系表）</w:t>
      </w:r>
    </w:p>
    <w:p>
      <w:pPr>
        <w:widowControl/>
        <w:spacing w:before="226" w:after="452" w:line="580" w:lineRule="exact"/>
        <w:ind w:firstLine="640" w:firstLineChars="200"/>
        <w:rPr>
          <w:rFonts w:ascii="仿宋" w:hAnsi="仿宋" w:eastAsia="仿宋" w:cs="宋体"/>
          <w:color w:val="000000" w:themeColor="text1"/>
          <w:sz w:val="32"/>
          <w:szCs w:val="32"/>
          <w:lang w:eastAsia="zh-CN"/>
        </w:rPr>
      </w:pPr>
      <w:r>
        <w:rPr>
          <w:rFonts w:hint="eastAsia" w:ascii="仿宋" w:hAnsi="仿宋" w:eastAsia="仿宋" w:cs="宋体"/>
          <w:color w:val="000000" w:themeColor="text1"/>
          <w:sz w:val="32"/>
          <w:szCs w:val="32"/>
          <w:shd w:val="clear" w:color="auto" w:fill="FFFFFF"/>
          <w:lang w:eastAsia="zh-CN"/>
        </w:rPr>
        <w:t>根据昌江区财政局关于开展202</w:t>
      </w:r>
      <w:r>
        <w:rPr>
          <w:rFonts w:hint="eastAsia" w:ascii="仿宋" w:hAnsi="仿宋" w:eastAsia="仿宋" w:cs="宋体"/>
          <w:color w:val="000000" w:themeColor="text1"/>
          <w:sz w:val="32"/>
          <w:szCs w:val="32"/>
          <w:shd w:val="clear" w:color="auto" w:fill="FFFFFF"/>
          <w:lang w:val="en-US" w:eastAsia="zh-CN"/>
        </w:rPr>
        <w:t>3</w:t>
      </w:r>
      <w:r>
        <w:rPr>
          <w:rFonts w:hint="eastAsia" w:ascii="仿宋" w:hAnsi="仿宋" w:eastAsia="仿宋" w:cs="宋体"/>
          <w:color w:val="000000" w:themeColor="text1"/>
          <w:sz w:val="32"/>
          <w:szCs w:val="32"/>
          <w:shd w:val="clear" w:color="auto" w:fill="FFFFFF"/>
          <w:lang w:eastAsia="zh-CN"/>
        </w:rPr>
        <w:t>年绩效管理有关工作的通知（昌财绩字[202</w:t>
      </w:r>
      <w:r>
        <w:rPr>
          <w:rFonts w:hint="eastAsia" w:ascii="仿宋" w:hAnsi="仿宋" w:eastAsia="仿宋" w:cs="宋体"/>
          <w:color w:val="000000" w:themeColor="text1"/>
          <w:sz w:val="32"/>
          <w:szCs w:val="32"/>
          <w:shd w:val="clear" w:color="auto" w:fill="FFFFFF"/>
          <w:lang w:val="en-US" w:eastAsia="zh-CN"/>
        </w:rPr>
        <w:t>4</w:t>
      </w:r>
      <w:r>
        <w:rPr>
          <w:rFonts w:hint="eastAsia" w:ascii="仿宋" w:hAnsi="仿宋" w:eastAsia="仿宋" w:cs="宋体"/>
          <w:color w:val="000000" w:themeColor="text1"/>
          <w:sz w:val="32"/>
          <w:szCs w:val="32"/>
          <w:shd w:val="clear" w:color="auto" w:fill="FFFFFF"/>
          <w:lang w:eastAsia="zh-CN"/>
        </w:rPr>
        <w:t>]1号），我单位成立了绩效评价领导小组，对信访维稳经费项目支出资金进行全面评价。</w:t>
      </w:r>
    </w:p>
    <w:p>
      <w:pPr>
        <w:spacing w:after="120" w:line="360" w:lineRule="auto"/>
        <w:ind w:firstLine="640" w:firstLineChars="200"/>
        <w:rPr>
          <w:rFonts w:ascii="仿宋" w:hAnsi="仿宋" w:eastAsia="仿宋" w:cs="宋体"/>
          <w:color w:val="000000" w:themeColor="text1"/>
          <w:sz w:val="32"/>
          <w:szCs w:val="32"/>
          <w:lang w:eastAsia="zh-CN"/>
        </w:rPr>
      </w:pPr>
      <w:r>
        <w:rPr>
          <w:rFonts w:hint="eastAsia" w:ascii="仿宋" w:hAnsi="仿宋" w:eastAsia="仿宋" w:cs="宋体"/>
          <w:color w:val="000000" w:themeColor="text1"/>
          <w:sz w:val="32"/>
          <w:szCs w:val="32"/>
          <w:lang w:eastAsia="zh-CN"/>
        </w:rPr>
        <w:t>项目绩效评价工作小组按照项目评价指标表，从决策、过程、产出以及效益四个方面对项目进行综合评价，对各项指标进行综合打分。经评价，202</w:t>
      </w:r>
      <w:r>
        <w:rPr>
          <w:rFonts w:hint="eastAsia" w:ascii="仿宋" w:hAnsi="仿宋" w:eastAsia="仿宋" w:cs="宋体"/>
          <w:color w:val="000000" w:themeColor="text1"/>
          <w:sz w:val="32"/>
          <w:szCs w:val="32"/>
          <w:lang w:val="en-US" w:eastAsia="zh-CN"/>
        </w:rPr>
        <w:t>3</w:t>
      </w:r>
      <w:r>
        <w:rPr>
          <w:rFonts w:hint="eastAsia" w:ascii="仿宋" w:hAnsi="仿宋" w:eastAsia="仿宋" w:cs="宋体"/>
          <w:color w:val="000000" w:themeColor="text1"/>
          <w:sz w:val="32"/>
          <w:szCs w:val="32"/>
          <w:lang w:eastAsia="zh-CN"/>
        </w:rPr>
        <w:t>年</w:t>
      </w:r>
      <w:r>
        <w:rPr>
          <w:rFonts w:hint="eastAsia" w:ascii="仿宋" w:hAnsi="仿宋" w:eastAsia="仿宋" w:cs="仿宋"/>
          <w:b w:val="0"/>
          <w:bCs w:val="0"/>
          <w:color w:val="000000" w:themeColor="text1"/>
          <w:sz w:val="32"/>
          <w:szCs w:val="32"/>
          <w:shd w:val="clear" w:color="auto" w:fill="FFFFFF"/>
        </w:rPr>
        <w:t>信访维稳经费</w:t>
      </w:r>
      <w:r>
        <w:rPr>
          <w:rFonts w:hint="eastAsia" w:ascii="仿宋" w:hAnsi="仿宋" w:eastAsia="仿宋" w:cs="宋体"/>
          <w:color w:val="000000" w:themeColor="text1"/>
          <w:sz w:val="32"/>
          <w:szCs w:val="32"/>
          <w:lang w:eastAsia="zh-CN"/>
        </w:rPr>
        <w:t>平均得分为</w:t>
      </w:r>
      <w:r>
        <w:rPr>
          <w:rFonts w:hint="eastAsia" w:ascii="仿宋" w:hAnsi="仿宋" w:eastAsia="仿宋" w:cs="宋体"/>
          <w:color w:val="000000" w:themeColor="text1"/>
          <w:sz w:val="32"/>
          <w:szCs w:val="32"/>
          <w:lang w:val="en-US" w:eastAsia="zh-CN"/>
        </w:rPr>
        <w:t>98</w:t>
      </w:r>
      <w:r>
        <w:rPr>
          <w:rFonts w:hint="eastAsia" w:ascii="仿宋" w:hAnsi="仿宋" w:eastAsia="仿宋" w:cs="宋体"/>
          <w:color w:val="000000" w:themeColor="text1"/>
          <w:sz w:val="32"/>
          <w:szCs w:val="32"/>
          <w:lang w:eastAsia="zh-CN"/>
        </w:rPr>
        <w:t xml:space="preserve">分，评价等级为“优”。 </w:t>
      </w:r>
    </w:p>
    <w:p>
      <w:pPr>
        <w:pStyle w:val="5"/>
        <w:widowControl/>
        <w:spacing w:after="120" w:line="360" w:lineRule="auto"/>
        <w:ind w:firstLine="640" w:firstLineChars="200"/>
        <w:jc w:val="both"/>
        <w:rPr>
          <w:rFonts w:ascii="仿宋" w:hAnsi="仿宋" w:eastAsia="仿宋" w:cs="宋体"/>
          <w:color w:val="000000" w:themeColor="text1"/>
          <w:sz w:val="32"/>
          <w:szCs w:val="32"/>
          <w:shd w:val="clear" w:color="auto" w:fill="FFFFFF"/>
        </w:rPr>
      </w:pPr>
      <w:r>
        <w:rPr>
          <w:rFonts w:hint="eastAsia" w:ascii="仿宋" w:hAnsi="仿宋" w:eastAsia="仿宋" w:cs="宋体"/>
          <w:color w:val="000000" w:themeColor="text1"/>
          <w:sz w:val="32"/>
          <w:szCs w:val="32"/>
          <w:shd w:val="clear" w:color="auto" w:fill="FFFFFF"/>
        </w:rPr>
        <w:t>经济性：项目在实施过程中，严格控制经费支出，实际总支出不会超出预算。</w:t>
      </w:r>
    </w:p>
    <w:p>
      <w:pPr>
        <w:pStyle w:val="5"/>
        <w:widowControl/>
        <w:spacing w:after="120" w:line="360" w:lineRule="auto"/>
        <w:ind w:firstLine="640" w:firstLineChars="200"/>
        <w:jc w:val="both"/>
        <w:rPr>
          <w:rFonts w:ascii="仿宋" w:hAnsi="仿宋" w:eastAsia="仿宋" w:cs="宋体"/>
          <w:color w:val="000000" w:themeColor="text1"/>
          <w:sz w:val="32"/>
          <w:szCs w:val="32"/>
          <w:shd w:val="clear" w:color="auto" w:fill="FFFFFF"/>
        </w:rPr>
      </w:pPr>
      <w:r>
        <w:rPr>
          <w:rFonts w:hint="eastAsia" w:ascii="仿宋" w:hAnsi="仿宋" w:eastAsia="仿宋" w:cs="宋体"/>
          <w:color w:val="000000" w:themeColor="text1"/>
          <w:sz w:val="32"/>
          <w:szCs w:val="32"/>
          <w:shd w:val="clear" w:color="auto" w:fill="FFFFFF"/>
        </w:rPr>
        <w:t>效率性：按时按质完成信访维稳项目工作的任务，达到预期的目标。</w:t>
      </w:r>
    </w:p>
    <w:p>
      <w:pPr>
        <w:pStyle w:val="5"/>
        <w:shd w:val="clear" w:color="auto" w:fill="FFFFFF"/>
        <w:spacing w:line="360" w:lineRule="auto"/>
        <w:ind w:firstLine="640" w:firstLineChars="200"/>
        <w:rPr>
          <w:rFonts w:ascii="仿宋" w:hAnsi="仿宋" w:eastAsia="仿宋" w:cs="宋体"/>
          <w:bCs/>
          <w:color w:val="000000" w:themeColor="text1"/>
          <w:sz w:val="32"/>
          <w:szCs w:val="32"/>
          <w:shd w:val="clear" w:color="auto" w:fill="FFFFFF"/>
        </w:rPr>
      </w:pPr>
      <w:r>
        <w:rPr>
          <w:rFonts w:hint="eastAsia" w:ascii="仿宋" w:hAnsi="仿宋" w:eastAsia="仿宋" w:cs="宋体"/>
          <w:bCs/>
          <w:color w:val="000000" w:themeColor="text1"/>
          <w:sz w:val="32"/>
          <w:szCs w:val="32"/>
          <w:shd w:val="clear" w:color="auto" w:fill="FFFFFF"/>
        </w:rPr>
        <w:t>有效性：</w:t>
      </w:r>
      <w:r>
        <w:rPr>
          <w:rFonts w:hint="eastAsia" w:ascii="仿宋" w:hAnsi="仿宋" w:eastAsia="仿宋" w:cs="宋体"/>
          <w:color w:val="000000" w:themeColor="text1"/>
          <w:sz w:val="32"/>
          <w:szCs w:val="32"/>
        </w:rPr>
        <w:t>坚持以人民为中心的发展思想，带着感情和责任为民解难，为党分忧，努力做到“北京不能去、江西不能聚、昌江不出事”。具体体现在四个方面：一是实现工作规范化。达到“五个一”标准，即有一个体制健全、高效运行的信访工作机构，一支行为规范、业务精通的工作队伍，一套立足长远、务实管用的长效机制，一个功能完备、便捷高效的接访场所，一套系统完备、科学顺畅的工作流程。开展“信访事项办理规范年”活动，提高办案质量，严格做到“三到位一处理”，实现“件件有着落，事事有回音”。二是实现“五个大幅下降”。即进京到重点地区访、进京集体访、进京个体访、赴省集体访、赴省个体访大幅度下降，力争同比下降30%以上。三是实现“三个大幅上升”。即中省转交办信访事项“三率”大幅提升，信访机构和有权机关及时受理率、按期答复率达到100%、信访机构和有权机关群众参评及满意率力争全市前五位次。四是实现“三个不发生”。即不发生出丑滋事极端恶性访，不发生群体性事件，不发生因信访问题引发的负面炒作</w:t>
      </w:r>
      <w:r>
        <w:rPr>
          <w:rFonts w:hint="eastAsia" w:ascii="仿宋" w:hAnsi="仿宋" w:eastAsia="仿宋" w:cs="宋体"/>
          <w:bCs/>
          <w:color w:val="000000" w:themeColor="text1"/>
          <w:sz w:val="32"/>
          <w:szCs w:val="32"/>
          <w:shd w:val="clear" w:color="auto" w:fill="FFFFFF"/>
        </w:rPr>
        <w:t>。通过该项目的实施，将实现档案管理防护规定目标。</w:t>
      </w:r>
    </w:p>
    <w:p>
      <w:pPr>
        <w:pStyle w:val="3"/>
        <w:spacing w:before="0"/>
        <w:jc w:val="center"/>
        <w:rPr>
          <w:rFonts w:ascii="仿宋" w:hAnsi="仿宋" w:eastAsia="仿宋" w:cs="宋体"/>
          <w:color w:val="000000"/>
          <w:lang w:eastAsia="zh-CN"/>
        </w:rPr>
      </w:pPr>
      <w:r>
        <w:rPr>
          <w:rFonts w:hint="eastAsia" w:ascii="仿宋" w:hAnsi="仿宋" w:eastAsia="仿宋" w:cs="宋体"/>
          <w:color w:val="000000"/>
          <w:lang w:eastAsia="zh-CN"/>
        </w:rPr>
        <w:t>项目支出绩效评价指标体系</w:t>
      </w:r>
    </w:p>
    <w:p>
      <w:pPr>
        <w:pStyle w:val="3"/>
        <w:spacing w:before="0"/>
        <w:jc w:val="center"/>
        <w:rPr>
          <w:rFonts w:ascii="仿宋" w:hAnsi="仿宋" w:eastAsia="仿宋" w:cs="宋体"/>
          <w:color w:val="000000"/>
          <w:lang w:eastAsia="zh-CN"/>
        </w:rPr>
      </w:pPr>
    </w:p>
    <w:tbl>
      <w:tblPr>
        <w:tblStyle w:val="6"/>
        <w:tblW w:w="101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71"/>
        <w:gridCol w:w="613"/>
        <w:gridCol w:w="545"/>
        <w:gridCol w:w="2061"/>
        <w:gridCol w:w="2657"/>
        <w:gridCol w:w="2633"/>
        <w:gridCol w:w="8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74" w:hRule="atLeast"/>
          <w:tblHeader/>
          <w:jc w:val="center"/>
        </w:trPr>
        <w:tc>
          <w:tcPr>
            <w:tcW w:w="771" w:type="dxa"/>
            <w:shd w:val="clear" w:color="auto" w:fill="FFFFFF"/>
            <w:vAlign w:val="center"/>
          </w:tcPr>
          <w:p>
            <w:pPr>
              <w:widowControl/>
              <w:spacing w:line="0" w:lineRule="atLeast"/>
              <w:jc w:val="center"/>
              <w:rPr>
                <w:rFonts w:ascii="仿宋" w:hAnsi="仿宋" w:eastAsia="仿宋" w:cs="宋体"/>
                <w:b/>
                <w:bCs/>
                <w:color w:val="000000"/>
              </w:rPr>
            </w:pPr>
            <w:r>
              <w:rPr>
                <w:rFonts w:hint="eastAsia" w:ascii="仿宋" w:hAnsi="仿宋" w:eastAsia="仿宋" w:cs="宋体"/>
                <w:b/>
                <w:bCs/>
                <w:color w:val="000000"/>
              </w:rPr>
              <w:t>一级指标</w:t>
            </w:r>
          </w:p>
        </w:tc>
        <w:tc>
          <w:tcPr>
            <w:tcW w:w="613" w:type="dxa"/>
            <w:shd w:val="clear" w:color="auto" w:fill="FFFFFF"/>
            <w:vAlign w:val="center"/>
          </w:tcPr>
          <w:p>
            <w:pPr>
              <w:widowControl/>
              <w:spacing w:line="0" w:lineRule="atLeast"/>
              <w:jc w:val="center"/>
              <w:rPr>
                <w:rFonts w:ascii="仿宋" w:hAnsi="仿宋" w:eastAsia="仿宋" w:cs="宋体"/>
                <w:b/>
                <w:bCs/>
                <w:color w:val="000000"/>
              </w:rPr>
            </w:pPr>
            <w:r>
              <w:rPr>
                <w:rFonts w:hint="eastAsia" w:ascii="仿宋" w:hAnsi="仿宋" w:eastAsia="仿宋" w:cs="宋体"/>
                <w:b/>
                <w:bCs/>
                <w:color w:val="000000"/>
              </w:rPr>
              <w:t>二级指标</w:t>
            </w:r>
          </w:p>
        </w:tc>
        <w:tc>
          <w:tcPr>
            <w:tcW w:w="545" w:type="dxa"/>
            <w:shd w:val="clear" w:color="auto" w:fill="FFFFFF"/>
            <w:vAlign w:val="center"/>
          </w:tcPr>
          <w:p>
            <w:pPr>
              <w:widowControl/>
              <w:spacing w:line="0" w:lineRule="atLeast"/>
              <w:jc w:val="center"/>
              <w:rPr>
                <w:rFonts w:ascii="仿宋" w:hAnsi="仿宋" w:eastAsia="仿宋" w:cs="宋体"/>
                <w:b/>
                <w:bCs/>
                <w:color w:val="000000"/>
              </w:rPr>
            </w:pPr>
            <w:r>
              <w:rPr>
                <w:rFonts w:hint="eastAsia" w:ascii="仿宋" w:hAnsi="仿宋" w:eastAsia="仿宋" w:cs="宋体"/>
                <w:b/>
                <w:bCs/>
                <w:color w:val="000000"/>
              </w:rPr>
              <w:t>三级指标</w:t>
            </w:r>
          </w:p>
        </w:tc>
        <w:tc>
          <w:tcPr>
            <w:tcW w:w="2061" w:type="dxa"/>
            <w:shd w:val="clear" w:color="auto" w:fill="FFFFFF"/>
            <w:vAlign w:val="center"/>
          </w:tcPr>
          <w:p>
            <w:pPr>
              <w:widowControl/>
              <w:spacing w:line="0" w:lineRule="atLeast"/>
              <w:jc w:val="center"/>
              <w:rPr>
                <w:rFonts w:ascii="仿宋" w:hAnsi="仿宋" w:eastAsia="仿宋" w:cs="宋体"/>
                <w:b/>
                <w:bCs/>
                <w:color w:val="000000"/>
              </w:rPr>
            </w:pPr>
            <w:r>
              <w:rPr>
                <w:rFonts w:hint="eastAsia" w:ascii="仿宋" w:hAnsi="仿宋" w:eastAsia="仿宋" w:cs="宋体"/>
                <w:b/>
                <w:bCs/>
                <w:color w:val="000000"/>
              </w:rPr>
              <w:t>指标解释</w:t>
            </w:r>
          </w:p>
        </w:tc>
        <w:tc>
          <w:tcPr>
            <w:tcW w:w="2657" w:type="dxa"/>
            <w:shd w:val="clear" w:color="auto" w:fill="FFFFFF"/>
            <w:vAlign w:val="center"/>
          </w:tcPr>
          <w:p>
            <w:pPr>
              <w:widowControl/>
              <w:spacing w:line="0" w:lineRule="atLeast"/>
              <w:jc w:val="center"/>
              <w:rPr>
                <w:rFonts w:ascii="仿宋" w:hAnsi="仿宋" w:eastAsia="仿宋" w:cs="宋体"/>
                <w:b/>
                <w:bCs/>
                <w:color w:val="000000"/>
              </w:rPr>
            </w:pPr>
            <w:r>
              <w:rPr>
                <w:rFonts w:hint="eastAsia" w:ascii="仿宋" w:hAnsi="仿宋" w:eastAsia="仿宋" w:cs="宋体"/>
                <w:b/>
                <w:bCs/>
                <w:color w:val="000000"/>
              </w:rPr>
              <w:t>指标说明</w:t>
            </w:r>
          </w:p>
        </w:tc>
        <w:tc>
          <w:tcPr>
            <w:tcW w:w="2633" w:type="dxa"/>
            <w:shd w:val="clear" w:color="auto" w:fill="FFFFFF"/>
            <w:vAlign w:val="center"/>
          </w:tcPr>
          <w:p>
            <w:pPr>
              <w:widowControl/>
              <w:spacing w:line="0" w:lineRule="atLeast"/>
              <w:jc w:val="center"/>
              <w:rPr>
                <w:rFonts w:ascii="仿宋" w:hAnsi="仿宋" w:eastAsia="仿宋" w:cs="宋体"/>
                <w:b/>
                <w:bCs/>
                <w:color w:val="000000"/>
                <w:lang w:eastAsia="zh-CN"/>
              </w:rPr>
            </w:pPr>
            <w:r>
              <w:rPr>
                <w:rFonts w:hint="eastAsia" w:ascii="仿宋" w:hAnsi="仿宋" w:eastAsia="仿宋" w:cs="宋体"/>
                <w:b/>
                <w:bCs/>
                <w:color w:val="000000"/>
                <w:lang w:eastAsia="zh-CN"/>
              </w:rPr>
              <w:t>评分核准</w:t>
            </w:r>
          </w:p>
        </w:tc>
        <w:tc>
          <w:tcPr>
            <w:tcW w:w="850" w:type="dxa"/>
            <w:shd w:val="clear" w:color="auto" w:fill="FFFFFF"/>
            <w:vAlign w:val="center"/>
          </w:tcPr>
          <w:p>
            <w:pPr>
              <w:widowControl/>
              <w:spacing w:line="0" w:lineRule="atLeast"/>
              <w:jc w:val="center"/>
              <w:rPr>
                <w:rFonts w:ascii="仿宋" w:hAnsi="仿宋" w:eastAsia="仿宋" w:cs="宋体"/>
                <w:b/>
                <w:bCs/>
                <w:color w:val="000000"/>
                <w:lang w:eastAsia="zh-CN"/>
              </w:rPr>
            </w:pPr>
            <w:r>
              <w:rPr>
                <w:rFonts w:hint="eastAsia" w:ascii="仿宋" w:hAnsi="仿宋" w:eastAsia="仿宋" w:cs="宋体"/>
                <w:b/>
                <w:bCs/>
                <w:color w:val="000000"/>
                <w:lang w:eastAsia="zh-CN"/>
              </w:rPr>
              <w:t>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36" w:hRule="atLeast"/>
          <w:jc w:val="center"/>
        </w:trPr>
        <w:tc>
          <w:tcPr>
            <w:tcW w:w="771" w:type="dxa"/>
            <w:vMerge w:val="restar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决策</w:t>
            </w:r>
            <w:r>
              <w:rPr>
                <w:rFonts w:hint="eastAsia" w:ascii="仿宋" w:hAnsi="仿宋" w:eastAsia="仿宋" w:cs="宋体"/>
                <w:color w:val="000000"/>
                <w:lang w:eastAsia="zh-CN"/>
              </w:rPr>
              <w:t>（5）</w:t>
            </w:r>
            <w:r>
              <w:rPr>
                <w:rFonts w:hint="eastAsia" w:ascii="仿宋" w:hAnsi="仿宋" w:eastAsia="仿宋" w:cs="宋体"/>
                <w:color w:val="000000"/>
              </w:rPr>
              <w:t>　</w:t>
            </w:r>
          </w:p>
          <w:p>
            <w:pPr>
              <w:widowControl/>
              <w:spacing w:line="0" w:lineRule="atLeast"/>
              <w:jc w:val="center"/>
              <w:rPr>
                <w:rFonts w:ascii="仿宋" w:hAnsi="仿宋" w:eastAsia="仿宋" w:cs="宋体"/>
                <w:color w:val="000000"/>
              </w:rPr>
            </w:pPr>
            <w:r>
              <w:rPr>
                <w:rFonts w:hint="eastAsia" w:ascii="仿宋" w:hAnsi="仿宋" w:eastAsia="仿宋" w:cs="宋体"/>
                <w:color w:val="000000"/>
              </w:rPr>
              <w:t>　</w:t>
            </w:r>
          </w:p>
          <w:p>
            <w:pPr>
              <w:spacing w:line="0" w:lineRule="atLeast"/>
              <w:jc w:val="center"/>
              <w:rPr>
                <w:rFonts w:ascii="仿宋" w:hAnsi="仿宋" w:eastAsia="仿宋" w:cs="宋体"/>
                <w:color w:val="000000"/>
              </w:rPr>
            </w:pPr>
            <w:r>
              <w:rPr>
                <w:rFonts w:hint="eastAsia" w:ascii="仿宋" w:hAnsi="仿宋" w:eastAsia="仿宋" w:cs="宋体"/>
                <w:color w:val="000000"/>
              </w:rPr>
              <w:t>　</w:t>
            </w:r>
          </w:p>
        </w:tc>
        <w:tc>
          <w:tcPr>
            <w:tcW w:w="613" w:type="dxa"/>
            <w:vMerge w:val="restar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项目立项　</w:t>
            </w:r>
          </w:p>
        </w:tc>
        <w:tc>
          <w:tcPr>
            <w:tcW w:w="545" w:type="dxa"/>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立项依据</w:t>
            </w:r>
          </w:p>
          <w:p>
            <w:pPr>
              <w:widowControl/>
              <w:spacing w:line="0" w:lineRule="atLeast"/>
              <w:jc w:val="center"/>
              <w:rPr>
                <w:rFonts w:ascii="仿宋" w:hAnsi="仿宋" w:eastAsia="仿宋" w:cs="宋体"/>
                <w:color w:val="000000"/>
              </w:rPr>
            </w:pPr>
            <w:r>
              <w:rPr>
                <w:rFonts w:hint="eastAsia" w:ascii="仿宋" w:hAnsi="仿宋" w:eastAsia="仿宋" w:cs="宋体"/>
                <w:color w:val="000000"/>
              </w:rPr>
              <w:t>充分性</w:t>
            </w:r>
          </w:p>
        </w:tc>
        <w:tc>
          <w:tcPr>
            <w:tcW w:w="2061" w:type="dxa"/>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项目立项是否符合法律法规、相关政策、发展规划以及部门职责，用以反映和考核项目立项依据情况。</w:t>
            </w:r>
          </w:p>
        </w:tc>
        <w:tc>
          <w:tcPr>
            <w:tcW w:w="2657" w:type="dxa"/>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评价要点：</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①项目立项是否符合国家法律法规、国民经济发展规划和相关政策；</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②项目立项是否符合行业发展规划和政策要求；</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③项目立项是否与部门职责范围相符，属于部门履职所需；</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④项目是否属于公共财政支持范围，是否符合中央、地方事权支出责任划分原则；</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⑤项目是否与相关部门同类项目或部门内部相关项目重复。</w:t>
            </w:r>
          </w:p>
        </w:tc>
        <w:tc>
          <w:tcPr>
            <w:tcW w:w="2633" w:type="dxa"/>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①项目立项是否与部门职责范围相符，属于部门履职所需；</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②项目是否属于公共财政支持范围，是否符合中央、地方事权支出责任划分原则；</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③项目是否与相关部门同类项目或部门内部相关项目重复。符合以上条件得满分，否则扣分，直到扣完为止</w:t>
            </w:r>
          </w:p>
        </w:tc>
        <w:tc>
          <w:tcPr>
            <w:tcW w:w="850" w:type="dxa"/>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6" w:hRule="atLeast"/>
          <w:jc w:val="center"/>
        </w:trPr>
        <w:tc>
          <w:tcPr>
            <w:tcW w:w="771" w:type="dxa"/>
            <w:vMerge w:val="continue"/>
            <w:shd w:val="clear" w:color="auto" w:fill="FFFFFF"/>
            <w:vAlign w:val="center"/>
          </w:tcPr>
          <w:p>
            <w:pPr>
              <w:spacing w:line="0" w:lineRule="atLeast"/>
              <w:jc w:val="center"/>
              <w:rPr>
                <w:rFonts w:ascii="仿宋" w:hAnsi="仿宋" w:eastAsia="仿宋" w:cs="宋体"/>
                <w:color w:val="000000"/>
              </w:rPr>
            </w:pPr>
          </w:p>
        </w:tc>
        <w:tc>
          <w:tcPr>
            <w:tcW w:w="613" w:type="dxa"/>
            <w:vMerge w:val="continue"/>
            <w:shd w:val="clear" w:color="auto" w:fill="FFFFFF"/>
            <w:vAlign w:val="center"/>
          </w:tcPr>
          <w:p>
            <w:pPr>
              <w:widowControl/>
              <w:spacing w:line="0" w:lineRule="atLeast"/>
              <w:jc w:val="center"/>
              <w:rPr>
                <w:rFonts w:ascii="仿宋" w:hAnsi="仿宋" w:eastAsia="仿宋" w:cs="宋体"/>
                <w:color w:val="000000"/>
              </w:rPr>
            </w:pPr>
          </w:p>
        </w:tc>
        <w:tc>
          <w:tcPr>
            <w:tcW w:w="545" w:type="dxa"/>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立项程序</w:t>
            </w:r>
          </w:p>
          <w:p>
            <w:pPr>
              <w:widowControl/>
              <w:spacing w:line="0" w:lineRule="atLeast"/>
              <w:jc w:val="center"/>
              <w:rPr>
                <w:rFonts w:ascii="仿宋" w:hAnsi="仿宋" w:eastAsia="仿宋" w:cs="宋体"/>
                <w:color w:val="000000"/>
              </w:rPr>
            </w:pPr>
            <w:r>
              <w:rPr>
                <w:rFonts w:hint="eastAsia" w:ascii="仿宋" w:hAnsi="仿宋" w:eastAsia="仿宋" w:cs="宋体"/>
                <w:color w:val="000000"/>
              </w:rPr>
              <w:t>规范性</w:t>
            </w:r>
          </w:p>
        </w:tc>
        <w:tc>
          <w:tcPr>
            <w:tcW w:w="2061" w:type="dxa"/>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项目申请、设立过程是否符合相关要求，用以反映和考核项目立项的规范情况。</w:t>
            </w:r>
          </w:p>
        </w:tc>
        <w:tc>
          <w:tcPr>
            <w:tcW w:w="2657" w:type="dxa"/>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评价要点：</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①项目是否按照规定的程序申请设立；</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②审批文件、材料是否符合相关要求；</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③事前是否已经过必要的可行性研究、专家论证、风险评估、绩效评估、集体决策。</w:t>
            </w:r>
          </w:p>
        </w:tc>
        <w:tc>
          <w:tcPr>
            <w:tcW w:w="2633" w:type="dxa"/>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①项目是否按照规定的程序申请设立；</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②审批文件、材料是否符合相关要求；</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③事前是否已经过必要的可行性研究、专家论证、风险评估、绩效评估、集体决策。以上全部完整，得满分，否则扣分，直到扣完为止。</w:t>
            </w:r>
          </w:p>
        </w:tc>
        <w:tc>
          <w:tcPr>
            <w:tcW w:w="850" w:type="dxa"/>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95" w:hRule="atLeast"/>
          <w:jc w:val="center"/>
        </w:trPr>
        <w:tc>
          <w:tcPr>
            <w:tcW w:w="771" w:type="dxa"/>
            <w:vMerge w:val="continue"/>
            <w:shd w:val="clear" w:color="auto" w:fill="FFFFFF"/>
            <w:vAlign w:val="center"/>
          </w:tcPr>
          <w:p>
            <w:pPr>
              <w:spacing w:line="0" w:lineRule="atLeast"/>
              <w:jc w:val="center"/>
              <w:rPr>
                <w:rFonts w:ascii="仿宋" w:hAnsi="仿宋" w:eastAsia="仿宋" w:cs="宋体"/>
                <w:color w:val="000000"/>
              </w:rPr>
            </w:pPr>
          </w:p>
        </w:tc>
        <w:tc>
          <w:tcPr>
            <w:tcW w:w="613" w:type="dxa"/>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绩效目标　</w:t>
            </w:r>
          </w:p>
        </w:tc>
        <w:tc>
          <w:tcPr>
            <w:tcW w:w="545" w:type="dxa"/>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绩效目标</w:t>
            </w:r>
          </w:p>
          <w:p>
            <w:pPr>
              <w:widowControl/>
              <w:spacing w:line="0" w:lineRule="atLeast"/>
              <w:jc w:val="center"/>
              <w:rPr>
                <w:rFonts w:ascii="仿宋" w:hAnsi="仿宋" w:eastAsia="仿宋" w:cs="宋体"/>
                <w:color w:val="000000"/>
              </w:rPr>
            </w:pPr>
            <w:r>
              <w:rPr>
                <w:rFonts w:hint="eastAsia" w:ascii="仿宋" w:hAnsi="仿宋" w:eastAsia="仿宋" w:cs="宋体"/>
                <w:color w:val="000000"/>
              </w:rPr>
              <w:t>合理性</w:t>
            </w:r>
          </w:p>
        </w:tc>
        <w:tc>
          <w:tcPr>
            <w:tcW w:w="2061"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项目所设定的绩效目标是否依据充分，是否符合客观实际，用以反映和考核项目绩效目标与项目实施的相符情况。</w:t>
            </w:r>
          </w:p>
        </w:tc>
        <w:tc>
          <w:tcPr>
            <w:tcW w:w="2657"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评价要点：</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（如未设定预算绩效目标，也可考核其他工作任务目标）</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①项目是否有绩效目标；</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②项目绩效目标与实际工作内容是否具有相关性；</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③项目预期产出效益和效果是否符合正常的业绩水平；</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④是否与预算确定的项目投资额或资金量相匹配。</w:t>
            </w:r>
          </w:p>
        </w:tc>
        <w:tc>
          <w:tcPr>
            <w:tcW w:w="2633"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①项目有明确绩效目标，得1分；②项目绩效目标与实际工作内容具有相关性，得1分。</w:t>
            </w:r>
          </w:p>
        </w:tc>
        <w:tc>
          <w:tcPr>
            <w:tcW w:w="850"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17" w:hRule="atLeast"/>
          <w:jc w:val="center"/>
        </w:trPr>
        <w:tc>
          <w:tcPr>
            <w:tcW w:w="771" w:type="dxa"/>
            <w:vMerge w:val="restar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决策　</w:t>
            </w:r>
          </w:p>
        </w:tc>
        <w:tc>
          <w:tcPr>
            <w:tcW w:w="613" w:type="dxa"/>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绩效目标</w:t>
            </w:r>
          </w:p>
        </w:tc>
        <w:tc>
          <w:tcPr>
            <w:tcW w:w="545" w:type="dxa"/>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绩效指标</w:t>
            </w:r>
          </w:p>
          <w:p>
            <w:pPr>
              <w:widowControl/>
              <w:spacing w:line="0" w:lineRule="atLeast"/>
              <w:jc w:val="center"/>
              <w:rPr>
                <w:rFonts w:ascii="仿宋" w:hAnsi="仿宋" w:eastAsia="仿宋" w:cs="宋体"/>
                <w:color w:val="000000"/>
              </w:rPr>
            </w:pPr>
            <w:r>
              <w:rPr>
                <w:rFonts w:hint="eastAsia" w:ascii="仿宋" w:hAnsi="仿宋" w:eastAsia="仿宋" w:cs="宋体"/>
                <w:color w:val="000000"/>
              </w:rPr>
              <w:t>明确性</w:t>
            </w:r>
          </w:p>
        </w:tc>
        <w:tc>
          <w:tcPr>
            <w:tcW w:w="2061"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依据绩效目标设定的绩效指标是否清晰、细化、可衡量等，用以反映和考核项目绩效目标的明细化情况。</w:t>
            </w:r>
          </w:p>
        </w:tc>
        <w:tc>
          <w:tcPr>
            <w:tcW w:w="2657"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评价要点：</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①是否将项目绩效目标细化分解为具体的绩效指标；</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②是否通过清晰、可衡量的指标值予以体现；</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③是否与项目目标任务数或计划数相对应。</w:t>
            </w:r>
          </w:p>
          <w:p>
            <w:pPr>
              <w:widowControl/>
              <w:spacing w:line="0" w:lineRule="atLeast"/>
              <w:rPr>
                <w:rFonts w:ascii="仿宋" w:hAnsi="仿宋" w:eastAsia="仿宋" w:cs="宋体"/>
                <w:color w:val="000000"/>
                <w:lang w:eastAsia="zh-CN"/>
              </w:rPr>
            </w:pPr>
          </w:p>
        </w:tc>
        <w:tc>
          <w:tcPr>
            <w:tcW w:w="2633"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①将项目绩效目标细化分解为具体的绩效指标，得2分；②可以通过清晰、可衡量的指标值予以体现，得2分。</w:t>
            </w:r>
          </w:p>
        </w:tc>
        <w:tc>
          <w:tcPr>
            <w:tcW w:w="850"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3" w:hRule="atLeast"/>
          <w:jc w:val="center"/>
        </w:trPr>
        <w:tc>
          <w:tcPr>
            <w:tcW w:w="771" w:type="dxa"/>
            <w:vMerge w:val="continue"/>
            <w:shd w:val="clear" w:color="auto" w:fill="FFFFFF"/>
            <w:vAlign w:val="center"/>
          </w:tcPr>
          <w:p>
            <w:pPr>
              <w:spacing w:line="0" w:lineRule="atLeast"/>
              <w:jc w:val="center"/>
              <w:rPr>
                <w:rFonts w:ascii="仿宋" w:hAnsi="仿宋" w:eastAsia="仿宋" w:cs="宋体"/>
                <w:color w:val="000000"/>
              </w:rPr>
            </w:pPr>
          </w:p>
        </w:tc>
        <w:tc>
          <w:tcPr>
            <w:tcW w:w="613" w:type="dxa"/>
            <w:vMerge w:val="restar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资金投入</w:t>
            </w:r>
          </w:p>
          <w:p>
            <w:pPr>
              <w:spacing w:line="0" w:lineRule="atLeast"/>
              <w:jc w:val="center"/>
              <w:rPr>
                <w:rFonts w:ascii="仿宋" w:hAnsi="仿宋" w:eastAsia="仿宋" w:cs="宋体"/>
                <w:color w:val="000000"/>
              </w:rPr>
            </w:pPr>
            <w:r>
              <w:rPr>
                <w:rFonts w:hint="eastAsia" w:ascii="仿宋" w:hAnsi="仿宋" w:eastAsia="仿宋" w:cs="宋体"/>
                <w:color w:val="000000"/>
              </w:rPr>
              <w:t>　</w:t>
            </w:r>
          </w:p>
        </w:tc>
        <w:tc>
          <w:tcPr>
            <w:tcW w:w="545" w:type="dxa"/>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预算编制</w:t>
            </w:r>
          </w:p>
          <w:p>
            <w:pPr>
              <w:widowControl/>
              <w:spacing w:line="0" w:lineRule="atLeast"/>
              <w:jc w:val="center"/>
              <w:rPr>
                <w:rFonts w:ascii="仿宋" w:hAnsi="仿宋" w:eastAsia="仿宋" w:cs="宋体"/>
                <w:color w:val="000000"/>
              </w:rPr>
            </w:pPr>
            <w:r>
              <w:rPr>
                <w:rFonts w:hint="eastAsia" w:ascii="仿宋" w:hAnsi="仿宋" w:eastAsia="仿宋" w:cs="宋体"/>
                <w:color w:val="000000"/>
              </w:rPr>
              <w:t>科学性</w:t>
            </w:r>
          </w:p>
        </w:tc>
        <w:tc>
          <w:tcPr>
            <w:tcW w:w="2061" w:type="dxa"/>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项目预算编制是否经过科学论证、有明确标准，资金额度与年度目标是否相适应，用以反映和考核项目预算编制的科学性、合理性情况。</w:t>
            </w:r>
          </w:p>
        </w:tc>
        <w:tc>
          <w:tcPr>
            <w:tcW w:w="2657" w:type="dxa"/>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评价要点：</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①预算编制是否经过科学论证；</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②预算内容与项目内容是否匹配；</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③预算额度测算依据是否充分，是否按照标准编制；</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④预算确定的项目投资额或资金量是否与工作任务相匹配。</w:t>
            </w:r>
          </w:p>
        </w:tc>
        <w:tc>
          <w:tcPr>
            <w:tcW w:w="2633" w:type="dxa"/>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①预算内容与项目内容相匹配，得1分；②预算确定的项目投资额或资金量与工作任务相匹配，得1分。</w:t>
            </w:r>
          </w:p>
        </w:tc>
        <w:tc>
          <w:tcPr>
            <w:tcW w:w="850" w:type="dxa"/>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46" w:hRule="atLeast"/>
          <w:jc w:val="center"/>
        </w:trPr>
        <w:tc>
          <w:tcPr>
            <w:tcW w:w="771" w:type="dxa"/>
            <w:vMerge w:val="continue"/>
            <w:shd w:val="clear" w:color="auto" w:fill="FFFFFF"/>
            <w:vAlign w:val="center"/>
          </w:tcPr>
          <w:p>
            <w:pPr>
              <w:widowControl/>
              <w:spacing w:line="0" w:lineRule="atLeast"/>
              <w:jc w:val="center"/>
              <w:rPr>
                <w:rFonts w:ascii="仿宋" w:hAnsi="仿宋" w:eastAsia="仿宋" w:cs="宋体"/>
                <w:color w:val="000000"/>
              </w:rPr>
            </w:pPr>
          </w:p>
        </w:tc>
        <w:tc>
          <w:tcPr>
            <w:tcW w:w="613" w:type="dxa"/>
            <w:vMerge w:val="continue"/>
            <w:shd w:val="clear" w:color="auto" w:fill="FFFFFF"/>
            <w:vAlign w:val="center"/>
          </w:tcPr>
          <w:p>
            <w:pPr>
              <w:widowControl/>
              <w:spacing w:line="0" w:lineRule="atLeast"/>
              <w:jc w:val="center"/>
              <w:rPr>
                <w:rFonts w:ascii="仿宋" w:hAnsi="仿宋" w:eastAsia="仿宋" w:cs="宋体"/>
                <w:color w:val="000000"/>
              </w:rPr>
            </w:pPr>
          </w:p>
        </w:tc>
        <w:tc>
          <w:tcPr>
            <w:tcW w:w="545" w:type="dxa"/>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资金分配</w:t>
            </w:r>
          </w:p>
          <w:p>
            <w:pPr>
              <w:widowControl/>
              <w:spacing w:line="0" w:lineRule="atLeast"/>
              <w:jc w:val="center"/>
              <w:rPr>
                <w:rFonts w:ascii="仿宋" w:hAnsi="仿宋" w:eastAsia="仿宋" w:cs="宋体"/>
                <w:color w:val="000000"/>
              </w:rPr>
            </w:pPr>
            <w:r>
              <w:rPr>
                <w:rFonts w:hint="eastAsia" w:ascii="仿宋" w:hAnsi="仿宋" w:eastAsia="仿宋" w:cs="宋体"/>
                <w:color w:val="000000"/>
              </w:rPr>
              <w:t>合理性</w:t>
            </w:r>
          </w:p>
        </w:tc>
        <w:tc>
          <w:tcPr>
            <w:tcW w:w="2061" w:type="dxa"/>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项目预算资金分配是否有测算依据，与补助单位或地方实际是否相适应，用以反映和考核项目预算资金分配的科学性、合理性情况。</w:t>
            </w:r>
          </w:p>
        </w:tc>
        <w:tc>
          <w:tcPr>
            <w:tcW w:w="2657" w:type="dxa"/>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评价要点：</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①预算资金分配依据是否充分；</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②资金分配额度是否合理，与项目单位或地方实际是否相适应。</w:t>
            </w:r>
          </w:p>
        </w:tc>
        <w:tc>
          <w:tcPr>
            <w:tcW w:w="2633" w:type="dxa"/>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①预算资金分配依据充分，得1分；②资金分配额度合理，与项目单位或地方实际相适应，得1分。</w:t>
            </w:r>
          </w:p>
        </w:tc>
        <w:tc>
          <w:tcPr>
            <w:tcW w:w="850" w:type="dxa"/>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17" w:hRule="atLeast"/>
          <w:jc w:val="center"/>
        </w:trPr>
        <w:tc>
          <w:tcPr>
            <w:tcW w:w="771" w:type="dxa"/>
            <w:vMerge w:val="restart"/>
            <w:shd w:val="clear" w:color="auto" w:fill="FFFFFF"/>
            <w:vAlign w:val="center"/>
          </w:tcPr>
          <w:p>
            <w:pPr>
              <w:spacing w:line="0" w:lineRule="atLeast"/>
              <w:jc w:val="center"/>
              <w:rPr>
                <w:rFonts w:ascii="仿宋" w:hAnsi="仿宋" w:eastAsia="仿宋" w:cs="宋体"/>
                <w:color w:val="000000"/>
                <w:lang w:eastAsia="zh-CN"/>
              </w:rPr>
            </w:pPr>
            <w:r>
              <w:rPr>
                <w:rFonts w:hint="eastAsia" w:ascii="仿宋" w:hAnsi="仿宋" w:eastAsia="仿宋" w:cs="宋体"/>
                <w:color w:val="000000"/>
              </w:rPr>
              <w:t>过程</w:t>
            </w:r>
            <w:r>
              <w:rPr>
                <w:rFonts w:hint="eastAsia" w:ascii="仿宋" w:hAnsi="仿宋" w:eastAsia="仿宋" w:cs="宋体"/>
                <w:color w:val="000000"/>
                <w:lang w:eastAsia="zh-CN"/>
              </w:rPr>
              <w:t>（5）</w:t>
            </w:r>
          </w:p>
        </w:tc>
        <w:tc>
          <w:tcPr>
            <w:tcW w:w="613" w:type="dxa"/>
            <w:vMerge w:val="restar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资金管理</w:t>
            </w:r>
          </w:p>
        </w:tc>
        <w:tc>
          <w:tcPr>
            <w:tcW w:w="545" w:type="dxa"/>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资金到位率</w:t>
            </w:r>
          </w:p>
        </w:tc>
        <w:tc>
          <w:tcPr>
            <w:tcW w:w="2061"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实际到位资金与预算资金的比率，用以反映和考核资金落实情况对项目实施的总体保障程度。</w:t>
            </w:r>
          </w:p>
        </w:tc>
        <w:tc>
          <w:tcPr>
            <w:tcW w:w="2657"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资金到位率=（实际到位资金/预算资金）×100%。</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实际到位资金：一定时期（本年度或项目期）内落实到具体项目的资金。</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预算资金：一定时期（本年度或项目期）内预算安排到具体项目的资金。</w:t>
            </w:r>
          </w:p>
        </w:tc>
        <w:tc>
          <w:tcPr>
            <w:tcW w:w="2633"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达到100%得5分，较100%每低1%扣减权重分的5%，扣完权重分为止。</w:t>
            </w:r>
          </w:p>
        </w:tc>
        <w:tc>
          <w:tcPr>
            <w:tcW w:w="850"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40" w:hRule="atLeast"/>
          <w:jc w:val="center"/>
        </w:trPr>
        <w:tc>
          <w:tcPr>
            <w:tcW w:w="771" w:type="dxa"/>
            <w:vMerge w:val="continue"/>
            <w:shd w:val="clear" w:color="auto" w:fill="FFFFFF"/>
            <w:vAlign w:val="center"/>
          </w:tcPr>
          <w:p>
            <w:pPr>
              <w:spacing w:line="0" w:lineRule="atLeast"/>
              <w:jc w:val="center"/>
              <w:rPr>
                <w:rFonts w:ascii="仿宋" w:hAnsi="仿宋" w:eastAsia="仿宋" w:cs="宋体"/>
                <w:color w:val="000000"/>
              </w:rPr>
            </w:pPr>
          </w:p>
        </w:tc>
        <w:tc>
          <w:tcPr>
            <w:tcW w:w="613" w:type="dxa"/>
            <w:vMerge w:val="continue"/>
            <w:shd w:val="clear" w:color="auto" w:fill="FFFFFF"/>
            <w:vAlign w:val="center"/>
          </w:tcPr>
          <w:p>
            <w:pPr>
              <w:spacing w:line="0" w:lineRule="atLeast"/>
              <w:jc w:val="center"/>
              <w:rPr>
                <w:rFonts w:ascii="仿宋" w:hAnsi="仿宋" w:eastAsia="仿宋" w:cs="宋体"/>
                <w:color w:val="000000"/>
              </w:rPr>
            </w:pPr>
          </w:p>
        </w:tc>
        <w:tc>
          <w:tcPr>
            <w:tcW w:w="545" w:type="dxa"/>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预算执行率</w:t>
            </w:r>
          </w:p>
        </w:tc>
        <w:tc>
          <w:tcPr>
            <w:tcW w:w="2061" w:type="dxa"/>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项目预算资金是否按照计划执行，用以反映或考核项目预算执行情况。</w:t>
            </w:r>
          </w:p>
        </w:tc>
        <w:tc>
          <w:tcPr>
            <w:tcW w:w="2657" w:type="dxa"/>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预算执行率=（实际支出资金/实际到位资金）×100%。</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实际支出资金：一定时期（本年度或项目期）内项目实际拨付的资金。</w:t>
            </w:r>
          </w:p>
        </w:tc>
        <w:tc>
          <w:tcPr>
            <w:tcW w:w="2633" w:type="dxa"/>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90%≤比率≤100%得满分，每超出或减少该区间1%，扣权重分的5%，扣完为止。</w:t>
            </w:r>
          </w:p>
        </w:tc>
        <w:tc>
          <w:tcPr>
            <w:tcW w:w="850" w:type="dxa"/>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6" w:hRule="atLeast"/>
          <w:jc w:val="center"/>
        </w:trPr>
        <w:tc>
          <w:tcPr>
            <w:tcW w:w="771" w:type="dxa"/>
            <w:vMerge w:val="restar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　</w:t>
            </w:r>
          </w:p>
          <w:p>
            <w:pPr>
              <w:spacing w:line="0" w:lineRule="atLeast"/>
              <w:jc w:val="center"/>
              <w:rPr>
                <w:rFonts w:ascii="仿宋" w:hAnsi="仿宋" w:eastAsia="仿宋" w:cs="宋体"/>
                <w:color w:val="000000"/>
              </w:rPr>
            </w:pPr>
            <w:r>
              <w:rPr>
                <w:rFonts w:hint="eastAsia" w:ascii="仿宋" w:hAnsi="仿宋" w:eastAsia="仿宋" w:cs="宋体"/>
                <w:color w:val="000000"/>
              </w:rPr>
              <w:t>过程　</w:t>
            </w:r>
          </w:p>
        </w:tc>
        <w:tc>
          <w:tcPr>
            <w:tcW w:w="613" w:type="dxa"/>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资金管理</w:t>
            </w:r>
          </w:p>
        </w:tc>
        <w:tc>
          <w:tcPr>
            <w:tcW w:w="545" w:type="dxa"/>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资金使用</w:t>
            </w:r>
          </w:p>
          <w:p>
            <w:pPr>
              <w:widowControl/>
              <w:spacing w:line="0" w:lineRule="atLeast"/>
              <w:jc w:val="center"/>
              <w:rPr>
                <w:rFonts w:ascii="仿宋" w:hAnsi="仿宋" w:eastAsia="仿宋" w:cs="宋体"/>
                <w:color w:val="000000"/>
              </w:rPr>
            </w:pPr>
            <w:r>
              <w:rPr>
                <w:rFonts w:hint="eastAsia" w:ascii="仿宋" w:hAnsi="仿宋" w:eastAsia="仿宋" w:cs="宋体"/>
                <w:color w:val="000000"/>
              </w:rPr>
              <w:t>合规性</w:t>
            </w:r>
          </w:p>
        </w:tc>
        <w:tc>
          <w:tcPr>
            <w:tcW w:w="2061"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项目资金使用是否符合相关的财务管理制度规定，用以反映和考核项目资金的规范运行情况。</w:t>
            </w:r>
          </w:p>
        </w:tc>
        <w:tc>
          <w:tcPr>
            <w:tcW w:w="2657"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评价要点：</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①是否符合国家财经法规和财务管理制度以及有关专项资金管理办法的规定；</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②资金的拨付是否有完整的审批程序和手续；</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③是否符合项目预算批复或合同规定的用途；</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④是否存在截留、挤占、挪用、虚列支出等情况。</w:t>
            </w:r>
          </w:p>
        </w:tc>
        <w:tc>
          <w:tcPr>
            <w:tcW w:w="2633"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符合财务管理制度以及有关专项资金管理办法的规定；②资金的拨付有完整的审批程序和手续；③不存在截留、挤占、挪用、虚列支出等情况；以上各项占权重分的1/3，每出现一项不符扣相应权重分，扣完权重分为止。</w:t>
            </w:r>
          </w:p>
        </w:tc>
        <w:tc>
          <w:tcPr>
            <w:tcW w:w="850"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09" w:hRule="atLeast"/>
          <w:jc w:val="center"/>
        </w:trPr>
        <w:tc>
          <w:tcPr>
            <w:tcW w:w="771" w:type="dxa"/>
            <w:vMerge w:val="continue"/>
            <w:shd w:val="clear" w:color="auto" w:fill="FFFFFF"/>
            <w:vAlign w:val="center"/>
          </w:tcPr>
          <w:p>
            <w:pPr>
              <w:spacing w:line="0" w:lineRule="atLeast"/>
              <w:jc w:val="center"/>
              <w:rPr>
                <w:rFonts w:ascii="仿宋" w:hAnsi="仿宋" w:eastAsia="仿宋" w:cs="宋体"/>
                <w:color w:val="000000"/>
              </w:rPr>
            </w:pPr>
          </w:p>
        </w:tc>
        <w:tc>
          <w:tcPr>
            <w:tcW w:w="613" w:type="dxa"/>
            <w:vMerge w:val="restar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组织实施</w:t>
            </w:r>
          </w:p>
          <w:p>
            <w:pPr>
              <w:spacing w:line="0" w:lineRule="atLeast"/>
              <w:jc w:val="center"/>
              <w:rPr>
                <w:rFonts w:ascii="仿宋" w:hAnsi="仿宋" w:eastAsia="仿宋" w:cs="宋体"/>
                <w:color w:val="000000"/>
              </w:rPr>
            </w:pPr>
            <w:r>
              <w:rPr>
                <w:rFonts w:hint="eastAsia" w:ascii="仿宋" w:hAnsi="仿宋" w:eastAsia="仿宋" w:cs="宋体"/>
                <w:color w:val="000000"/>
              </w:rPr>
              <w:t>　</w:t>
            </w:r>
          </w:p>
        </w:tc>
        <w:tc>
          <w:tcPr>
            <w:tcW w:w="545" w:type="dxa"/>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管理制度</w:t>
            </w:r>
          </w:p>
          <w:p>
            <w:pPr>
              <w:widowControl/>
              <w:spacing w:line="0" w:lineRule="atLeast"/>
              <w:jc w:val="center"/>
              <w:rPr>
                <w:rFonts w:ascii="仿宋" w:hAnsi="仿宋" w:eastAsia="仿宋" w:cs="宋体"/>
                <w:color w:val="000000"/>
              </w:rPr>
            </w:pPr>
            <w:r>
              <w:rPr>
                <w:rFonts w:hint="eastAsia" w:ascii="仿宋" w:hAnsi="仿宋" w:eastAsia="仿宋" w:cs="宋体"/>
                <w:color w:val="000000"/>
              </w:rPr>
              <w:t>健全性</w:t>
            </w:r>
          </w:p>
        </w:tc>
        <w:tc>
          <w:tcPr>
            <w:tcW w:w="2061"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项目实施单位的财务和业务管理制度是否健全，用以反映和考核财务和业务管理制度对项目顺利实施的保障情况。</w:t>
            </w:r>
          </w:p>
        </w:tc>
        <w:tc>
          <w:tcPr>
            <w:tcW w:w="2657"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评价要点：</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①是否已制定或具有相应的财务和业务管理制度；</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②财务和业务管理制度是否合法、合规、完整。</w:t>
            </w:r>
          </w:p>
        </w:tc>
        <w:tc>
          <w:tcPr>
            <w:tcW w:w="2633"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①已制定或具有相应的财务和业务管理制度，得3分；②财务和业务管理制度合法、合规、完整，得3分。</w:t>
            </w:r>
          </w:p>
        </w:tc>
        <w:tc>
          <w:tcPr>
            <w:tcW w:w="850"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6" w:hRule="atLeast"/>
          <w:jc w:val="center"/>
        </w:trPr>
        <w:tc>
          <w:tcPr>
            <w:tcW w:w="771" w:type="dxa"/>
            <w:vMerge w:val="continue"/>
            <w:shd w:val="clear" w:color="auto" w:fill="FFFFFF"/>
            <w:vAlign w:val="center"/>
          </w:tcPr>
          <w:p>
            <w:pPr>
              <w:widowControl/>
              <w:spacing w:line="0" w:lineRule="atLeast"/>
              <w:jc w:val="center"/>
              <w:rPr>
                <w:rFonts w:ascii="仿宋" w:hAnsi="仿宋" w:eastAsia="仿宋" w:cs="宋体"/>
                <w:color w:val="000000"/>
              </w:rPr>
            </w:pPr>
          </w:p>
        </w:tc>
        <w:tc>
          <w:tcPr>
            <w:tcW w:w="613" w:type="dxa"/>
            <w:vMerge w:val="continue"/>
            <w:shd w:val="clear" w:color="auto" w:fill="FFFFFF"/>
            <w:vAlign w:val="center"/>
          </w:tcPr>
          <w:p>
            <w:pPr>
              <w:widowControl/>
              <w:spacing w:line="0" w:lineRule="atLeast"/>
              <w:jc w:val="center"/>
              <w:rPr>
                <w:rFonts w:ascii="仿宋" w:hAnsi="仿宋" w:eastAsia="仿宋" w:cs="宋体"/>
                <w:color w:val="000000"/>
              </w:rPr>
            </w:pPr>
          </w:p>
        </w:tc>
        <w:tc>
          <w:tcPr>
            <w:tcW w:w="545" w:type="dxa"/>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制度执行</w:t>
            </w:r>
          </w:p>
          <w:p>
            <w:pPr>
              <w:widowControl/>
              <w:spacing w:line="0" w:lineRule="atLeast"/>
              <w:jc w:val="center"/>
              <w:rPr>
                <w:rFonts w:ascii="仿宋" w:hAnsi="仿宋" w:eastAsia="仿宋" w:cs="宋体"/>
                <w:color w:val="000000"/>
              </w:rPr>
            </w:pPr>
            <w:r>
              <w:rPr>
                <w:rFonts w:hint="eastAsia" w:ascii="仿宋" w:hAnsi="仿宋" w:eastAsia="仿宋" w:cs="宋体"/>
                <w:color w:val="000000"/>
              </w:rPr>
              <w:t>有效性</w:t>
            </w:r>
          </w:p>
        </w:tc>
        <w:tc>
          <w:tcPr>
            <w:tcW w:w="2061"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项目实施是否符合相关管理规定，用以反映和考核相关管理制度的有效执行情况。</w:t>
            </w:r>
          </w:p>
        </w:tc>
        <w:tc>
          <w:tcPr>
            <w:tcW w:w="2657"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评价要点：</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①是否遵守相关法律法规和相关管理规定；</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②项目调整及支出调整手续是否完备；</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③项目合同书、验收报告、技术鉴定等资料是否齐全并及时归档；</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④项目实施的人员条件、场地设备、信息支撑等是否落实到位。</w:t>
            </w:r>
          </w:p>
        </w:tc>
        <w:tc>
          <w:tcPr>
            <w:tcW w:w="2633"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①配有专门的财务监控人员；②遵守相关法律法规和相关管理规定；③支出调整及支出调整手续是否完备；以上各项占权重分的1/3，每出现一项不符扣相应权重分，扣完权重分为止。</w:t>
            </w:r>
          </w:p>
        </w:tc>
        <w:tc>
          <w:tcPr>
            <w:tcW w:w="850"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17" w:hRule="atLeast"/>
          <w:jc w:val="center"/>
        </w:trPr>
        <w:tc>
          <w:tcPr>
            <w:tcW w:w="771" w:type="dxa"/>
            <w:shd w:val="clear" w:color="auto" w:fill="FFFFFF"/>
            <w:vAlign w:val="center"/>
          </w:tcPr>
          <w:p>
            <w:pPr>
              <w:widowControl/>
              <w:spacing w:line="0" w:lineRule="atLeast"/>
              <w:jc w:val="center"/>
              <w:rPr>
                <w:rFonts w:ascii="仿宋" w:hAnsi="仿宋" w:eastAsia="仿宋" w:cs="宋体"/>
                <w:color w:val="000000"/>
                <w:lang w:eastAsia="zh-CN"/>
              </w:rPr>
            </w:pPr>
            <w:r>
              <w:rPr>
                <w:rFonts w:hint="eastAsia" w:ascii="仿宋" w:hAnsi="仿宋" w:eastAsia="仿宋" w:cs="宋体"/>
                <w:color w:val="000000"/>
              </w:rPr>
              <w:t>产出</w:t>
            </w:r>
            <w:r>
              <w:rPr>
                <w:rFonts w:hint="eastAsia" w:ascii="仿宋" w:hAnsi="仿宋" w:eastAsia="仿宋" w:cs="宋体"/>
                <w:color w:val="000000"/>
                <w:lang w:eastAsia="zh-CN"/>
              </w:rPr>
              <w:t>（40）</w:t>
            </w:r>
          </w:p>
        </w:tc>
        <w:tc>
          <w:tcPr>
            <w:tcW w:w="613" w:type="dxa"/>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产出数量</w:t>
            </w:r>
          </w:p>
        </w:tc>
        <w:tc>
          <w:tcPr>
            <w:tcW w:w="545" w:type="dxa"/>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实际完成率</w:t>
            </w:r>
          </w:p>
        </w:tc>
        <w:tc>
          <w:tcPr>
            <w:tcW w:w="2061"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项目实施的实际产出数与计划产出数的比率，用以反映和考核项目产出数量目标的实现程度。</w:t>
            </w:r>
          </w:p>
        </w:tc>
        <w:tc>
          <w:tcPr>
            <w:tcW w:w="2657"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实际完成率=（实际产出数/计划产出数）×100%。</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实际产出数：一定时期（本年度或项目期）内项目实际产出的产品或提供的服务数量。</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计划产出数：项目绩效目标确定的在一定时期（本年度或项目期）内计划产出的产品或提供的服务数量。</w:t>
            </w:r>
          </w:p>
        </w:tc>
        <w:tc>
          <w:tcPr>
            <w:tcW w:w="2633"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①按要求完成单位计划数量；②完成计划数量的100%；③完成计划规定数量；以上各项完成率各占权重分的1/3，每出现一项完成率未达100%扣相应权重分，扣完权重分为止。</w:t>
            </w:r>
          </w:p>
        </w:tc>
        <w:tc>
          <w:tcPr>
            <w:tcW w:w="850" w:type="dxa"/>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10</w:t>
            </w:r>
          </w:p>
        </w:tc>
      </w:tr>
    </w:tbl>
    <w:p>
      <w:pPr>
        <w:pStyle w:val="3"/>
        <w:spacing w:before="0" w:after="120"/>
        <w:jc w:val="both"/>
        <w:rPr>
          <w:rFonts w:ascii="仿宋" w:hAnsi="仿宋" w:eastAsia="仿宋" w:cs="宋体"/>
          <w:color w:val="000000" w:themeColor="text1"/>
        </w:rPr>
      </w:pPr>
      <w:r>
        <w:rPr>
          <w:rFonts w:hint="eastAsia" w:ascii="仿宋" w:hAnsi="仿宋" w:eastAsia="仿宋" w:cs="宋体"/>
          <w:color w:val="000000" w:themeColor="text1"/>
        </w:rPr>
        <w:t>四、绩效评价指标分析</w:t>
      </w:r>
    </w:p>
    <w:p>
      <w:pPr>
        <w:spacing w:after="120" w:line="600" w:lineRule="exact"/>
        <w:ind w:firstLine="640" w:firstLineChars="200"/>
        <w:outlineLvl w:val="0"/>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（一）</w:t>
      </w:r>
      <w:r>
        <w:rPr>
          <w:rFonts w:hint="eastAsia" w:ascii="仿宋" w:hAnsi="仿宋" w:eastAsia="仿宋" w:cs="宋体"/>
          <w:b/>
          <w:color w:val="000000" w:themeColor="text1"/>
          <w:sz w:val="32"/>
          <w:szCs w:val="32"/>
        </w:rPr>
        <w:t>项目决策情况</w:t>
      </w:r>
      <w:r>
        <w:rPr>
          <w:rFonts w:hint="eastAsia" w:ascii="楷体" w:hAnsi="楷体" w:eastAsia="楷体" w:cs="宋体"/>
          <w:color w:val="000000" w:themeColor="text1"/>
          <w:sz w:val="32"/>
          <w:szCs w:val="32"/>
        </w:rPr>
        <w:t>。</w:t>
      </w:r>
    </w:p>
    <w:p>
      <w:pPr>
        <w:widowControl/>
        <w:shd w:val="clear" w:color="auto" w:fill="FFFFFF"/>
        <w:spacing w:before="75" w:after="75" w:line="360" w:lineRule="auto"/>
        <w:ind w:firstLine="640" w:firstLineChars="200"/>
        <w:rPr>
          <w:rFonts w:ascii="仿宋" w:hAnsi="仿宋" w:eastAsia="仿宋" w:cs="宋体"/>
          <w:color w:val="000000" w:themeColor="text1"/>
          <w:sz w:val="32"/>
          <w:szCs w:val="32"/>
          <w:lang w:eastAsia="zh-CN"/>
        </w:rPr>
      </w:pPr>
      <w:r>
        <w:rPr>
          <w:rFonts w:hint="eastAsia" w:ascii="仿宋" w:hAnsi="仿宋" w:eastAsia="仿宋" w:cs="宋体"/>
          <w:color w:val="000000" w:themeColor="text1"/>
          <w:sz w:val="32"/>
          <w:szCs w:val="32"/>
          <w:lang w:eastAsia="zh-CN"/>
        </w:rPr>
        <w:t>认真贯彻落实《中共中央办公厅 国务院办公厅关于做好当前信访工作的通知》（厅字〔2022〕15号）、《中共江西省委办公厅 江西省人民政府办公厅关于做好当前信访工作的通知》的精神。区委、区政府主要领导、分管领导分别作出批示，提出要求。区委信访工作联席会议办公室在充分调研的基础上，进一步认真分析当前信访形势，切实增强做好信访工作的政治责任感，对中央、省《通知》部署的信访工作分解任务，由区信访局班子成员分项督促联系，各乡镇、各部门按职责具体抓落实。同时，将此项工作纳入202</w:t>
      </w:r>
      <w:r>
        <w:rPr>
          <w:rFonts w:hint="eastAsia" w:ascii="仿宋" w:hAnsi="仿宋" w:eastAsia="仿宋" w:cs="宋体"/>
          <w:color w:val="000000" w:themeColor="text1"/>
          <w:sz w:val="32"/>
          <w:szCs w:val="32"/>
          <w:lang w:val="en-US" w:eastAsia="zh-CN"/>
        </w:rPr>
        <w:t>3</w:t>
      </w:r>
      <w:r>
        <w:rPr>
          <w:rFonts w:hint="eastAsia" w:ascii="仿宋" w:hAnsi="仿宋" w:eastAsia="仿宋" w:cs="宋体"/>
          <w:color w:val="000000" w:themeColor="text1"/>
          <w:sz w:val="32"/>
          <w:szCs w:val="32"/>
          <w:lang w:eastAsia="zh-CN"/>
        </w:rPr>
        <w:t>年度信访工作考核。</w:t>
      </w:r>
    </w:p>
    <w:p>
      <w:pPr>
        <w:spacing w:after="120" w:line="600" w:lineRule="exact"/>
        <w:ind w:firstLine="640" w:firstLineChars="200"/>
        <w:outlineLvl w:val="0"/>
        <w:rPr>
          <w:rFonts w:ascii="仿宋" w:hAnsi="仿宋" w:eastAsia="仿宋" w:cs="宋体"/>
          <w:color w:val="000000" w:themeColor="text1"/>
          <w:sz w:val="32"/>
          <w:szCs w:val="32"/>
          <w:lang w:eastAsia="zh-CN"/>
        </w:rPr>
      </w:pPr>
      <w:r>
        <w:rPr>
          <w:rFonts w:hint="eastAsia" w:ascii="仿宋" w:hAnsi="仿宋" w:eastAsia="仿宋" w:cs="宋体"/>
          <w:color w:val="000000" w:themeColor="text1"/>
          <w:sz w:val="32"/>
          <w:szCs w:val="32"/>
          <w:lang w:eastAsia="zh-CN"/>
        </w:rPr>
        <w:t>（二）</w:t>
      </w:r>
      <w:r>
        <w:rPr>
          <w:rFonts w:hint="eastAsia" w:ascii="楷体" w:hAnsi="楷体" w:eastAsia="楷体" w:cs="宋体"/>
          <w:color w:val="000000" w:themeColor="text1"/>
          <w:sz w:val="32"/>
          <w:szCs w:val="32"/>
          <w:lang w:eastAsia="zh-CN"/>
        </w:rPr>
        <w:t>项目过程情况</w:t>
      </w:r>
      <w:r>
        <w:rPr>
          <w:rFonts w:hint="eastAsia" w:ascii="仿宋" w:hAnsi="仿宋" w:eastAsia="仿宋" w:cs="宋体"/>
          <w:color w:val="000000" w:themeColor="text1"/>
          <w:sz w:val="32"/>
          <w:szCs w:val="32"/>
          <w:lang w:eastAsia="zh-CN"/>
        </w:rPr>
        <w:t>。</w:t>
      </w:r>
    </w:p>
    <w:p>
      <w:pPr>
        <w:widowControl/>
        <w:shd w:val="clear" w:color="auto" w:fill="FFFFFF"/>
        <w:spacing w:before="150" w:after="120" w:line="360" w:lineRule="auto"/>
        <w:ind w:firstLine="600"/>
        <w:jc w:val="both"/>
        <w:rPr>
          <w:rFonts w:ascii="仿宋" w:hAnsi="仿宋" w:eastAsia="仿宋" w:cs="宋体"/>
          <w:color w:val="000000" w:themeColor="text1"/>
          <w:sz w:val="32"/>
          <w:szCs w:val="32"/>
          <w:lang w:eastAsia="zh-CN"/>
        </w:rPr>
      </w:pPr>
      <w:r>
        <w:rPr>
          <w:rFonts w:hint="eastAsia" w:ascii="仿宋" w:hAnsi="仿宋" w:eastAsia="仿宋" w:cs="宋体"/>
          <w:color w:val="000000" w:themeColor="text1"/>
          <w:sz w:val="32"/>
          <w:szCs w:val="32"/>
          <w:shd w:val="clear" w:color="auto" w:fill="FFFFFF"/>
          <w:lang w:eastAsia="zh-CN"/>
        </w:rPr>
        <w:t>（1）制定项目绩效评价工作方案，工作方案包括项目绩效评价实施方案、评价指标体系及评价标准、基础数据表、绩效评价资料清单。项目小组对项目绩效评价相关事项进行讨论与研究，确定评价证据、数据来源及证据收集方法。</w:t>
      </w:r>
    </w:p>
    <w:p>
      <w:pPr>
        <w:widowControl/>
        <w:shd w:val="clear" w:color="auto" w:fill="FFFFFF"/>
        <w:spacing w:before="150" w:after="120" w:line="360" w:lineRule="auto"/>
        <w:ind w:firstLine="600"/>
        <w:jc w:val="both"/>
        <w:rPr>
          <w:rFonts w:ascii="仿宋" w:hAnsi="仿宋" w:eastAsia="仿宋" w:cs="宋体"/>
          <w:color w:val="000000" w:themeColor="text1"/>
          <w:sz w:val="32"/>
          <w:szCs w:val="32"/>
          <w:lang w:eastAsia="zh-CN"/>
        </w:rPr>
      </w:pPr>
      <w:r>
        <w:rPr>
          <w:rFonts w:hint="eastAsia" w:ascii="仿宋" w:hAnsi="仿宋" w:eastAsia="仿宋" w:cs="宋体"/>
          <w:color w:val="000000" w:themeColor="text1"/>
          <w:sz w:val="32"/>
          <w:szCs w:val="32"/>
          <w:shd w:val="clear" w:color="auto" w:fill="FFFFFF"/>
          <w:lang w:eastAsia="zh-CN"/>
        </w:rPr>
        <w:t>（2）根据制定的项目绩效评价工作方案，收集项目情况实施材料，通过现场评价方法进行绩效评价，包括收集、审核基础资料；开展现场核查，核实各项目是否实施以及项目实施情况是否良好，并进行拍照留痕；对收集的证据运用科学的方法进行综合分析。</w:t>
      </w:r>
    </w:p>
    <w:p>
      <w:pPr>
        <w:widowControl/>
        <w:shd w:val="clear" w:color="auto" w:fill="FFFFFF"/>
        <w:spacing w:before="150" w:after="120" w:line="360" w:lineRule="auto"/>
        <w:ind w:firstLine="600"/>
        <w:jc w:val="both"/>
        <w:rPr>
          <w:rFonts w:ascii="仿宋" w:hAnsi="仿宋" w:eastAsia="仿宋" w:cs="宋体"/>
          <w:color w:val="000000" w:themeColor="text1"/>
          <w:sz w:val="32"/>
          <w:szCs w:val="32"/>
          <w:lang w:eastAsia="zh-CN"/>
        </w:rPr>
      </w:pPr>
      <w:r>
        <w:rPr>
          <w:rFonts w:hint="eastAsia" w:ascii="仿宋" w:hAnsi="仿宋" w:eastAsia="仿宋" w:cs="宋体"/>
          <w:color w:val="000000" w:themeColor="text1"/>
          <w:sz w:val="32"/>
          <w:szCs w:val="32"/>
          <w:shd w:val="clear" w:color="auto" w:fill="FFFFFF"/>
          <w:lang w:eastAsia="zh-CN"/>
        </w:rPr>
        <w:t>（3）根据分析后的情况评分，形成综合评价结果，将评价结果纳入已确定的各项指标临界区间进行比较，确定绩效评价等级（优、良、中、差）</w:t>
      </w:r>
    </w:p>
    <w:p>
      <w:pPr>
        <w:widowControl/>
        <w:shd w:val="clear" w:color="auto" w:fill="FFFFFF"/>
        <w:spacing w:before="150" w:after="120" w:line="360" w:lineRule="auto"/>
        <w:ind w:firstLine="600"/>
        <w:jc w:val="both"/>
        <w:rPr>
          <w:rFonts w:ascii="仿宋" w:hAnsi="仿宋" w:eastAsia="仿宋" w:cs="宋体"/>
          <w:color w:val="000000" w:themeColor="text1"/>
          <w:sz w:val="32"/>
          <w:szCs w:val="32"/>
          <w:shd w:val="clear" w:color="auto" w:fill="FFFFFF"/>
          <w:lang w:eastAsia="zh-CN"/>
        </w:rPr>
      </w:pPr>
      <w:r>
        <w:rPr>
          <w:rFonts w:hint="eastAsia" w:ascii="仿宋" w:hAnsi="仿宋" w:eastAsia="仿宋" w:cs="宋体"/>
          <w:color w:val="000000" w:themeColor="text1"/>
          <w:sz w:val="32"/>
          <w:szCs w:val="32"/>
          <w:shd w:val="clear" w:color="auto" w:fill="FFFFFF"/>
          <w:lang w:eastAsia="zh-CN"/>
        </w:rPr>
        <w:t>（4）对项目评价工作进行总结，将项目的基本情况、绩效评价工作情况、评价分析及评价结果、评价等级、经验及做法、问题及建议等形成书面报告，向主管部门汇报。</w:t>
      </w:r>
    </w:p>
    <w:p>
      <w:pPr>
        <w:spacing w:after="120" w:line="600" w:lineRule="exact"/>
        <w:ind w:firstLine="640" w:firstLineChars="200"/>
        <w:outlineLvl w:val="0"/>
        <w:rPr>
          <w:rFonts w:ascii="仿宋" w:hAnsi="仿宋" w:eastAsia="仿宋" w:cs="宋体"/>
          <w:color w:val="000000" w:themeColor="text1"/>
          <w:sz w:val="32"/>
          <w:szCs w:val="32"/>
          <w:lang w:eastAsia="zh-CN"/>
        </w:rPr>
      </w:pPr>
      <w:r>
        <w:rPr>
          <w:rFonts w:hint="eastAsia" w:ascii="仿宋" w:hAnsi="仿宋" w:eastAsia="仿宋" w:cs="宋体"/>
          <w:color w:val="000000" w:themeColor="text1"/>
          <w:sz w:val="32"/>
          <w:szCs w:val="32"/>
          <w:lang w:eastAsia="zh-CN"/>
        </w:rPr>
        <w:t>（三）项目产出情况。</w:t>
      </w:r>
    </w:p>
    <w:p>
      <w:pPr>
        <w:pStyle w:val="5"/>
        <w:widowControl/>
        <w:spacing w:before="300" w:after="120" w:line="560" w:lineRule="atLeast"/>
        <w:jc w:val="both"/>
        <w:rPr>
          <w:rFonts w:ascii="仿宋" w:hAnsi="仿宋" w:eastAsia="仿宋" w:cs="宋体"/>
          <w:color w:val="000000" w:themeColor="text1"/>
          <w:kern w:val="2"/>
          <w:sz w:val="32"/>
          <w:szCs w:val="32"/>
          <w:shd w:val="clear" w:color="auto" w:fill="FFFFFF"/>
        </w:rPr>
      </w:pPr>
      <w:r>
        <w:rPr>
          <w:rFonts w:hint="eastAsia" w:ascii="仿宋" w:hAnsi="仿宋" w:eastAsia="仿宋" w:cs="宋体"/>
          <w:color w:val="000000" w:themeColor="text1"/>
          <w:kern w:val="2"/>
          <w:sz w:val="32"/>
          <w:szCs w:val="32"/>
          <w:shd w:val="clear" w:color="auto" w:fill="FFFFFF"/>
        </w:rPr>
        <w:t>1、</w:t>
      </w:r>
      <w:r>
        <w:rPr>
          <w:rFonts w:hint="eastAsia" w:ascii="仿宋" w:hAnsi="仿宋" w:eastAsia="仿宋" w:cs="宋体"/>
          <w:b/>
          <w:color w:val="000000" w:themeColor="text1"/>
          <w:kern w:val="2"/>
          <w:sz w:val="32"/>
          <w:szCs w:val="32"/>
          <w:shd w:val="clear" w:color="auto" w:fill="FFFFFF"/>
        </w:rPr>
        <w:t>评价结论</w:t>
      </w:r>
    </w:p>
    <w:p>
      <w:pPr>
        <w:pStyle w:val="5"/>
        <w:widowControl/>
        <w:spacing w:before="300" w:after="120" w:line="560" w:lineRule="atLeast"/>
        <w:ind w:firstLine="640"/>
        <w:jc w:val="both"/>
        <w:rPr>
          <w:rFonts w:ascii="仿宋" w:hAnsi="仿宋" w:eastAsia="仿宋" w:cs="宋体"/>
          <w:color w:val="000000" w:themeColor="text1"/>
          <w:sz w:val="32"/>
          <w:szCs w:val="32"/>
        </w:rPr>
      </w:pPr>
      <w:r>
        <w:rPr>
          <w:rFonts w:hint="eastAsia" w:ascii="仿宋" w:hAnsi="仿宋" w:eastAsia="仿宋" w:cs="宋体"/>
          <w:color w:val="000000" w:themeColor="text1"/>
          <w:kern w:val="2"/>
          <w:sz w:val="32"/>
          <w:szCs w:val="32"/>
          <w:shd w:val="clear" w:color="auto" w:fill="FFFFFF"/>
        </w:rPr>
        <w:t>昌江区信访局严格按照昌江区财政局《关于开展2022年度预算单位预算绩效管理工作的通知》的要求，根据细化的各项指标，针对完成情况进行了评估，确保绩效评价能充分反映成效，为来年的项目实施提供第一手的参考信息，为实施过程中的一些存在问题提供有效的解决方案。</w:t>
      </w:r>
    </w:p>
    <w:p>
      <w:pPr>
        <w:pStyle w:val="5"/>
        <w:widowControl/>
        <w:spacing w:before="300" w:after="120" w:line="560" w:lineRule="atLeast"/>
        <w:ind w:firstLine="640"/>
        <w:jc w:val="both"/>
        <w:rPr>
          <w:rFonts w:ascii="仿宋" w:hAnsi="仿宋" w:eastAsia="仿宋" w:cs="宋体"/>
          <w:color w:val="000000" w:themeColor="text1"/>
          <w:kern w:val="2"/>
          <w:sz w:val="32"/>
          <w:szCs w:val="32"/>
          <w:shd w:val="clear" w:color="auto" w:fill="FFFFFF"/>
        </w:rPr>
      </w:pPr>
      <w:r>
        <w:rPr>
          <w:rFonts w:hint="eastAsia" w:ascii="仿宋" w:hAnsi="仿宋" w:eastAsia="仿宋" w:cs="宋体"/>
          <w:color w:val="000000" w:themeColor="text1"/>
          <w:kern w:val="2"/>
          <w:sz w:val="32"/>
          <w:szCs w:val="32"/>
          <w:shd w:val="clear" w:color="auto" w:fill="FFFFFF"/>
        </w:rPr>
        <w:t>在绩效自评工作中，昌江区信访局各部门科室能分工协作，通过组织调研、数据测算，准确地计算出各项指标的实际得分，并对测算结果进行了细致的复核，形成最终的评价结果。</w:t>
      </w:r>
    </w:p>
    <w:p>
      <w:pPr>
        <w:pStyle w:val="5"/>
        <w:widowControl/>
        <w:spacing w:before="300" w:after="120" w:line="560" w:lineRule="atLeast"/>
        <w:ind w:firstLine="640"/>
        <w:jc w:val="both"/>
        <w:rPr>
          <w:rFonts w:ascii="仿宋" w:hAnsi="仿宋" w:eastAsia="仿宋" w:cs="宋体"/>
          <w:color w:val="000000" w:themeColor="text1"/>
          <w:kern w:val="2"/>
          <w:sz w:val="32"/>
          <w:szCs w:val="32"/>
          <w:shd w:val="clear" w:color="auto" w:fill="FFFFFF"/>
        </w:rPr>
      </w:pPr>
      <w:r>
        <w:rPr>
          <w:rFonts w:hint="eastAsia" w:ascii="仿宋" w:hAnsi="仿宋" w:eastAsia="仿宋" w:cs="宋体"/>
          <w:color w:val="000000" w:themeColor="text1"/>
          <w:kern w:val="2"/>
          <w:sz w:val="32"/>
          <w:szCs w:val="32"/>
          <w:shd w:val="clear" w:color="auto" w:fill="FFFFFF"/>
        </w:rPr>
        <w:t>2、</w:t>
      </w:r>
      <w:r>
        <w:rPr>
          <w:rFonts w:hint="eastAsia" w:ascii="仿宋" w:hAnsi="仿宋" w:eastAsia="仿宋" w:cs="宋体"/>
          <w:b/>
          <w:color w:val="000000" w:themeColor="text1"/>
          <w:kern w:val="2"/>
          <w:sz w:val="32"/>
          <w:szCs w:val="32"/>
          <w:shd w:val="clear" w:color="auto" w:fill="FFFFFF"/>
        </w:rPr>
        <w:t>评价情况</w:t>
      </w:r>
    </w:p>
    <w:p>
      <w:pPr>
        <w:pStyle w:val="5"/>
        <w:widowControl/>
        <w:spacing w:before="300" w:after="120" w:line="560" w:lineRule="atLeast"/>
        <w:ind w:firstLine="640"/>
        <w:jc w:val="both"/>
        <w:rPr>
          <w:rFonts w:ascii="仿宋" w:hAnsi="仿宋" w:eastAsia="仿宋" w:cs="宋体"/>
          <w:color w:val="000000" w:themeColor="text1"/>
          <w:sz w:val="32"/>
          <w:szCs w:val="32"/>
        </w:rPr>
      </w:pPr>
      <w:r>
        <w:rPr>
          <w:rFonts w:hint="eastAsia" w:ascii="仿宋" w:hAnsi="仿宋" w:eastAsia="仿宋" w:cs="宋体"/>
          <w:color w:val="000000" w:themeColor="text1"/>
          <w:kern w:val="2"/>
          <w:sz w:val="32"/>
          <w:szCs w:val="32"/>
          <w:shd w:val="clear" w:color="auto" w:fill="FFFFFF"/>
        </w:rPr>
        <w:t>资金到位及项目实施的时效情况总体良好，得满分。</w:t>
      </w:r>
    </w:p>
    <w:p>
      <w:pPr>
        <w:pStyle w:val="5"/>
        <w:widowControl/>
        <w:spacing w:before="300" w:after="120" w:line="560" w:lineRule="atLeast"/>
        <w:ind w:firstLine="640"/>
        <w:jc w:val="both"/>
        <w:rPr>
          <w:rFonts w:ascii="仿宋" w:hAnsi="仿宋" w:eastAsia="仿宋" w:cs="宋体"/>
          <w:color w:val="000000" w:themeColor="text1"/>
          <w:sz w:val="32"/>
          <w:szCs w:val="32"/>
        </w:rPr>
      </w:pPr>
      <w:r>
        <w:rPr>
          <w:rFonts w:hint="eastAsia" w:ascii="仿宋" w:hAnsi="仿宋" w:eastAsia="仿宋" w:cs="宋体"/>
          <w:color w:val="000000" w:themeColor="text1"/>
          <w:kern w:val="2"/>
          <w:sz w:val="32"/>
          <w:szCs w:val="32"/>
          <w:shd w:val="clear" w:color="auto" w:fill="FFFFFF"/>
        </w:rPr>
        <w:t>项目立项中，目标的合理性、绩效指标完成率、项目立项规范性情况良好，均为满分,绩效指标的明确性满分分。</w:t>
      </w:r>
    </w:p>
    <w:p>
      <w:pPr>
        <w:pStyle w:val="5"/>
        <w:widowControl/>
        <w:spacing w:before="300" w:after="120" w:line="560" w:lineRule="atLeast"/>
        <w:ind w:firstLine="640"/>
        <w:jc w:val="both"/>
        <w:rPr>
          <w:rFonts w:ascii="仿宋" w:hAnsi="仿宋" w:eastAsia="仿宋" w:cs="宋体"/>
          <w:color w:val="000000" w:themeColor="text1"/>
          <w:sz w:val="32"/>
          <w:szCs w:val="32"/>
        </w:rPr>
      </w:pPr>
      <w:r>
        <w:rPr>
          <w:rFonts w:hint="eastAsia" w:ascii="仿宋" w:hAnsi="仿宋" w:eastAsia="仿宋" w:cs="宋体"/>
          <w:color w:val="000000" w:themeColor="text1"/>
          <w:kern w:val="2"/>
          <w:sz w:val="32"/>
          <w:szCs w:val="32"/>
          <w:shd w:val="clear" w:color="auto" w:fill="FFFFFF"/>
        </w:rPr>
        <w:t>资金落实方面，成本控制率、到位及时率、财政投入乘数完成情况良好，均为满分；资金使用率满分分。</w:t>
      </w:r>
    </w:p>
    <w:p>
      <w:pPr>
        <w:pStyle w:val="5"/>
        <w:widowControl/>
        <w:spacing w:before="300" w:after="120" w:line="560" w:lineRule="atLeast"/>
        <w:ind w:firstLine="640"/>
        <w:jc w:val="both"/>
        <w:rPr>
          <w:rFonts w:ascii="仿宋" w:hAnsi="仿宋" w:eastAsia="仿宋" w:cs="宋体"/>
          <w:color w:val="000000" w:themeColor="text1"/>
          <w:sz w:val="32"/>
          <w:szCs w:val="32"/>
        </w:rPr>
      </w:pPr>
      <w:r>
        <w:rPr>
          <w:rFonts w:hint="eastAsia" w:ascii="仿宋" w:hAnsi="仿宋" w:eastAsia="仿宋" w:cs="宋体"/>
          <w:color w:val="000000" w:themeColor="text1"/>
          <w:kern w:val="2"/>
          <w:sz w:val="32"/>
          <w:szCs w:val="32"/>
          <w:shd w:val="clear" w:color="auto" w:fill="FFFFFF"/>
        </w:rPr>
        <w:t>在业务管理、财务管理、会计信息管理方面，执行情况良好。</w:t>
      </w:r>
    </w:p>
    <w:p>
      <w:pPr>
        <w:pStyle w:val="5"/>
        <w:widowControl/>
        <w:spacing w:before="300" w:after="120" w:line="560" w:lineRule="atLeast"/>
        <w:ind w:firstLine="640"/>
        <w:jc w:val="both"/>
        <w:rPr>
          <w:rFonts w:ascii="仿宋" w:hAnsi="仿宋" w:eastAsia="仿宋" w:cs="宋体"/>
          <w:color w:val="000000" w:themeColor="text1"/>
          <w:sz w:val="32"/>
          <w:szCs w:val="32"/>
        </w:rPr>
      </w:pPr>
      <w:r>
        <w:rPr>
          <w:rFonts w:hint="eastAsia" w:ascii="仿宋" w:hAnsi="仿宋" w:eastAsia="仿宋" w:cs="宋体"/>
          <w:color w:val="000000" w:themeColor="text1"/>
          <w:kern w:val="2"/>
          <w:sz w:val="32"/>
          <w:szCs w:val="32"/>
          <w:shd w:val="clear" w:color="auto" w:fill="FFFFFF"/>
        </w:rPr>
        <w:t>在产出的数量、效益方面，档案馆总体情况良好，均达到或超过了期初制定的绩效目标值，项目效益满分。</w:t>
      </w:r>
    </w:p>
    <w:p>
      <w:pPr>
        <w:pStyle w:val="5"/>
        <w:widowControl/>
        <w:spacing w:before="300" w:after="120" w:line="560" w:lineRule="atLeast"/>
        <w:ind w:firstLine="640"/>
        <w:jc w:val="both"/>
        <w:rPr>
          <w:rFonts w:ascii="仿宋" w:hAnsi="仿宋" w:eastAsia="仿宋" w:cs="宋体"/>
          <w:color w:val="000000" w:themeColor="text1"/>
          <w:kern w:val="2"/>
          <w:sz w:val="32"/>
          <w:szCs w:val="32"/>
          <w:shd w:val="clear" w:color="auto" w:fill="FFFFFF"/>
        </w:rPr>
      </w:pPr>
      <w:r>
        <w:rPr>
          <w:rFonts w:hint="eastAsia" w:ascii="仿宋" w:hAnsi="仿宋" w:eastAsia="仿宋" w:cs="宋体"/>
          <w:color w:val="000000" w:themeColor="text1"/>
          <w:kern w:val="2"/>
          <w:sz w:val="32"/>
          <w:szCs w:val="32"/>
          <w:shd w:val="clear" w:color="auto" w:fill="FFFFFF"/>
        </w:rPr>
        <w:t>3、</w:t>
      </w:r>
      <w:r>
        <w:rPr>
          <w:rFonts w:hint="eastAsia" w:ascii="仿宋" w:hAnsi="仿宋" w:eastAsia="仿宋" w:cs="宋体"/>
          <w:b/>
          <w:color w:val="000000" w:themeColor="text1"/>
          <w:kern w:val="2"/>
          <w:sz w:val="32"/>
          <w:szCs w:val="32"/>
          <w:shd w:val="clear" w:color="auto" w:fill="FFFFFF"/>
        </w:rPr>
        <w:t>总体评价</w:t>
      </w:r>
    </w:p>
    <w:p>
      <w:pPr>
        <w:pStyle w:val="5"/>
        <w:widowControl/>
        <w:spacing w:before="300" w:after="120" w:line="560" w:lineRule="atLeast"/>
        <w:ind w:firstLine="640"/>
        <w:jc w:val="both"/>
        <w:rPr>
          <w:rFonts w:ascii="仿宋" w:hAnsi="仿宋" w:eastAsia="仿宋" w:cs="宋体"/>
          <w:color w:val="000000" w:themeColor="text1"/>
          <w:sz w:val="32"/>
          <w:szCs w:val="32"/>
        </w:rPr>
      </w:pPr>
      <w:r>
        <w:rPr>
          <w:rFonts w:hint="eastAsia" w:ascii="仿宋" w:hAnsi="仿宋" w:eastAsia="仿宋" w:cs="宋体"/>
          <w:color w:val="000000" w:themeColor="text1"/>
          <w:kern w:val="2"/>
          <w:sz w:val="32"/>
          <w:szCs w:val="32"/>
          <w:shd w:val="clear" w:color="auto" w:fill="FFFFFF"/>
        </w:rPr>
        <w:t>通过项目的实施，产出的数量、质量普遍达到了预期。这离不开领导的重视与各部门科室间的通力配合。2020年我们还将一如既往地坚持本年团结协作的方针，协调各部门科室的权责，进一步做好规划，切实执行，争取更好的成效。</w:t>
      </w:r>
    </w:p>
    <w:p>
      <w:pPr>
        <w:spacing w:after="120" w:line="600" w:lineRule="exact"/>
        <w:rPr>
          <w:rFonts w:ascii="仿宋" w:hAnsi="仿宋" w:eastAsia="仿宋" w:cs="宋体"/>
          <w:color w:val="000000" w:themeColor="text1"/>
          <w:sz w:val="32"/>
          <w:szCs w:val="32"/>
          <w:lang w:eastAsia="zh-CN"/>
        </w:rPr>
      </w:pPr>
      <w:r>
        <w:rPr>
          <w:rFonts w:hint="eastAsia" w:ascii="仿宋" w:hAnsi="仿宋" w:eastAsia="仿宋" w:cs="宋体"/>
          <w:color w:val="000000" w:themeColor="text1"/>
          <w:sz w:val="32"/>
          <w:szCs w:val="32"/>
          <w:lang w:eastAsia="zh-CN"/>
        </w:rPr>
        <w:t>四、</w:t>
      </w:r>
      <w:r>
        <w:rPr>
          <w:rFonts w:hint="eastAsia" w:ascii="楷体" w:hAnsi="楷体" w:eastAsia="楷体" w:cs="宋体"/>
          <w:color w:val="000000" w:themeColor="text1"/>
          <w:sz w:val="32"/>
          <w:szCs w:val="32"/>
          <w:lang w:eastAsia="zh-CN"/>
        </w:rPr>
        <w:t>绩效评价指标分析</w:t>
      </w:r>
    </w:p>
    <w:p>
      <w:pPr>
        <w:pStyle w:val="5"/>
        <w:widowControl/>
        <w:spacing w:before="300" w:after="120" w:line="560" w:lineRule="atLeast"/>
        <w:ind w:firstLine="640" w:firstLineChars="200"/>
        <w:jc w:val="both"/>
        <w:rPr>
          <w:rFonts w:ascii="仿宋" w:hAnsi="仿宋" w:eastAsia="仿宋" w:cs="宋体"/>
          <w:color w:val="000000" w:themeColor="text1"/>
          <w:kern w:val="2"/>
          <w:sz w:val="32"/>
          <w:szCs w:val="32"/>
          <w:shd w:val="clear" w:color="auto" w:fill="FFFFFF"/>
        </w:rPr>
      </w:pPr>
      <w:r>
        <w:rPr>
          <w:rFonts w:hint="eastAsia" w:ascii="仿宋" w:hAnsi="仿宋" w:eastAsia="仿宋" w:cs="宋体"/>
          <w:color w:val="000000" w:themeColor="text1"/>
          <w:kern w:val="2"/>
          <w:sz w:val="32"/>
          <w:szCs w:val="32"/>
          <w:shd w:val="clear" w:color="auto" w:fill="FFFFFF"/>
        </w:rPr>
        <w:t>1、项目实际建设月份按计划进行。</w:t>
      </w:r>
    </w:p>
    <w:p>
      <w:pPr>
        <w:pStyle w:val="5"/>
        <w:widowControl/>
        <w:spacing w:before="300" w:after="120" w:line="560" w:lineRule="atLeast"/>
        <w:ind w:firstLine="640" w:firstLineChars="200"/>
        <w:jc w:val="both"/>
        <w:rPr>
          <w:rFonts w:ascii="仿宋" w:hAnsi="仿宋" w:eastAsia="仿宋" w:cs="宋体"/>
          <w:color w:val="000000" w:themeColor="text1"/>
          <w:sz w:val="32"/>
          <w:szCs w:val="32"/>
        </w:rPr>
      </w:pPr>
      <w:r>
        <w:rPr>
          <w:rFonts w:hint="eastAsia" w:ascii="仿宋" w:hAnsi="仿宋" w:eastAsia="仿宋" w:cs="宋体"/>
          <w:color w:val="000000" w:themeColor="text1"/>
          <w:kern w:val="2"/>
          <w:sz w:val="32"/>
          <w:szCs w:val="32"/>
          <w:shd w:val="clear" w:color="auto" w:fill="FFFFFF"/>
        </w:rPr>
        <w:t>2、绩效目标设置合理，绩效目标与项目年度工作任务相对应；绩效指标设置明确，将绩效目标细化分解为具体的绩效指标，指标设置清晰、可衡量；项目立项规范，项目按规定程序申请立项，提交材料充分、完整，事情进行集体决策。</w:t>
      </w:r>
    </w:p>
    <w:p>
      <w:pPr>
        <w:pStyle w:val="5"/>
        <w:widowControl/>
        <w:spacing w:before="300" w:after="120" w:line="560" w:lineRule="atLeast"/>
        <w:ind w:firstLine="640"/>
        <w:jc w:val="both"/>
        <w:rPr>
          <w:rFonts w:ascii="仿宋" w:hAnsi="仿宋" w:eastAsia="仿宋" w:cs="宋体"/>
          <w:color w:val="000000" w:themeColor="text1"/>
          <w:sz w:val="32"/>
          <w:szCs w:val="32"/>
        </w:rPr>
      </w:pPr>
      <w:r>
        <w:rPr>
          <w:rFonts w:hint="eastAsia" w:ascii="仿宋" w:hAnsi="仿宋" w:eastAsia="仿宋" w:cs="宋体"/>
          <w:color w:val="000000" w:themeColor="text1"/>
          <w:kern w:val="2"/>
          <w:sz w:val="32"/>
          <w:szCs w:val="32"/>
          <w:shd w:val="clear" w:color="auto" w:fill="FFFFFF"/>
        </w:rPr>
        <w:t>3、管理制度健全，具体相应的业务管理制度，业务管理制度合法、合规、完整；制度执行有效，遵守相关法律法规和业务管理制度，项目质量可控，具有或制定了相应的质量要求或标准，实时采取必要的控制措施或手段保证质量。</w:t>
      </w:r>
    </w:p>
    <w:p>
      <w:pPr>
        <w:pStyle w:val="5"/>
        <w:widowControl/>
        <w:spacing w:before="300" w:after="120" w:line="560" w:lineRule="atLeast"/>
        <w:ind w:firstLine="640"/>
        <w:jc w:val="both"/>
        <w:rPr>
          <w:rFonts w:ascii="仿宋" w:hAnsi="仿宋" w:eastAsia="仿宋" w:cs="宋体"/>
          <w:color w:val="000000" w:themeColor="text1"/>
          <w:sz w:val="32"/>
          <w:szCs w:val="32"/>
        </w:rPr>
      </w:pPr>
      <w:r>
        <w:rPr>
          <w:rFonts w:hint="eastAsia" w:ascii="仿宋" w:hAnsi="仿宋" w:eastAsia="仿宋" w:cs="宋体"/>
          <w:color w:val="000000" w:themeColor="text1"/>
          <w:kern w:val="2"/>
          <w:sz w:val="32"/>
          <w:szCs w:val="32"/>
          <w:shd w:val="clear" w:color="auto" w:fill="FFFFFF"/>
        </w:rPr>
        <w:t>4、资金使用较为合规，符合国家财经法规和财务管理制度以及专项资金管理办法的规定，资金的拨付有完整的审批程序和手续，固定资产有专人管理，固定资产利用率达100%。项目资金较为安全，较为符合项目批复的用途使用。</w:t>
      </w:r>
    </w:p>
    <w:p>
      <w:pPr>
        <w:pStyle w:val="5"/>
        <w:widowControl/>
        <w:spacing w:before="300" w:after="120" w:line="560" w:lineRule="atLeast"/>
        <w:ind w:firstLine="640"/>
        <w:jc w:val="both"/>
        <w:rPr>
          <w:rFonts w:ascii="仿宋" w:hAnsi="仿宋" w:eastAsia="仿宋" w:cs="宋体"/>
          <w:color w:val="000000" w:themeColor="text1"/>
          <w:kern w:val="2"/>
          <w:sz w:val="32"/>
          <w:szCs w:val="32"/>
          <w:shd w:val="clear" w:color="auto" w:fill="FFFFFF"/>
        </w:rPr>
      </w:pPr>
      <w:r>
        <w:rPr>
          <w:rFonts w:hint="eastAsia" w:ascii="仿宋" w:hAnsi="仿宋" w:eastAsia="仿宋" w:cs="宋体"/>
          <w:color w:val="000000" w:themeColor="text1"/>
          <w:kern w:val="2"/>
          <w:sz w:val="32"/>
          <w:szCs w:val="32"/>
          <w:shd w:val="clear" w:color="auto" w:fill="FFFFFF"/>
        </w:rPr>
        <w:t>5、会计核算符合规范要求，相关材料完整。</w:t>
      </w:r>
    </w:p>
    <w:p>
      <w:pPr>
        <w:pStyle w:val="5"/>
        <w:widowControl/>
        <w:spacing w:before="300" w:after="120" w:line="560" w:lineRule="atLeast"/>
        <w:ind w:firstLine="640"/>
        <w:jc w:val="both"/>
        <w:rPr>
          <w:rFonts w:ascii="仿宋" w:hAnsi="仿宋" w:eastAsia="仿宋" w:cs="宋体"/>
          <w:kern w:val="2"/>
          <w:sz w:val="32"/>
          <w:szCs w:val="32"/>
          <w:shd w:val="clear" w:color="auto" w:fill="FFFFFF"/>
        </w:rPr>
      </w:pPr>
      <w:r>
        <w:rPr>
          <w:rFonts w:hint="eastAsia" w:ascii="仿宋" w:hAnsi="仿宋" w:eastAsia="仿宋" w:cs="宋体"/>
          <w:kern w:val="2"/>
          <w:sz w:val="32"/>
          <w:szCs w:val="32"/>
          <w:shd w:val="clear" w:color="auto" w:fill="FFFFFF"/>
        </w:rPr>
        <w:t>项目决策及执行过程指标体系（权重分10%），得分10分，其中：</w:t>
      </w:r>
    </w:p>
    <w:p>
      <w:pPr>
        <w:pStyle w:val="5"/>
        <w:widowControl/>
        <w:spacing w:before="300" w:after="120" w:line="560" w:lineRule="atLeast"/>
        <w:ind w:firstLine="640"/>
        <w:jc w:val="both"/>
        <w:rPr>
          <w:rFonts w:ascii="仿宋" w:hAnsi="仿宋" w:eastAsia="仿宋" w:cs="宋体"/>
          <w:kern w:val="2"/>
          <w:sz w:val="32"/>
          <w:szCs w:val="32"/>
          <w:shd w:val="clear" w:color="auto" w:fill="FFFFFF"/>
        </w:rPr>
      </w:pPr>
      <w:r>
        <w:rPr>
          <w:rFonts w:hint="eastAsia" w:ascii="仿宋" w:hAnsi="仿宋" w:eastAsia="仿宋" w:cs="宋体"/>
          <w:kern w:val="2"/>
          <w:sz w:val="32"/>
          <w:szCs w:val="32"/>
          <w:shd w:val="clear" w:color="auto" w:fill="FFFFFF"/>
        </w:rPr>
        <w:t>一级项目指标六个，二级项目指标为11个，各项指标得分情况</w:t>
      </w:r>
    </w:p>
    <w:p>
      <w:pPr>
        <w:pStyle w:val="5"/>
        <w:widowControl/>
        <w:spacing w:before="300" w:after="120" w:line="560" w:lineRule="atLeast"/>
        <w:ind w:firstLine="640"/>
        <w:jc w:val="both"/>
        <w:rPr>
          <w:rFonts w:ascii="仿宋" w:hAnsi="仿宋" w:eastAsia="仿宋" w:cs="宋体"/>
          <w:kern w:val="2"/>
          <w:sz w:val="32"/>
          <w:szCs w:val="32"/>
          <w:shd w:val="clear" w:color="auto" w:fill="FFFFFF"/>
        </w:rPr>
      </w:pPr>
      <w:r>
        <w:rPr>
          <w:rFonts w:hint="eastAsia" w:ascii="仿宋" w:hAnsi="仿宋" w:eastAsia="仿宋" w:cs="宋体"/>
          <w:kern w:val="2"/>
          <w:sz w:val="32"/>
          <w:szCs w:val="32"/>
          <w:shd w:val="clear" w:color="auto" w:fill="FFFFFF"/>
        </w:rPr>
        <w:t>一级项目指标六个，二级项目指标为11个，各项指标得分情况</w:t>
      </w:r>
    </w:p>
    <w:p>
      <w:pPr>
        <w:pStyle w:val="5"/>
        <w:widowControl/>
        <w:numPr>
          <w:ilvl w:val="0"/>
          <w:numId w:val="5"/>
        </w:numPr>
        <w:spacing w:before="300" w:after="120" w:line="560" w:lineRule="atLeast"/>
        <w:ind w:firstLine="640"/>
        <w:jc w:val="both"/>
        <w:rPr>
          <w:rFonts w:ascii="仿宋" w:hAnsi="仿宋" w:eastAsia="仿宋" w:cs="宋体"/>
          <w:color w:val="000000"/>
          <w:sz w:val="32"/>
          <w:szCs w:val="32"/>
        </w:rPr>
      </w:pPr>
      <w:r>
        <w:rPr>
          <w:rFonts w:hint="eastAsia" w:ascii="仿宋" w:hAnsi="仿宋" w:eastAsia="仿宋" w:cs="宋体"/>
          <w:color w:val="000000"/>
          <w:sz w:val="32"/>
          <w:szCs w:val="32"/>
        </w:rPr>
        <w:t>立项依据充分性，分值为0.5分，得分0.5分。</w:t>
      </w:r>
    </w:p>
    <w:p>
      <w:pPr>
        <w:pStyle w:val="5"/>
        <w:widowControl/>
        <w:numPr>
          <w:ilvl w:val="0"/>
          <w:numId w:val="5"/>
        </w:numPr>
        <w:spacing w:before="300" w:after="120" w:line="560" w:lineRule="atLeast"/>
        <w:ind w:firstLine="640"/>
        <w:jc w:val="both"/>
        <w:rPr>
          <w:rFonts w:ascii="仿宋" w:hAnsi="仿宋" w:eastAsia="仿宋" w:cs="宋体"/>
          <w:color w:val="000000"/>
          <w:sz w:val="32"/>
          <w:szCs w:val="32"/>
        </w:rPr>
      </w:pPr>
      <w:r>
        <w:rPr>
          <w:rFonts w:hint="eastAsia" w:ascii="仿宋" w:hAnsi="仿宋" w:eastAsia="仿宋" w:cs="宋体"/>
          <w:color w:val="000000"/>
          <w:sz w:val="32"/>
          <w:szCs w:val="32"/>
        </w:rPr>
        <w:t>立项程序规范性，分值为0.5分，得分0.5分。</w:t>
      </w:r>
    </w:p>
    <w:p>
      <w:pPr>
        <w:pStyle w:val="5"/>
        <w:widowControl/>
        <w:numPr>
          <w:ilvl w:val="0"/>
          <w:numId w:val="5"/>
        </w:numPr>
        <w:spacing w:before="300" w:after="120" w:line="560" w:lineRule="atLeast"/>
        <w:ind w:firstLine="640"/>
        <w:jc w:val="both"/>
        <w:rPr>
          <w:rFonts w:ascii="仿宋" w:hAnsi="仿宋" w:eastAsia="仿宋" w:cs="宋体"/>
          <w:color w:val="000000"/>
          <w:sz w:val="32"/>
          <w:szCs w:val="32"/>
        </w:rPr>
      </w:pPr>
      <w:r>
        <w:rPr>
          <w:rFonts w:hint="eastAsia" w:ascii="仿宋" w:hAnsi="仿宋" w:eastAsia="仿宋" w:cs="宋体"/>
          <w:color w:val="000000"/>
          <w:sz w:val="32"/>
          <w:szCs w:val="32"/>
        </w:rPr>
        <w:t>绩效目标合理性，分值为1分，得分1分。</w:t>
      </w:r>
    </w:p>
    <w:p>
      <w:pPr>
        <w:pStyle w:val="5"/>
        <w:widowControl/>
        <w:numPr>
          <w:ilvl w:val="0"/>
          <w:numId w:val="5"/>
        </w:numPr>
        <w:spacing w:before="300" w:after="120" w:line="560" w:lineRule="atLeast"/>
        <w:ind w:firstLine="640"/>
        <w:jc w:val="both"/>
        <w:rPr>
          <w:rFonts w:ascii="仿宋" w:hAnsi="仿宋" w:eastAsia="仿宋" w:cs="宋体"/>
          <w:color w:val="000000"/>
          <w:sz w:val="32"/>
          <w:szCs w:val="32"/>
        </w:rPr>
      </w:pPr>
      <w:r>
        <w:rPr>
          <w:rFonts w:hint="eastAsia" w:ascii="仿宋" w:hAnsi="仿宋" w:eastAsia="仿宋" w:cs="宋体"/>
          <w:color w:val="000000"/>
          <w:sz w:val="32"/>
          <w:szCs w:val="32"/>
        </w:rPr>
        <w:t>绩效指标明确性，分值为1分，得分1分。</w:t>
      </w:r>
    </w:p>
    <w:p>
      <w:pPr>
        <w:pStyle w:val="5"/>
        <w:widowControl/>
        <w:numPr>
          <w:ilvl w:val="0"/>
          <w:numId w:val="5"/>
        </w:numPr>
        <w:spacing w:before="300" w:after="120" w:line="560" w:lineRule="atLeast"/>
        <w:ind w:firstLine="640"/>
        <w:jc w:val="both"/>
        <w:rPr>
          <w:rFonts w:ascii="仿宋" w:hAnsi="仿宋" w:eastAsia="仿宋" w:cs="宋体"/>
          <w:color w:val="000000"/>
          <w:sz w:val="32"/>
          <w:szCs w:val="32"/>
        </w:rPr>
      </w:pPr>
      <w:r>
        <w:rPr>
          <w:rFonts w:hint="eastAsia" w:ascii="仿宋" w:hAnsi="仿宋" w:eastAsia="仿宋" w:cs="宋体"/>
          <w:color w:val="000000"/>
          <w:sz w:val="32"/>
          <w:szCs w:val="32"/>
        </w:rPr>
        <w:t>预算编制科学性，分值为1分，得分1分。</w:t>
      </w:r>
    </w:p>
    <w:p>
      <w:pPr>
        <w:pStyle w:val="5"/>
        <w:widowControl/>
        <w:numPr>
          <w:ilvl w:val="0"/>
          <w:numId w:val="5"/>
        </w:numPr>
        <w:spacing w:before="300" w:after="120" w:line="560" w:lineRule="atLeast"/>
        <w:ind w:firstLine="640"/>
        <w:jc w:val="both"/>
        <w:rPr>
          <w:rFonts w:ascii="仿宋" w:hAnsi="仿宋" w:eastAsia="仿宋" w:cs="宋体"/>
          <w:color w:val="000000"/>
          <w:sz w:val="32"/>
          <w:szCs w:val="32"/>
        </w:rPr>
      </w:pPr>
      <w:r>
        <w:rPr>
          <w:rFonts w:hint="eastAsia" w:ascii="仿宋" w:hAnsi="仿宋" w:eastAsia="仿宋" w:cs="宋体"/>
          <w:color w:val="000000"/>
          <w:sz w:val="32"/>
          <w:szCs w:val="32"/>
        </w:rPr>
        <w:t>资金分配合理性，分值为1分，得分1分。</w:t>
      </w:r>
    </w:p>
    <w:p>
      <w:pPr>
        <w:pStyle w:val="5"/>
        <w:widowControl/>
        <w:numPr>
          <w:ilvl w:val="0"/>
          <w:numId w:val="5"/>
        </w:numPr>
        <w:spacing w:before="300" w:after="120" w:line="560" w:lineRule="atLeast"/>
        <w:ind w:firstLine="640"/>
        <w:jc w:val="both"/>
        <w:rPr>
          <w:rFonts w:ascii="仿宋" w:hAnsi="仿宋" w:eastAsia="仿宋" w:cs="宋体"/>
          <w:color w:val="000000"/>
          <w:sz w:val="32"/>
          <w:szCs w:val="32"/>
        </w:rPr>
      </w:pPr>
      <w:r>
        <w:rPr>
          <w:rFonts w:hint="eastAsia" w:ascii="仿宋" w:hAnsi="仿宋" w:eastAsia="仿宋" w:cs="宋体"/>
          <w:color w:val="000000"/>
          <w:sz w:val="32"/>
          <w:szCs w:val="32"/>
        </w:rPr>
        <w:t>资金到位率，分值为1分，得分1分。</w:t>
      </w:r>
    </w:p>
    <w:p>
      <w:pPr>
        <w:pStyle w:val="5"/>
        <w:widowControl/>
        <w:numPr>
          <w:ilvl w:val="0"/>
          <w:numId w:val="5"/>
        </w:numPr>
        <w:spacing w:before="300" w:after="120" w:line="560" w:lineRule="atLeast"/>
        <w:ind w:firstLine="640"/>
        <w:jc w:val="both"/>
        <w:rPr>
          <w:rFonts w:ascii="仿宋" w:hAnsi="仿宋" w:eastAsia="仿宋" w:cs="宋体"/>
          <w:color w:val="000000"/>
          <w:sz w:val="32"/>
          <w:szCs w:val="32"/>
        </w:rPr>
      </w:pPr>
      <w:r>
        <w:rPr>
          <w:rFonts w:hint="eastAsia" w:ascii="仿宋" w:hAnsi="仿宋" w:eastAsia="仿宋" w:cs="宋体"/>
          <w:color w:val="000000"/>
          <w:sz w:val="32"/>
          <w:szCs w:val="32"/>
        </w:rPr>
        <w:t>预算执行率，分值为1分，得分1分。</w:t>
      </w:r>
    </w:p>
    <w:p>
      <w:pPr>
        <w:pStyle w:val="5"/>
        <w:widowControl/>
        <w:numPr>
          <w:ilvl w:val="0"/>
          <w:numId w:val="5"/>
        </w:numPr>
        <w:spacing w:before="300" w:after="120" w:line="560" w:lineRule="atLeast"/>
        <w:ind w:firstLine="640"/>
        <w:jc w:val="both"/>
        <w:rPr>
          <w:rFonts w:ascii="仿宋" w:hAnsi="仿宋" w:eastAsia="仿宋" w:cs="宋体"/>
          <w:color w:val="000000"/>
          <w:sz w:val="32"/>
          <w:szCs w:val="32"/>
        </w:rPr>
      </w:pPr>
      <w:r>
        <w:rPr>
          <w:rFonts w:hint="eastAsia" w:ascii="仿宋" w:hAnsi="仿宋" w:eastAsia="仿宋" w:cs="宋体"/>
          <w:color w:val="000000"/>
          <w:sz w:val="32"/>
          <w:szCs w:val="32"/>
        </w:rPr>
        <w:t>资金使用合规性，分值为4分，得分4分。</w:t>
      </w:r>
    </w:p>
    <w:p>
      <w:pPr>
        <w:pStyle w:val="5"/>
        <w:widowControl/>
        <w:numPr>
          <w:ilvl w:val="0"/>
          <w:numId w:val="5"/>
        </w:numPr>
        <w:spacing w:before="300" w:after="120" w:line="560" w:lineRule="atLeast"/>
        <w:ind w:firstLine="640"/>
        <w:jc w:val="both"/>
        <w:rPr>
          <w:rFonts w:ascii="仿宋" w:hAnsi="仿宋" w:eastAsia="仿宋" w:cs="宋体"/>
          <w:color w:val="000000"/>
          <w:sz w:val="32"/>
          <w:szCs w:val="32"/>
        </w:rPr>
      </w:pPr>
      <w:r>
        <w:rPr>
          <w:rFonts w:hint="eastAsia" w:ascii="仿宋" w:hAnsi="仿宋" w:eastAsia="仿宋" w:cs="宋体"/>
          <w:color w:val="000000"/>
          <w:sz w:val="32"/>
          <w:szCs w:val="32"/>
        </w:rPr>
        <w:t>管理制度健全性，分值为1分，得分1分。</w:t>
      </w:r>
    </w:p>
    <w:p>
      <w:pPr>
        <w:pStyle w:val="5"/>
        <w:widowControl/>
        <w:numPr>
          <w:ilvl w:val="0"/>
          <w:numId w:val="5"/>
        </w:numPr>
        <w:spacing w:before="300" w:after="120" w:line="560" w:lineRule="atLeast"/>
        <w:ind w:firstLine="640"/>
        <w:jc w:val="both"/>
        <w:rPr>
          <w:rFonts w:ascii="仿宋" w:hAnsi="仿宋" w:eastAsia="仿宋" w:cs="宋体"/>
          <w:color w:val="000000" w:themeColor="text1"/>
          <w:kern w:val="2"/>
          <w:sz w:val="32"/>
          <w:szCs w:val="32"/>
          <w:shd w:val="clear" w:color="auto" w:fill="FFFFFF"/>
        </w:rPr>
      </w:pPr>
      <w:r>
        <w:rPr>
          <w:rFonts w:hint="eastAsia" w:ascii="仿宋" w:hAnsi="仿宋" w:eastAsia="仿宋" w:cs="宋体"/>
          <w:color w:val="000000"/>
          <w:sz w:val="32"/>
          <w:szCs w:val="32"/>
        </w:rPr>
        <w:t>制度执行有效性，分值为1分，得分1分。</w:t>
      </w:r>
    </w:p>
    <w:p>
      <w:pPr>
        <w:pStyle w:val="5"/>
        <w:widowControl/>
        <w:spacing w:before="300" w:after="120" w:line="560" w:lineRule="atLeast"/>
        <w:ind w:firstLine="640" w:firstLineChars="200"/>
        <w:jc w:val="both"/>
        <w:rPr>
          <w:rFonts w:ascii="仿宋" w:hAnsi="仿宋" w:eastAsia="仿宋" w:cs="宋体"/>
          <w:color w:val="000000" w:themeColor="text1"/>
          <w:sz w:val="32"/>
          <w:szCs w:val="32"/>
        </w:rPr>
      </w:pPr>
      <w:r>
        <w:rPr>
          <w:rFonts w:hint="eastAsia" w:ascii="仿宋" w:hAnsi="仿宋" w:eastAsia="仿宋" w:cs="宋体"/>
          <w:bCs/>
          <w:color w:val="000000" w:themeColor="text1"/>
          <w:kern w:val="2"/>
          <w:sz w:val="32"/>
          <w:szCs w:val="32"/>
          <w:shd w:val="clear" w:color="auto" w:fill="FFFFFF"/>
        </w:rPr>
        <w:t>6、产出指标体系（权重40%），得40分，其中：</w:t>
      </w:r>
    </w:p>
    <w:p>
      <w:pPr>
        <w:pStyle w:val="5"/>
        <w:widowControl/>
        <w:spacing w:before="300" w:after="120" w:line="560" w:lineRule="atLeast"/>
        <w:ind w:firstLine="1001" w:firstLineChars="313"/>
        <w:rPr>
          <w:rFonts w:ascii="仿宋" w:hAnsi="仿宋" w:eastAsia="仿宋" w:cs="宋体"/>
          <w:color w:val="000000" w:themeColor="text1"/>
          <w:sz w:val="32"/>
          <w:szCs w:val="32"/>
        </w:rPr>
      </w:pPr>
      <w:r>
        <w:rPr>
          <w:rFonts w:hint="eastAsia" w:ascii="仿宋" w:hAnsi="仿宋" w:eastAsia="仿宋" w:cs="宋体"/>
          <w:color w:val="000000" w:themeColor="text1"/>
          <w:kern w:val="2"/>
          <w:sz w:val="32"/>
          <w:szCs w:val="32"/>
          <w:shd w:val="clear" w:color="auto" w:fill="FFFFFF"/>
        </w:rPr>
        <w:t>（1）产出数量方面满分10分，得10分。</w:t>
      </w:r>
    </w:p>
    <w:p>
      <w:pPr>
        <w:pStyle w:val="5"/>
        <w:widowControl/>
        <w:spacing w:before="300" w:after="120" w:line="560" w:lineRule="atLeast"/>
        <w:ind w:firstLine="960" w:firstLineChars="300"/>
        <w:rPr>
          <w:rFonts w:ascii="仿宋" w:hAnsi="仿宋" w:eastAsia="仿宋" w:cs="宋体"/>
          <w:color w:val="000000" w:themeColor="text1"/>
          <w:kern w:val="2"/>
          <w:sz w:val="32"/>
          <w:szCs w:val="32"/>
          <w:shd w:val="clear" w:color="auto" w:fill="FFFFFF"/>
        </w:rPr>
      </w:pPr>
      <w:r>
        <w:rPr>
          <w:rFonts w:hint="eastAsia" w:ascii="仿宋" w:hAnsi="仿宋" w:eastAsia="仿宋" w:cs="宋体"/>
          <w:color w:val="000000" w:themeColor="text1"/>
          <w:kern w:val="2"/>
          <w:sz w:val="32"/>
          <w:szCs w:val="32"/>
          <w:shd w:val="clear" w:color="auto" w:fill="FFFFFF"/>
        </w:rPr>
        <w:t>（2）产出质量方面满分10分，得10分。</w:t>
      </w:r>
    </w:p>
    <w:p>
      <w:pPr>
        <w:pStyle w:val="5"/>
        <w:widowControl/>
        <w:spacing w:before="300" w:after="120" w:line="560" w:lineRule="atLeast"/>
        <w:ind w:firstLine="960" w:firstLineChars="300"/>
        <w:rPr>
          <w:rFonts w:ascii="仿宋" w:hAnsi="仿宋" w:eastAsia="仿宋" w:cs="宋体"/>
          <w:color w:val="000000" w:themeColor="text1"/>
          <w:kern w:val="2"/>
          <w:sz w:val="32"/>
          <w:szCs w:val="32"/>
          <w:shd w:val="clear" w:color="auto" w:fill="FFFFFF"/>
        </w:rPr>
      </w:pPr>
      <w:r>
        <w:rPr>
          <w:rFonts w:hint="eastAsia" w:ascii="仿宋" w:hAnsi="仿宋" w:eastAsia="仿宋" w:cs="宋体"/>
          <w:color w:val="000000" w:themeColor="text1"/>
          <w:kern w:val="2"/>
          <w:sz w:val="32"/>
          <w:szCs w:val="32"/>
          <w:shd w:val="clear" w:color="auto" w:fill="FFFFFF"/>
        </w:rPr>
        <w:t>(3)产出时效方面满分10分，得10分。</w:t>
      </w:r>
    </w:p>
    <w:p>
      <w:pPr>
        <w:pStyle w:val="5"/>
        <w:widowControl/>
        <w:spacing w:before="300" w:after="120" w:line="560" w:lineRule="atLeast"/>
        <w:ind w:firstLine="960" w:firstLineChars="300"/>
        <w:rPr>
          <w:rFonts w:ascii="仿宋" w:hAnsi="仿宋" w:eastAsia="仿宋" w:cs="宋体"/>
          <w:color w:val="000000" w:themeColor="text1"/>
          <w:kern w:val="2"/>
          <w:sz w:val="32"/>
          <w:szCs w:val="32"/>
          <w:shd w:val="clear" w:color="auto" w:fill="FFFFFF"/>
        </w:rPr>
      </w:pPr>
      <w:r>
        <w:rPr>
          <w:rFonts w:hint="eastAsia" w:ascii="仿宋" w:hAnsi="仿宋" w:eastAsia="仿宋" w:cs="宋体"/>
          <w:color w:val="000000" w:themeColor="text1"/>
          <w:kern w:val="2"/>
          <w:sz w:val="32"/>
          <w:szCs w:val="32"/>
          <w:shd w:val="clear" w:color="auto" w:fill="FFFFFF"/>
        </w:rPr>
        <w:t>（4）产出成本方面满分10分，得分10分。</w:t>
      </w:r>
    </w:p>
    <w:p>
      <w:pPr>
        <w:pStyle w:val="5"/>
        <w:widowControl/>
        <w:spacing w:before="300" w:after="120" w:line="560" w:lineRule="atLeast"/>
        <w:ind w:firstLine="640" w:firstLineChars="200"/>
        <w:jc w:val="both"/>
        <w:rPr>
          <w:rFonts w:ascii="仿宋" w:hAnsi="仿宋" w:eastAsia="仿宋" w:cs="宋体"/>
          <w:bCs/>
          <w:color w:val="000000" w:themeColor="text1"/>
          <w:kern w:val="2"/>
          <w:sz w:val="32"/>
          <w:szCs w:val="32"/>
          <w:shd w:val="clear" w:color="auto" w:fill="FFFFFF"/>
        </w:rPr>
      </w:pPr>
      <w:r>
        <w:rPr>
          <w:rFonts w:hint="eastAsia" w:ascii="仿宋" w:hAnsi="仿宋" w:eastAsia="仿宋" w:cs="宋体"/>
          <w:bCs/>
          <w:color w:val="000000" w:themeColor="text1"/>
          <w:kern w:val="2"/>
          <w:sz w:val="32"/>
          <w:szCs w:val="32"/>
          <w:shd w:val="clear" w:color="auto" w:fill="FFFFFF"/>
        </w:rPr>
        <w:t>7、效益指标体系（权重40%），得40分，其中：</w:t>
      </w:r>
    </w:p>
    <w:p>
      <w:pPr>
        <w:pStyle w:val="5"/>
        <w:widowControl/>
        <w:spacing w:before="300" w:after="120" w:line="560" w:lineRule="atLeast"/>
        <w:ind w:firstLine="960" w:firstLineChars="300"/>
        <w:rPr>
          <w:rFonts w:ascii="仿宋" w:hAnsi="仿宋" w:eastAsia="仿宋" w:cs="宋体"/>
          <w:color w:val="000000" w:themeColor="text1"/>
          <w:kern w:val="2"/>
          <w:sz w:val="32"/>
          <w:szCs w:val="32"/>
          <w:shd w:val="clear" w:color="auto" w:fill="FFFFFF"/>
        </w:rPr>
      </w:pPr>
      <w:r>
        <w:rPr>
          <w:rFonts w:hint="eastAsia" w:ascii="仿宋" w:hAnsi="仿宋" w:eastAsia="仿宋" w:cs="宋体"/>
          <w:color w:val="000000" w:themeColor="text1"/>
          <w:kern w:val="2"/>
          <w:sz w:val="32"/>
          <w:szCs w:val="32"/>
          <w:shd w:val="clear" w:color="auto" w:fill="FFFFFF"/>
        </w:rPr>
        <w:t>（1）经济效益方面满分0分，得分0分</w:t>
      </w:r>
    </w:p>
    <w:p>
      <w:pPr>
        <w:pStyle w:val="5"/>
        <w:widowControl/>
        <w:spacing w:before="300" w:after="120" w:line="560" w:lineRule="atLeast"/>
        <w:ind w:firstLine="960" w:firstLineChars="300"/>
        <w:jc w:val="both"/>
        <w:rPr>
          <w:rFonts w:ascii="仿宋" w:hAnsi="仿宋" w:eastAsia="仿宋" w:cs="宋体"/>
          <w:color w:val="000000" w:themeColor="text1"/>
          <w:kern w:val="2"/>
          <w:sz w:val="32"/>
          <w:szCs w:val="32"/>
          <w:shd w:val="clear" w:color="auto" w:fill="FFFFFF"/>
        </w:rPr>
      </w:pPr>
      <w:r>
        <w:rPr>
          <w:rFonts w:hint="eastAsia" w:ascii="仿宋" w:hAnsi="仿宋" w:eastAsia="仿宋" w:cs="宋体"/>
          <w:color w:val="000000" w:themeColor="text1"/>
          <w:kern w:val="2"/>
          <w:sz w:val="32"/>
          <w:szCs w:val="32"/>
          <w:shd w:val="clear" w:color="auto" w:fill="FFFFFF"/>
        </w:rPr>
        <w:t>（2）社会效益方面满分40分，得分</w:t>
      </w:r>
      <w:r>
        <w:rPr>
          <w:rFonts w:hint="eastAsia" w:ascii="仿宋" w:hAnsi="仿宋" w:eastAsia="仿宋" w:cs="宋体"/>
          <w:color w:val="000000" w:themeColor="text1"/>
          <w:kern w:val="2"/>
          <w:sz w:val="32"/>
          <w:szCs w:val="32"/>
          <w:shd w:val="clear" w:color="auto" w:fill="FFFFFF"/>
          <w:lang w:val="en-US" w:eastAsia="zh-CN"/>
        </w:rPr>
        <w:t>40</w:t>
      </w:r>
      <w:r>
        <w:rPr>
          <w:rFonts w:hint="eastAsia" w:ascii="仿宋" w:hAnsi="仿宋" w:eastAsia="仿宋" w:cs="宋体"/>
          <w:color w:val="000000" w:themeColor="text1"/>
          <w:kern w:val="2"/>
          <w:sz w:val="32"/>
          <w:szCs w:val="32"/>
          <w:shd w:val="clear" w:color="auto" w:fill="FFFFFF"/>
        </w:rPr>
        <w:t>分。</w:t>
      </w:r>
    </w:p>
    <w:p>
      <w:pPr>
        <w:pStyle w:val="5"/>
        <w:widowControl/>
        <w:spacing w:before="300" w:after="120" w:line="560" w:lineRule="atLeast"/>
        <w:ind w:firstLine="960" w:firstLineChars="300"/>
        <w:jc w:val="both"/>
        <w:rPr>
          <w:rFonts w:ascii="仿宋" w:hAnsi="仿宋" w:eastAsia="仿宋" w:cs="宋体"/>
          <w:color w:val="000000" w:themeColor="text1"/>
          <w:kern w:val="2"/>
          <w:sz w:val="32"/>
          <w:szCs w:val="32"/>
          <w:shd w:val="clear" w:color="auto" w:fill="FFFFFF"/>
        </w:rPr>
      </w:pPr>
      <w:r>
        <w:rPr>
          <w:rFonts w:hint="eastAsia" w:ascii="仿宋" w:hAnsi="仿宋" w:eastAsia="仿宋" w:cs="宋体"/>
          <w:color w:val="000000" w:themeColor="text1"/>
          <w:kern w:val="2"/>
          <w:sz w:val="32"/>
          <w:szCs w:val="32"/>
          <w:shd w:val="clear" w:color="auto" w:fill="FFFFFF"/>
        </w:rPr>
        <w:t>（3）生态效益方面满分0分，得分0分。</w:t>
      </w:r>
    </w:p>
    <w:p>
      <w:pPr>
        <w:pStyle w:val="5"/>
        <w:widowControl/>
        <w:spacing w:before="300" w:after="120" w:line="560" w:lineRule="atLeast"/>
        <w:ind w:firstLine="960" w:firstLineChars="300"/>
        <w:jc w:val="both"/>
        <w:rPr>
          <w:rFonts w:ascii="仿宋" w:hAnsi="仿宋" w:eastAsia="仿宋" w:cs="宋体"/>
          <w:color w:val="000000" w:themeColor="text1"/>
          <w:kern w:val="2"/>
          <w:sz w:val="32"/>
          <w:szCs w:val="32"/>
          <w:shd w:val="clear" w:color="auto" w:fill="FFFFFF"/>
        </w:rPr>
      </w:pPr>
      <w:r>
        <w:rPr>
          <w:rFonts w:hint="eastAsia" w:ascii="仿宋" w:hAnsi="仿宋" w:eastAsia="仿宋" w:cs="宋体"/>
          <w:color w:val="000000" w:themeColor="text1"/>
          <w:kern w:val="2"/>
          <w:sz w:val="32"/>
          <w:szCs w:val="32"/>
          <w:shd w:val="clear" w:color="auto" w:fill="FFFFFF"/>
        </w:rPr>
        <w:t>（4）可持续效益方面满分0分，得0分。</w:t>
      </w:r>
    </w:p>
    <w:p>
      <w:pPr>
        <w:pStyle w:val="5"/>
        <w:widowControl/>
        <w:spacing w:before="300" w:after="120" w:line="560" w:lineRule="atLeast"/>
        <w:ind w:firstLine="640" w:firstLineChars="200"/>
        <w:jc w:val="both"/>
        <w:rPr>
          <w:rFonts w:ascii="仿宋" w:hAnsi="仿宋" w:eastAsia="仿宋" w:cs="宋体"/>
          <w:bCs/>
          <w:color w:val="000000" w:themeColor="text1"/>
          <w:kern w:val="2"/>
          <w:sz w:val="32"/>
          <w:szCs w:val="32"/>
          <w:shd w:val="clear" w:color="auto" w:fill="FFFFFF"/>
        </w:rPr>
      </w:pPr>
      <w:r>
        <w:rPr>
          <w:rFonts w:hint="eastAsia" w:ascii="仿宋" w:hAnsi="仿宋" w:eastAsia="仿宋" w:cs="宋体"/>
          <w:bCs/>
          <w:color w:val="000000" w:themeColor="text1"/>
          <w:kern w:val="2"/>
          <w:sz w:val="32"/>
          <w:szCs w:val="32"/>
          <w:shd w:val="clear" w:color="auto" w:fill="FFFFFF"/>
        </w:rPr>
        <w:t>8、服务满意度指标体系（权重10%），得10分，其中：</w:t>
      </w:r>
    </w:p>
    <w:p>
      <w:pPr>
        <w:pStyle w:val="5"/>
        <w:widowControl/>
        <w:spacing w:before="300" w:after="120" w:line="560" w:lineRule="atLeast"/>
        <w:ind w:firstLine="960" w:firstLineChars="300"/>
        <w:jc w:val="both"/>
        <w:rPr>
          <w:rFonts w:ascii="仿宋" w:hAnsi="仿宋" w:eastAsia="仿宋" w:cs="宋体"/>
          <w:color w:val="000000" w:themeColor="text1"/>
          <w:kern w:val="2"/>
          <w:sz w:val="32"/>
          <w:szCs w:val="32"/>
          <w:shd w:val="clear" w:color="auto" w:fill="FFFFFF"/>
        </w:rPr>
      </w:pPr>
      <w:r>
        <w:rPr>
          <w:rFonts w:hint="eastAsia" w:ascii="仿宋" w:hAnsi="仿宋" w:eastAsia="仿宋" w:cs="宋体"/>
          <w:color w:val="000000" w:themeColor="text1"/>
          <w:kern w:val="2"/>
          <w:sz w:val="32"/>
          <w:szCs w:val="32"/>
          <w:shd w:val="clear" w:color="auto" w:fill="FFFFFF"/>
        </w:rPr>
        <w:t>（1）服务对象方面满分10分，得分10分</w:t>
      </w:r>
    </w:p>
    <w:p>
      <w:pPr>
        <w:spacing w:after="120" w:line="600" w:lineRule="exact"/>
        <w:ind w:firstLine="640" w:firstLineChars="200"/>
        <w:rPr>
          <w:rFonts w:ascii="仿宋" w:hAnsi="仿宋" w:eastAsia="仿宋" w:cs="宋体"/>
          <w:bCs/>
          <w:color w:val="000000" w:themeColor="text1"/>
          <w:sz w:val="44"/>
          <w:szCs w:val="44"/>
          <w:lang w:eastAsia="zh-CN"/>
        </w:rPr>
      </w:pPr>
      <w:r>
        <w:rPr>
          <w:rFonts w:hint="eastAsia" w:ascii="仿宋" w:hAnsi="仿宋" w:eastAsia="仿宋" w:cs="宋体"/>
          <w:color w:val="000000" w:themeColor="text1"/>
          <w:kern w:val="2"/>
          <w:sz w:val="32"/>
          <w:szCs w:val="32"/>
          <w:shd w:val="clear" w:color="auto" w:fill="FFFFFF"/>
          <w:lang w:eastAsia="zh-CN"/>
        </w:rPr>
        <w:t>确保全区信访维稳工作顺利进行及完成，信访群众对本单位服务的满意率均达到了绩效目标。</w:t>
      </w:r>
    </w:p>
    <w:p>
      <w:pPr>
        <w:pStyle w:val="3"/>
        <w:spacing w:before="0"/>
        <w:jc w:val="center"/>
        <w:rPr>
          <w:rFonts w:ascii="仿宋" w:hAnsi="仿宋" w:eastAsia="仿宋" w:cs="宋体"/>
          <w:color w:val="000000"/>
          <w:lang w:eastAsia="zh-CN"/>
        </w:rPr>
      </w:pPr>
      <w:r>
        <w:rPr>
          <w:rFonts w:hint="eastAsia" w:ascii="仿宋" w:hAnsi="仿宋" w:eastAsia="仿宋" w:cs="宋体"/>
          <w:color w:val="000000"/>
          <w:lang w:eastAsia="zh-CN"/>
        </w:rPr>
        <w:t>项目支出绩效评价指标体系</w:t>
      </w:r>
    </w:p>
    <w:p>
      <w:pPr>
        <w:pStyle w:val="3"/>
        <w:spacing w:before="0"/>
        <w:jc w:val="center"/>
        <w:rPr>
          <w:rFonts w:ascii="仿宋" w:hAnsi="仿宋" w:eastAsia="仿宋" w:cs="宋体"/>
          <w:color w:val="000000"/>
          <w:lang w:eastAsia="zh-CN"/>
        </w:rPr>
      </w:pPr>
    </w:p>
    <w:tbl>
      <w:tblPr>
        <w:tblStyle w:val="6"/>
        <w:tblW w:w="4997"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846"/>
        <w:gridCol w:w="468"/>
        <w:gridCol w:w="427"/>
        <w:gridCol w:w="1464"/>
        <w:gridCol w:w="2353"/>
        <w:gridCol w:w="1893"/>
        <w:gridCol w:w="531"/>
        <w:gridCol w:w="531"/>
        <w:gridCol w:w="60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tblHeader/>
          <w:jc w:val="center"/>
        </w:trPr>
        <w:tc>
          <w:tcPr>
            <w:tcW w:w="334" w:type="pct"/>
            <w:shd w:val="clear" w:color="auto" w:fill="FFFFFF"/>
            <w:vAlign w:val="center"/>
          </w:tcPr>
          <w:p>
            <w:pPr>
              <w:widowControl/>
              <w:spacing w:line="0" w:lineRule="atLeast"/>
              <w:jc w:val="center"/>
              <w:rPr>
                <w:rFonts w:ascii="仿宋" w:hAnsi="仿宋" w:eastAsia="仿宋" w:cs="宋体"/>
                <w:b/>
                <w:bCs/>
                <w:color w:val="000000"/>
              </w:rPr>
            </w:pPr>
            <w:r>
              <w:rPr>
                <w:rFonts w:hint="eastAsia" w:ascii="仿宋" w:hAnsi="仿宋" w:eastAsia="仿宋" w:cs="宋体"/>
                <w:b/>
                <w:bCs/>
                <w:color w:val="000000"/>
              </w:rPr>
              <w:t>一级指标</w:t>
            </w:r>
          </w:p>
        </w:tc>
        <w:tc>
          <w:tcPr>
            <w:tcW w:w="290" w:type="pct"/>
            <w:shd w:val="clear" w:color="auto" w:fill="FFFFFF"/>
            <w:vAlign w:val="center"/>
          </w:tcPr>
          <w:p>
            <w:pPr>
              <w:widowControl/>
              <w:spacing w:line="0" w:lineRule="atLeast"/>
              <w:jc w:val="center"/>
              <w:rPr>
                <w:rFonts w:ascii="仿宋" w:hAnsi="仿宋" w:eastAsia="仿宋" w:cs="宋体"/>
                <w:b/>
                <w:bCs/>
                <w:color w:val="000000"/>
              </w:rPr>
            </w:pPr>
            <w:r>
              <w:rPr>
                <w:rFonts w:hint="eastAsia" w:ascii="仿宋" w:hAnsi="仿宋" w:eastAsia="仿宋" w:cs="宋体"/>
                <w:b/>
                <w:bCs/>
                <w:color w:val="000000"/>
              </w:rPr>
              <w:t>二级指标</w:t>
            </w:r>
          </w:p>
        </w:tc>
        <w:tc>
          <w:tcPr>
            <w:tcW w:w="258" w:type="pct"/>
            <w:shd w:val="clear" w:color="auto" w:fill="FFFFFF"/>
            <w:vAlign w:val="center"/>
          </w:tcPr>
          <w:p>
            <w:pPr>
              <w:widowControl/>
              <w:spacing w:line="0" w:lineRule="atLeast"/>
              <w:jc w:val="center"/>
              <w:rPr>
                <w:rFonts w:ascii="仿宋" w:hAnsi="仿宋" w:eastAsia="仿宋" w:cs="宋体"/>
                <w:b/>
                <w:bCs/>
                <w:color w:val="000000"/>
              </w:rPr>
            </w:pPr>
            <w:r>
              <w:rPr>
                <w:rFonts w:hint="eastAsia" w:ascii="仿宋" w:hAnsi="仿宋" w:eastAsia="仿宋" w:cs="宋体"/>
                <w:b/>
                <w:bCs/>
                <w:color w:val="000000"/>
              </w:rPr>
              <w:t>三级指标</w:t>
            </w:r>
          </w:p>
        </w:tc>
        <w:tc>
          <w:tcPr>
            <w:tcW w:w="844" w:type="pct"/>
            <w:shd w:val="clear" w:color="auto" w:fill="FFFFFF"/>
            <w:vAlign w:val="center"/>
          </w:tcPr>
          <w:p>
            <w:pPr>
              <w:widowControl/>
              <w:spacing w:line="0" w:lineRule="atLeast"/>
              <w:jc w:val="center"/>
              <w:rPr>
                <w:rFonts w:ascii="仿宋" w:hAnsi="仿宋" w:eastAsia="仿宋" w:cs="宋体"/>
                <w:b/>
                <w:bCs/>
                <w:color w:val="000000"/>
              </w:rPr>
            </w:pPr>
            <w:r>
              <w:rPr>
                <w:rFonts w:hint="eastAsia" w:ascii="仿宋" w:hAnsi="仿宋" w:eastAsia="仿宋" w:cs="宋体"/>
                <w:b/>
                <w:bCs/>
                <w:color w:val="000000"/>
              </w:rPr>
              <w:t>指标解释</w:t>
            </w:r>
          </w:p>
        </w:tc>
        <w:tc>
          <w:tcPr>
            <w:tcW w:w="1322" w:type="pct"/>
            <w:shd w:val="clear" w:color="auto" w:fill="FFFFFF"/>
            <w:vAlign w:val="center"/>
          </w:tcPr>
          <w:p>
            <w:pPr>
              <w:widowControl/>
              <w:spacing w:line="0" w:lineRule="atLeast"/>
              <w:jc w:val="center"/>
              <w:rPr>
                <w:rFonts w:ascii="仿宋" w:hAnsi="仿宋" w:eastAsia="仿宋" w:cs="宋体"/>
                <w:b/>
                <w:bCs/>
                <w:color w:val="000000"/>
              </w:rPr>
            </w:pPr>
            <w:r>
              <w:rPr>
                <w:rFonts w:hint="eastAsia" w:ascii="仿宋" w:hAnsi="仿宋" w:eastAsia="仿宋" w:cs="宋体"/>
                <w:b/>
                <w:bCs/>
                <w:color w:val="000000"/>
              </w:rPr>
              <w:t>指标说明</w:t>
            </w:r>
          </w:p>
        </w:tc>
        <w:tc>
          <w:tcPr>
            <w:tcW w:w="1067" w:type="pct"/>
            <w:shd w:val="clear" w:color="auto" w:fill="FFFFFF"/>
            <w:vAlign w:val="center"/>
          </w:tcPr>
          <w:p>
            <w:pPr>
              <w:widowControl/>
              <w:spacing w:line="0" w:lineRule="atLeast"/>
              <w:jc w:val="center"/>
              <w:rPr>
                <w:rFonts w:ascii="仿宋" w:hAnsi="仿宋" w:eastAsia="仿宋" w:cs="宋体"/>
                <w:b/>
                <w:bCs/>
                <w:color w:val="000000"/>
                <w:lang w:eastAsia="zh-CN"/>
              </w:rPr>
            </w:pPr>
            <w:r>
              <w:rPr>
                <w:rFonts w:hint="eastAsia" w:ascii="仿宋" w:hAnsi="仿宋" w:eastAsia="仿宋" w:cs="宋体"/>
                <w:b/>
                <w:bCs/>
                <w:color w:val="000000"/>
                <w:lang w:eastAsia="zh-CN"/>
              </w:rPr>
              <w:t>评分核准</w:t>
            </w:r>
          </w:p>
        </w:tc>
        <w:tc>
          <w:tcPr>
            <w:tcW w:w="260" w:type="pct"/>
            <w:shd w:val="clear" w:color="auto" w:fill="FFFFFF"/>
            <w:vAlign w:val="center"/>
          </w:tcPr>
          <w:p>
            <w:pPr>
              <w:widowControl/>
              <w:spacing w:line="0" w:lineRule="atLeast"/>
              <w:jc w:val="center"/>
              <w:rPr>
                <w:rFonts w:ascii="仿宋" w:hAnsi="仿宋" w:eastAsia="仿宋" w:cs="宋体"/>
                <w:b/>
                <w:bCs/>
                <w:color w:val="000000"/>
                <w:lang w:eastAsia="zh-CN"/>
              </w:rPr>
            </w:pPr>
            <w:r>
              <w:rPr>
                <w:rFonts w:hint="eastAsia" w:ascii="仿宋" w:hAnsi="仿宋" w:eastAsia="仿宋" w:cs="宋体"/>
                <w:b/>
                <w:bCs/>
                <w:color w:val="000000"/>
                <w:lang w:eastAsia="zh-CN"/>
              </w:rPr>
              <w:t>分值</w:t>
            </w:r>
          </w:p>
        </w:tc>
        <w:tc>
          <w:tcPr>
            <w:tcW w:w="254" w:type="pct"/>
            <w:shd w:val="clear" w:color="auto" w:fill="FFFFFF"/>
            <w:vAlign w:val="center"/>
          </w:tcPr>
          <w:p>
            <w:pPr>
              <w:widowControl/>
              <w:spacing w:line="0" w:lineRule="atLeast"/>
              <w:jc w:val="center"/>
              <w:rPr>
                <w:rFonts w:ascii="仿宋" w:hAnsi="仿宋" w:eastAsia="仿宋" w:cs="宋体"/>
                <w:b/>
                <w:bCs/>
                <w:color w:val="000000"/>
                <w:lang w:eastAsia="zh-CN"/>
              </w:rPr>
            </w:pPr>
            <w:r>
              <w:rPr>
                <w:rFonts w:hint="eastAsia" w:ascii="仿宋" w:hAnsi="仿宋" w:eastAsia="仿宋" w:cs="宋体"/>
                <w:b/>
                <w:bCs/>
                <w:color w:val="000000"/>
                <w:lang w:eastAsia="zh-CN"/>
              </w:rPr>
              <w:t>得分</w:t>
            </w:r>
          </w:p>
        </w:tc>
        <w:tc>
          <w:tcPr>
            <w:tcW w:w="366" w:type="pct"/>
            <w:shd w:val="clear" w:color="auto" w:fill="FFFFFF"/>
            <w:vAlign w:val="center"/>
          </w:tcPr>
          <w:p>
            <w:pPr>
              <w:widowControl/>
              <w:spacing w:line="0" w:lineRule="atLeast"/>
              <w:jc w:val="center"/>
              <w:rPr>
                <w:rFonts w:ascii="仿宋" w:hAnsi="仿宋" w:eastAsia="仿宋" w:cs="宋体"/>
                <w:b/>
                <w:bCs/>
                <w:color w:val="000000"/>
                <w:lang w:eastAsia="zh-CN"/>
              </w:rPr>
            </w:pPr>
            <w:r>
              <w:rPr>
                <w:rFonts w:hint="eastAsia" w:ascii="仿宋" w:hAnsi="仿宋" w:eastAsia="仿宋" w:cs="宋体"/>
                <w:b/>
                <w:bCs/>
                <w:color w:val="000000"/>
                <w:lang w:eastAsia="zh-CN"/>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50" w:hRule="atLeast"/>
          <w:jc w:val="center"/>
        </w:trPr>
        <w:tc>
          <w:tcPr>
            <w:tcW w:w="334" w:type="pct"/>
            <w:vMerge w:val="restar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决策</w:t>
            </w:r>
            <w:r>
              <w:rPr>
                <w:rFonts w:hint="eastAsia" w:ascii="仿宋" w:hAnsi="仿宋" w:eastAsia="仿宋" w:cs="宋体"/>
                <w:color w:val="000000"/>
                <w:lang w:eastAsia="zh-CN"/>
              </w:rPr>
              <w:t>（5）</w:t>
            </w:r>
            <w:r>
              <w:rPr>
                <w:rFonts w:hint="eastAsia" w:ascii="仿宋" w:hAnsi="仿宋" w:eastAsia="仿宋" w:cs="宋体"/>
                <w:color w:val="000000"/>
              </w:rPr>
              <w:t>　</w:t>
            </w:r>
          </w:p>
          <w:p>
            <w:pPr>
              <w:widowControl/>
              <w:spacing w:line="0" w:lineRule="atLeast"/>
              <w:jc w:val="center"/>
              <w:rPr>
                <w:rFonts w:ascii="仿宋" w:hAnsi="仿宋" w:eastAsia="仿宋" w:cs="宋体"/>
                <w:color w:val="000000"/>
              </w:rPr>
            </w:pPr>
            <w:r>
              <w:rPr>
                <w:rFonts w:hint="eastAsia" w:ascii="仿宋" w:hAnsi="仿宋" w:eastAsia="仿宋" w:cs="宋体"/>
                <w:color w:val="000000"/>
              </w:rPr>
              <w:t>　</w:t>
            </w:r>
          </w:p>
          <w:p>
            <w:pPr>
              <w:spacing w:line="0" w:lineRule="atLeast"/>
              <w:jc w:val="center"/>
              <w:rPr>
                <w:rFonts w:ascii="仿宋" w:hAnsi="仿宋" w:eastAsia="仿宋" w:cs="宋体"/>
                <w:color w:val="000000"/>
              </w:rPr>
            </w:pPr>
            <w:r>
              <w:rPr>
                <w:rFonts w:hint="eastAsia" w:ascii="仿宋" w:hAnsi="仿宋" w:eastAsia="仿宋" w:cs="宋体"/>
                <w:color w:val="000000"/>
              </w:rPr>
              <w:t>　</w:t>
            </w:r>
          </w:p>
        </w:tc>
        <w:tc>
          <w:tcPr>
            <w:tcW w:w="290" w:type="pct"/>
            <w:vMerge w:val="restar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项目立项　</w:t>
            </w:r>
          </w:p>
        </w:tc>
        <w:tc>
          <w:tcPr>
            <w:tcW w:w="258" w:type="pc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立项依据</w:t>
            </w:r>
          </w:p>
          <w:p>
            <w:pPr>
              <w:widowControl/>
              <w:spacing w:line="0" w:lineRule="atLeast"/>
              <w:jc w:val="center"/>
              <w:rPr>
                <w:rFonts w:ascii="仿宋" w:hAnsi="仿宋" w:eastAsia="仿宋" w:cs="宋体"/>
                <w:color w:val="000000"/>
              </w:rPr>
            </w:pPr>
            <w:r>
              <w:rPr>
                <w:rFonts w:hint="eastAsia" w:ascii="仿宋" w:hAnsi="仿宋" w:eastAsia="仿宋" w:cs="宋体"/>
                <w:color w:val="000000"/>
              </w:rPr>
              <w:t>充分性</w:t>
            </w:r>
          </w:p>
        </w:tc>
        <w:tc>
          <w:tcPr>
            <w:tcW w:w="844"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项目立项是否符合法律法规、相关政策、发展规划以及部门职责，用以反映和考核项目立项依据情况。</w:t>
            </w:r>
          </w:p>
        </w:tc>
        <w:tc>
          <w:tcPr>
            <w:tcW w:w="1322"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评价要点：</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①项目立项是否符合国家法律法规、国民经济发展规划和相关政策；</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②项目立项是否符合行业发展规划和政策要求；</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③项目立项是否与部门职责范围相符，属于部门履职所需；</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④项目是否属于公共财政支持范围，是否符合中央、地方事权支出责任划分原则；</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⑤项目是否与相关部门同类项目或部门内部相关项目重复。</w:t>
            </w:r>
          </w:p>
        </w:tc>
        <w:tc>
          <w:tcPr>
            <w:tcW w:w="1067"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①项目立项是否与部门职责范围相符，属于部门履职所需；</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②项目是否属于公共财政支持范围，是否符合中央、地方事权支出责任划分原则；</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③项目是否与相关部门同类项目或部门内部相关项目重复。符合以上条件得满分，否则扣分，直到扣完为止</w:t>
            </w:r>
          </w:p>
        </w:tc>
        <w:tc>
          <w:tcPr>
            <w:tcW w:w="260"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0.5</w:t>
            </w:r>
          </w:p>
        </w:tc>
        <w:tc>
          <w:tcPr>
            <w:tcW w:w="254"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0.5</w:t>
            </w:r>
          </w:p>
        </w:tc>
        <w:tc>
          <w:tcPr>
            <w:tcW w:w="366" w:type="pct"/>
            <w:shd w:val="clear" w:color="auto" w:fill="FFFFFF"/>
            <w:vAlign w:val="center"/>
          </w:tcPr>
          <w:p>
            <w:pPr>
              <w:widowControl/>
              <w:spacing w:line="0" w:lineRule="atLeast"/>
              <w:rPr>
                <w:rFonts w:ascii="仿宋" w:hAnsi="仿宋" w:eastAsia="仿宋"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13" w:hRule="atLeast"/>
          <w:jc w:val="center"/>
        </w:trPr>
        <w:tc>
          <w:tcPr>
            <w:tcW w:w="334" w:type="pct"/>
            <w:vMerge w:val="continue"/>
            <w:shd w:val="clear" w:color="auto" w:fill="FFFFFF"/>
            <w:vAlign w:val="center"/>
          </w:tcPr>
          <w:p>
            <w:pPr>
              <w:spacing w:line="0" w:lineRule="atLeast"/>
              <w:jc w:val="center"/>
              <w:rPr>
                <w:rFonts w:ascii="仿宋" w:hAnsi="仿宋" w:eastAsia="仿宋" w:cs="宋体"/>
                <w:color w:val="000000"/>
              </w:rPr>
            </w:pPr>
          </w:p>
        </w:tc>
        <w:tc>
          <w:tcPr>
            <w:tcW w:w="290" w:type="pct"/>
            <w:vMerge w:val="continue"/>
            <w:shd w:val="clear" w:color="auto" w:fill="FFFFFF"/>
            <w:vAlign w:val="center"/>
          </w:tcPr>
          <w:p>
            <w:pPr>
              <w:widowControl/>
              <w:spacing w:line="0" w:lineRule="atLeast"/>
              <w:jc w:val="center"/>
              <w:rPr>
                <w:rFonts w:ascii="仿宋" w:hAnsi="仿宋" w:eastAsia="仿宋" w:cs="宋体"/>
                <w:color w:val="000000"/>
              </w:rPr>
            </w:pPr>
          </w:p>
        </w:tc>
        <w:tc>
          <w:tcPr>
            <w:tcW w:w="258" w:type="pc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立项程序</w:t>
            </w:r>
          </w:p>
          <w:p>
            <w:pPr>
              <w:widowControl/>
              <w:spacing w:line="0" w:lineRule="atLeast"/>
              <w:jc w:val="center"/>
              <w:rPr>
                <w:rFonts w:ascii="仿宋" w:hAnsi="仿宋" w:eastAsia="仿宋" w:cs="宋体"/>
                <w:color w:val="000000"/>
              </w:rPr>
            </w:pPr>
            <w:r>
              <w:rPr>
                <w:rFonts w:hint="eastAsia" w:ascii="仿宋" w:hAnsi="仿宋" w:eastAsia="仿宋" w:cs="宋体"/>
                <w:color w:val="000000"/>
              </w:rPr>
              <w:t>规范性</w:t>
            </w:r>
          </w:p>
        </w:tc>
        <w:tc>
          <w:tcPr>
            <w:tcW w:w="844"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项目申请、设立过程是否符合相关要求，用以反映和考核项目立项的规范情况。</w:t>
            </w:r>
          </w:p>
        </w:tc>
        <w:tc>
          <w:tcPr>
            <w:tcW w:w="1322"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评价要点：</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①项目是否按照规定的程序申请设立；</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②审批文件、材料是否符合相关要求；</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③事前是否已经过必要的可行性研究、专家论证、风险评估、绩效评估、集体决策。</w:t>
            </w:r>
          </w:p>
        </w:tc>
        <w:tc>
          <w:tcPr>
            <w:tcW w:w="1067"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①项目是否按照规定的程序申请设立；</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②审批文件、材料是否符合相关要求；</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③事前是否已经过必要的可行性研究、专家论证、风险评估、绩效评估、集体决策。以上全部完整，得满分，否则扣分，直到扣完为止。</w:t>
            </w:r>
          </w:p>
        </w:tc>
        <w:tc>
          <w:tcPr>
            <w:tcW w:w="260"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0.5</w:t>
            </w:r>
          </w:p>
        </w:tc>
        <w:tc>
          <w:tcPr>
            <w:tcW w:w="254"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0.5</w:t>
            </w:r>
          </w:p>
        </w:tc>
        <w:tc>
          <w:tcPr>
            <w:tcW w:w="366" w:type="pct"/>
            <w:shd w:val="clear" w:color="auto" w:fill="FFFFFF"/>
            <w:vAlign w:val="center"/>
          </w:tcPr>
          <w:p>
            <w:pPr>
              <w:widowControl/>
              <w:spacing w:line="0" w:lineRule="atLeast"/>
              <w:rPr>
                <w:rFonts w:ascii="仿宋" w:hAnsi="仿宋" w:eastAsia="仿宋"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13" w:hRule="atLeast"/>
          <w:jc w:val="center"/>
        </w:trPr>
        <w:tc>
          <w:tcPr>
            <w:tcW w:w="334" w:type="pct"/>
            <w:vMerge w:val="continue"/>
            <w:shd w:val="clear" w:color="auto" w:fill="FFFFFF"/>
            <w:vAlign w:val="center"/>
          </w:tcPr>
          <w:p>
            <w:pPr>
              <w:spacing w:line="0" w:lineRule="atLeast"/>
              <w:jc w:val="center"/>
              <w:rPr>
                <w:rFonts w:ascii="仿宋" w:hAnsi="仿宋" w:eastAsia="仿宋" w:cs="宋体"/>
                <w:color w:val="000000"/>
              </w:rPr>
            </w:pPr>
          </w:p>
        </w:tc>
        <w:tc>
          <w:tcPr>
            <w:tcW w:w="290" w:type="pc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绩效目标　</w:t>
            </w:r>
          </w:p>
        </w:tc>
        <w:tc>
          <w:tcPr>
            <w:tcW w:w="258" w:type="pc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绩效目标</w:t>
            </w:r>
          </w:p>
          <w:p>
            <w:pPr>
              <w:widowControl/>
              <w:spacing w:line="0" w:lineRule="atLeast"/>
              <w:jc w:val="center"/>
              <w:rPr>
                <w:rFonts w:ascii="仿宋" w:hAnsi="仿宋" w:eastAsia="仿宋" w:cs="宋体"/>
                <w:color w:val="000000"/>
              </w:rPr>
            </w:pPr>
            <w:r>
              <w:rPr>
                <w:rFonts w:hint="eastAsia" w:ascii="仿宋" w:hAnsi="仿宋" w:eastAsia="仿宋" w:cs="宋体"/>
                <w:color w:val="000000"/>
              </w:rPr>
              <w:t>合理性</w:t>
            </w:r>
          </w:p>
        </w:tc>
        <w:tc>
          <w:tcPr>
            <w:tcW w:w="844"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项目所设定的绩效目标是否依据充分，是否符合客观实际，用以反映和考核项目绩效目标与项目实施的相符情况。</w:t>
            </w:r>
          </w:p>
        </w:tc>
        <w:tc>
          <w:tcPr>
            <w:tcW w:w="1322"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评价要点：</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（如未设定预算绩效目标，也可考核其他工作任务目标）</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①项目是否有绩效目标；</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②项目绩效目标与实际工作内容是否具有相关性；</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③项目预期产出效益和效果是否符合正常的业绩水平；</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④是否与预算确定的项目投资额或资金量相匹配。</w:t>
            </w:r>
          </w:p>
        </w:tc>
        <w:tc>
          <w:tcPr>
            <w:tcW w:w="1067"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①项目有明确绩效目标，得1分；②项目绩效目标与实际工作内容具有相关性，得1分。</w:t>
            </w:r>
          </w:p>
        </w:tc>
        <w:tc>
          <w:tcPr>
            <w:tcW w:w="260"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w:t>
            </w:r>
          </w:p>
        </w:tc>
        <w:tc>
          <w:tcPr>
            <w:tcW w:w="254"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w:t>
            </w:r>
          </w:p>
        </w:tc>
        <w:tc>
          <w:tcPr>
            <w:tcW w:w="366" w:type="pct"/>
            <w:shd w:val="clear" w:color="000000" w:fill="FFFFFF"/>
            <w:vAlign w:val="center"/>
          </w:tcPr>
          <w:p>
            <w:pPr>
              <w:widowControl/>
              <w:spacing w:line="0" w:lineRule="atLeast"/>
              <w:rPr>
                <w:rFonts w:ascii="仿宋" w:hAnsi="仿宋" w:eastAsia="仿宋"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54" w:hRule="atLeast"/>
          <w:jc w:val="center"/>
        </w:trPr>
        <w:tc>
          <w:tcPr>
            <w:tcW w:w="334" w:type="pct"/>
            <w:vMerge w:val="restart"/>
            <w:shd w:val="clear" w:color="auto" w:fill="FFFFFF"/>
            <w:vAlign w:val="center"/>
          </w:tcPr>
          <w:p>
            <w:pPr>
              <w:widowControl/>
              <w:spacing w:line="0" w:lineRule="atLeast"/>
              <w:jc w:val="both"/>
              <w:rPr>
                <w:rFonts w:ascii="仿宋" w:hAnsi="仿宋" w:eastAsia="仿宋" w:cs="宋体"/>
                <w:color w:val="000000"/>
              </w:rPr>
            </w:pPr>
            <w:r>
              <w:rPr>
                <w:rFonts w:hint="eastAsia" w:ascii="仿宋" w:hAnsi="仿宋" w:eastAsia="仿宋" w:cs="宋体"/>
                <w:color w:val="000000"/>
              </w:rPr>
              <w:t>　</w:t>
            </w:r>
          </w:p>
        </w:tc>
        <w:tc>
          <w:tcPr>
            <w:tcW w:w="290" w:type="pc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绩效目标</w:t>
            </w:r>
          </w:p>
        </w:tc>
        <w:tc>
          <w:tcPr>
            <w:tcW w:w="258" w:type="pc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绩效指标</w:t>
            </w:r>
          </w:p>
          <w:p>
            <w:pPr>
              <w:widowControl/>
              <w:spacing w:line="0" w:lineRule="atLeast"/>
              <w:jc w:val="center"/>
              <w:rPr>
                <w:rFonts w:ascii="仿宋" w:hAnsi="仿宋" w:eastAsia="仿宋" w:cs="宋体"/>
                <w:color w:val="000000"/>
              </w:rPr>
            </w:pPr>
            <w:r>
              <w:rPr>
                <w:rFonts w:hint="eastAsia" w:ascii="仿宋" w:hAnsi="仿宋" w:eastAsia="仿宋" w:cs="宋体"/>
                <w:color w:val="000000"/>
              </w:rPr>
              <w:t>明确性</w:t>
            </w:r>
          </w:p>
        </w:tc>
        <w:tc>
          <w:tcPr>
            <w:tcW w:w="844"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依据绩效目标设定的绩效指标是否清晰、细化、可衡量等，用以反映和考核项目绩效目标的明细化情况。</w:t>
            </w:r>
          </w:p>
        </w:tc>
        <w:tc>
          <w:tcPr>
            <w:tcW w:w="1322"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评价要点：</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①是否将项目绩效目标细化分解为具体的绩效指标；</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②是否通过清晰、可衡量的指标值予以体现；</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③是否与项目目标任务数或计划数相对应。</w:t>
            </w:r>
          </w:p>
          <w:p>
            <w:pPr>
              <w:widowControl/>
              <w:spacing w:line="0" w:lineRule="atLeast"/>
              <w:rPr>
                <w:rFonts w:ascii="仿宋" w:hAnsi="仿宋" w:eastAsia="仿宋" w:cs="宋体"/>
                <w:color w:val="000000"/>
                <w:lang w:eastAsia="zh-CN"/>
              </w:rPr>
            </w:pPr>
          </w:p>
        </w:tc>
        <w:tc>
          <w:tcPr>
            <w:tcW w:w="1067"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①将项目绩效目标细化分解为具体的绩效指标，得2分；②可以通过清晰、可衡量的指标值予以体现，得2分。</w:t>
            </w:r>
          </w:p>
        </w:tc>
        <w:tc>
          <w:tcPr>
            <w:tcW w:w="260"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w:t>
            </w:r>
          </w:p>
        </w:tc>
        <w:tc>
          <w:tcPr>
            <w:tcW w:w="254"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w:t>
            </w:r>
          </w:p>
        </w:tc>
        <w:tc>
          <w:tcPr>
            <w:tcW w:w="366" w:type="pct"/>
            <w:shd w:val="clear" w:color="000000" w:fill="FFFFFF"/>
            <w:vAlign w:val="center"/>
          </w:tcPr>
          <w:p>
            <w:pPr>
              <w:widowControl/>
              <w:spacing w:line="0" w:lineRule="atLeast"/>
              <w:rPr>
                <w:rFonts w:ascii="仿宋" w:hAnsi="仿宋" w:eastAsia="仿宋"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54" w:hRule="atLeast"/>
          <w:jc w:val="center"/>
        </w:trPr>
        <w:tc>
          <w:tcPr>
            <w:tcW w:w="334" w:type="pct"/>
            <w:vMerge w:val="continue"/>
            <w:shd w:val="clear" w:color="auto" w:fill="FFFFFF"/>
            <w:vAlign w:val="center"/>
          </w:tcPr>
          <w:p>
            <w:pPr>
              <w:spacing w:line="0" w:lineRule="atLeast"/>
              <w:jc w:val="center"/>
              <w:rPr>
                <w:rFonts w:ascii="仿宋" w:hAnsi="仿宋" w:eastAsia="仿宋" w:cs="宋体"/>
                <w:color w:val="000000"/>
              </w:rPr>
            </w:pPr>
          </w:p>
        </w:tc>
        <w:tc>
          <w:tcPr>
            <w:tcW w:w="290" w:type="pct"/>
            <w:vMerge w:val="restar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资金投入</w:t>
            </w:r>
          </w:p>
          <w:p>
            <w:pPr>
              <w:spacing w:line="0" w:lineRule="atLeast"/>
              <w:jc w:val="center"/>
              <w:rPr>
                <w:rFonts w:ascii="仿宋" w:hAnsi="仿宋" w:eastAsia="仿宋" w:cs="宋体"/>
                <w:color w:val="000000"/>
              </w:rPr>
            </w:pPr>
            <w:r>
              <w:rPr>
                <w:rFonts w:hint="eastAsia" w:ascii="仿宋" w:hAnsi="仿宋" w:eastAsia="仿宋" w:cs="宋体"/>
                <w:color w:val="000000"/>
              </w:rPr>
              <w:t>　</w:t>
            </w:r>
          </w:p>
        </w:tc>
        <w:tc>
          <w:tcPr>
            <w:tcW w:w="258" w:type="pc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预算编制</w:t>
            </w:r>
          </w:p>
          <w:p>
            <w:pPr>
              <w:widowControl/>
              <w:spacing w:line="0" w:lineRule="atLeast"/>
              <w:jc w:val="center"/>
              <w:rPr>
                <w:rFonts w:ascii="仿宋" w:hAnsi="仿宋" w:eastAsia="仿宋" w:cs="宋体"/>
                <w:color w:val="000000"/>
              </w:rPr>
            </w:pPr>
            <w:r>
              <w:rPr>
                <w:rFonts w:hint="eastAsia" w:ascii="仿宋" w:hAnsi="仿宋" w:eastAsia="仿宋" w:cs="宋体"/>
                <w:color w:val="000000"/>
              </w:rPr>
              <w:t>科学性</w:t>
            </w:r>
          </w:p>
        </w:tc>
        <w:tc>
          <w:tcPr>
            <w:tcW w:w="844"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项目预算编制是否经过科学论证、有明确标准，资金额度与年度目标是否相适应，用以反映和考核项目预算编制的科学性、合理性情况。</w:t>
            </w:r>
          </w:p>
        </w:tc>
        <w:tc>
          <w:tcPr>
            <w:tcW w:w="1322"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评价要点：</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①预算编制是否经过科学论证；</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②预算内容与项目内容是否匹配；</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③预算额度测算依据是否充分，是否按照标准编制；</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④预算确定的项目投资额或资金量是否与工作任务相匹配。</w:t>
            </w:r>
          </w:p>
        </w:tc>
        <w:tc>
          <w:tcPr>
            <w:tcW w:w="1067"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①预算内容与项目内容相匹配，得1分；②预算确定的项目投资额或资金量与工作任务相匹配，得1分。</w:t>
            </w:r>
          </w:p>
        </w:tc>
        <w:tc>
          <w:tcPr>
            <w:tcW w:w="260"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w:t>
            </w:r>
          </w:p>
        </w:tc>
        <w:tc>
          <w:tcPr>
            <w:tcW w:w="254"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w:t>
            </w:r>
          </w:p>
        </w:tc>
        <w:tc>
          <w:tcPr>
            <w:tcW w:w="366" w:type="pct"/>
            <w:shd w:val="clear" w:color="auto" w:fill="FFFFFF"/>
            <w:vAlign w:val="center"/>
          </w:tcPr>
          <w:p>
            <w:pPr>
              <w:widowControl/>
              <w:spacing w:line="0" w:lineRule="atLeast"/>
              <w:rPr>
                <w:rFonts w:ascii="仿宋" w:hAnsi="仿宋" w:eastAsia="仿宋"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54" w:hRule="atLeast"/>
          <w:jc w:val="center"/>
        </w:trPr>
        <w:tc>
          <w:tcPr>
            <w:tcW w:w="334" w:type="pct"/>
            <w:vMerge w:val="continue"/>
            <w:shd w:val="clear" w:color="auto" w:fill="FFFFFF"/>
            <w:vAlign w:val="center"/>
          </w:tcPr>
          <w:p>
            <w:pPr>
              <w:widowControl/>
              <w:spacing w:line="0" w:lineRule="atLeast"/>
              <w:jc w:val="center"/>
              <w:rPr>
                <w:rFonts w:ascii="仿宋" w:hAnsi="仿宋" w:eastAsia="仿宋" w:cs="宋体"/>
                <w:color w:val="000000"/>
              </w:rPr>
            </w:pPr>
          </w:p>
        </w:tc>
        <w:tc>
          <w:tcPr>
            <w:tcW w:w="290" w:type="pct"/>
            <w:vMerge w:val="continue"/>
            <w:shd w:val="clear" w:color="auto" w:fill="FFFFFF"/>
            <w:vAlign w:val="center"/>
          </w:tcPr>
          <w:p>
            <w:pPr>
              <w:widowControl/>
              <w:spacing w:line="0" w:lineRule="atLeast"/>
              <w:jc w:val="center"/>
              <w:rPr>
                <w:rFonts w:ascii="仿宋" w:hAnsi="仿宋" w:eastAsia="仿宋" w:cs="宋体"/>
                <w:color w:val="000000"/>
              </w:rPr>
            </w:pPr>
          </w:p>
        </w:tc>
        <w:tc>
          <w:tcPr>
            <w:tcW w:w="258" w:type="pc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资金分配</w:t>
            </w:r>
          </w:p>
          <w:p>
            <w:pPr>
              <w:widowControl/>
              <w:spacing w:line="0" w:lineRule="atLeast"/>
              <w:jc w:val="center"/>
              <w:rPr>
                <w:rFonts w:ascii="仿宋" w:hAnsi="仿宋" w:eastAsia="仿宋" w:cs="宋体"/>
                <w:color w:val="000000"/>
              </w:rPr>
            </w:pPr>
            <w:r>
              <w:rPr>
                <w:rFonts w:hint="eastAsia" w:ascii="仿宋" w:hAnsi="仿宋" w:eastAsia="仿宋" w:cs="宋体"/>
                <w:color w:val="000000"/>
              </w:rPr>
              <w:t>合理性</w:t>
            </w:r>
          </w:p>
        </w:tc>
        <w:tc>
          <w:tcPr>
            <w:tcW w:w="844"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项目预算资金分配是否有测算依据，与补助单位或地方实际是否相适应，用以反映和考核项目预算资金分配的科学性、合理性情况。</w:t>
            </w:r>
          </w:p>
        </w:tc>
        <w:tc>
          <w:tcPr>
            <w:tcW w:w="1322"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评价要点：</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①预算资金分配依据是否充分；</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②资金分配额度是否合理，与项目单位或地方实际是否相适应。</w:t>
            </w:r>
          </w:p>
        </w:tc>
        <w:tc>
          <w:tcPr>
            <w:tcW w:w="1067"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①预算资金分配依据充分，得1分；②资金分配额度合理，与项目单位或地方实际相适应，得1分。</w:t>
            </w:r>
          </w:p>
        </w:tc>
        <w:tc>
          <w:tcPr>
            <w:tcW w:w="260"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w:t>
            </w:r>
          </w:p>
        </w:tc>
        <w:tc>
          <w:tcPr>
            <w:tcW w:w="254"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w:t>
            </w:r>
          </w:p>
        </w:tc>
        <w:tc>
          <w:tcPr>
            <w:tcW w:w="366" w:type="pct"/>
            <w:shd w:val="clear" w:color="auto" w:fill="FFFFFF"/>
            <w:vAlign w:val="center"/>
          </w:tcPr>
          <w:p>
            <w:pPr>
              <w:widowControl/>
              <w:spacing w:line="0" w:lineRule="atLeast"/>
              <w:rPr>
                <w:rFonts w:ascii="仿宋" w:hAnsi="仿宋" w:eastAsia="仿宋"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54" w:hRule="atLeast"/>
          <w:jc w:val="center"/>
        </w:trPr>
        <w:tc>
          <w:tcPr>
            <w:tcW w:w="334" w:type="pct"/>
            <w:vMerge w:val="restart"/>
            <w:shd w:val="clear" w:color="auto" w:fill="FFFFFF"/>
            <w:vAlign w:val="center"/>
          </w:tcPr>
          <w:p>
            <w:pPr>
              <w:spacing w:line="0" w:lineRule="atLeast"/>
              <w:jc w:val="center"/>
              <w:rPr>
                <w:rFonts w:ascii="仿宋" w:hAnsi="仿宋" w:eastAsia="仿宋" w:cs="宋体"/>
                <w:color w:val="000000"/>
                <w:lang w:eastAsia="zh-CN"/>
              </w:rPr>
            </w:pPr>
            <w:r>
              <w:rPr>
                <w:rFonts w:hint="eastAsia" w:ascii="仿宋" w:hAnsi="仿宋" w:eastAsia="仿宋" w:cs="宋体"/>
                <w:color w:val="000000"/>
              </w:rPr>
              <w:t>过程</w:t>
            </w:r>
            <w:r>
              <w:rPr>
                <w:rFonts w:hint="eastAsia" w:ascii="仿宋" w:hAnsi="仿宋" w:eastAsia="仿宋" w:cs="宋体"/>
                <w:color w:val="000000"/>
                <w:lang w:eastAsia="zh-CN"/>
              </w:rPr>
              <w:t>（5）</w:t>
            </w:r>
          </w:p>
        </w:tc>
        <w:tc>
          <w:tcPr>
            <w:tcW w:w="290" w:type="pct"/>
            <w:vMerge w:val="restar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资金管理</w:t>
            </w:r>
          </w:p>
        </w:tc>
        <w:tc>
          <w:tcPr>
            <w:tcW w:w="258" w:type="pc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资金到位率</w:t>
            </w:r>
          </w:p>
        </w:tc>
        <w:tc>
          <w:tcPr>
            <w:tcW w:w="844"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实际到位资金与预算资金的比率，用以反映和考核资金落实情况对项目实施的总体保障程度。</w:t>
            </w:r>
          </w:p>
        </w:tc>
        <w:tc>
          <w:tcPr>
            <w:tcW w:w="1322"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资金到位率=（实际到位资金/预算资金）×100%。</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实际到位资金：一定时期（本年度或项目期）内落实到具体项目的资金。</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预算资金：一定时期（本年度或项目期）内预算安排到具体项目的资金。</w:t>
            </w:r>
          </w:p>
        </w:tc>
        <w:tc>
          <w:tcPr>
            <w:tcW w:w="1067"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达到100%得5分，较100%每低1%扣减权重分的5%，扣完权重分为止。</w:t>
            </w:r>
          </w:p>
        </w:tc>
        <w:tc>
          <w:tcPr>
            <w:tcW w:w="260"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w:t>
            </w:r>
          </w:p>
        </w:tc>
        <w:tc>
          <w:tcPr>
            <w:tcW w:w="254"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w:t>
            </w:r>
          </w:p>
        </w:tc>
        <w:tc>
          <w:tcPr>
            <w:tcW w:w="366" w:type="pct"/>
            <w:shd w:val="clear" w:color="000000" w:fill="FFFFFF"/>
            <w:vAlign w:val="center"/>
          </w:tcPr>
          <w:p>
            <w:pPr>
              <w:widowControl/>
              <w:spacing w:line="0" w:lineRule="atLeast"/>
              <w:rPr>
                <w:rFonts w:ascii="仿宋" w:hAnsi="仿宋" w:eastAsia="仿宋"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6" w:hRule="atLeast"/>
          <w:jc w:val="center"/>
        </w:trPr>
        <w:tc>
          <w:tcPr>
            <w:tcW w:w="334" w:type="pct"/>
            <w:vMerge w:val="continue"/>
            <w:shd w:val="clear" w:color="auto" w:fill="FFFFFF"/>
            <w:vAlign w:val="center"/>
          </w:tcPr>
          <w:p>
            <w:pPr>
              <w:spacing w:line="0" w:lineRule="atLeast"/>
              <w:jc w:val="center"/>
              <w:rPr>
                <w:rFonts w:ascii="仿宋" w:hAnsi="仿宋" w:eastAsia="仿宋" w:cs="宋体"/>
                <w:color w:val="000000"/>
              </w:rPr>
            </w:pPr>
          </w:p>
        </w:tc>
        <w:tc>
          <w:tcPr>
            <w:tcW w:w="290" w:type="pct"/>
            <w:vMerge w:val="continue"/>
            <w:shd w:val="clear" w:color="auto" w:fill="FFFFFF"/>
            <w:vAlign w:val="center"/>
          </w:tcPr>
          <w:p>
            <w:pPr>
              <w:spacing w:line="0" w:lineRule="atLeast"/>
              <w:jc w:val="center"/>
              <w:rPr>
                <w:rFonts w:ascii="仿宋" w:hAnsi="仿宋" w:eastAsia="仿宋" w:cs="宋体"/>
                <w:color w:val="000000"/>
              </w:rPr>
            </w:pPr>
          </w:p>
        </w:tc>
        <w:tc>
          <w:tcPr>
            <w:tcW w:w="258" w:type="pc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预算执行率</w:t>
            </w:r>
          </w:p>
        </w:tc>
        <w:tc>
          <w:tcPr>
            <w:tcW w:w="844"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项目预算资金是否按照计划执行，用以反映或考核项目预算执行情况。</w:t>
            </w:r>
          </w:p>
        </w:tc>
        <w:tc>
          <w:tcPr>
            <w:tcW w:w="1322"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预算执行率=（实际支出资金/实际到位资金）×100%。</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实际支出资金：一定时期（本年度或项目期）内项目实际拨付的资金。</w:t>
            </w:r>
          </w:p>
        </w:tc>
        <w:tc>
          <w:tcPr>
            <w:tcW w:w="1067"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90%≤比率≤100%得满分，每超出或减少该区间1%，扣权重分的5%，扣完为止。</w:t>
            </w:r>
          </w:p>
        </w:tc>
        <w:tc>
          <w:tcPr>
            <w:tcW w:w="260"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w:t>
            </w:r>
          </w:p>
        </w:tc>
        <w:tc>
          <w:tcPr>
            <w:tcW w:w="254"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w:t>
            </w:r>
          </w:p>
        </w:tc>
        <w:tc>
          <w:tcPr>
            <w:tcW w:w="366" w:type="pct"/>
            <w:shd w:val="clear" w:color="auto" w:fill="FFFFFF"/>
            <w:vAlign w:val="center"/>
          </w:tcPr>
          <w:p>
            <w:pPr>
              <w:widowControl/>
              <w:spacing w:line="0" w:lineRule="atLeast"/>
              <w:rPr>
                <w:rFonts w:ascii="仿宋" w:hAnsi="仿宋" w:eastAsia="仿宋"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13" w:hRule="atLeast"/>
          <w:jc w:val="center"/>
        </w:trPr>
        <w:tc>
          <w:tcPr>
            <w:tcW w:w="334" w:type="pct"/>
            <w:vMerge w:val="restar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　</w:t>
            </w:r>
          </w:p>
          <w:p>
            <w:pPr>
              <w:spacing w:line="0" w:lineRule="atLeast"/>
              <w:jc w:val="center"/>
              <w:rPr>
                <w:rFonts w:ascii="仿宋" w:hAnsi="仿宋" w:eastAsia="仿宋" w:cs="宋体"/>
                <w:color w:val="000000"/>
              </w:rPr>
            </w:pPr>
            <w:r>
              <w:rPr>
                <w:rFonts w:hint="eastAsia" w:ascii="仿宋" w:hAnsi="仿宋" w:eastAsia="仿宋" w:cs="宋体"/>
                <w:color w:val="000000"/>
              </w:rPr>
              <w:t>过程　</w:t>
            </w:r>
          </w:p>
        </w:tc>
        <w:tc>
          <w:tcPr>
            <w:tcW w:w="290" w:type="pc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资金管理</w:t>
            </w:r>
          </w:p>
        </w:tc>
        <w:tc>
          <w:tcPr>
            <w:tcW w:w="258" w:type="pc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资金使用</w:t>
            </w:r>
          </w:p>
          <w:p>
            <w:pPr>
              <w:widowControl/>
              <w:spacing w:line="0" w:lineRule="atLeast"/>
              <w:jc w:val="center"/>
              <w:rPr>
                <w:rFonts w:ascii="仿宋" w:hAnsi="仿宋" w:eastAsia="仿宋" w:cs="宋体"/>
                <w:color w:val="000000"/>
              </w:rPr>
            </w:pPr>
            <w:r>
              <w:rPr>
                <w:rFonts w:hint="eastAsia" w:ascii="仿宋" w:hAnsi="仿宋" w:eastAsia="仿宋" w:cs="宋体"/>
                <w:color w:val="000000"/>
              </w:rPr>
              <w:t>合规性</w:t>
            </w:r>
          </w:p>
        </w:tc>
        <w:tc>
          <w:tcPr>
            <w:tcW w:w="844"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项目资金使用是否符合相关的财务管理制度规定，用以反映和考核项目资金的规范运行情况。</w:t>
            </w:r>
          </w:p>
        </w:tc>
        <w:tc>
          <w:tcPr>
            <w:tcW w:w="1322"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评价要点：</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①是否符合国家财经法规和财务管理制度以及有关专项资金管理办法的规定；</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②资金的拨付是否有完整的审批程序和手续；</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③是否符合项目预算批复或合同规定的用途；</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④是否存在截留、挤占、挪用、虚列支出等情况。</w:t>
            </w:r>
          </w:p>
        </w:tc>
        <w:tc>
          <w:tcPr>
            <w:tcW w:w="1067"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符合财务管理制度以及有关专项资金管理办法的规定；②资金的拨付有完整的审批程序和手续；③不存在截留、挤占、挪用、虚列支出等情况；以上各项占权重分的1/3，每出现一项不符扣相应权重分，扣完权重分为止。</w:t>
            </w:r>
          </w:p>
        </w:tc>
        <w:tc>
          <w:tcPr>
            <w:tcW w:w="260"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w:t>
            </w:r>
          </w:p>
        </w:tc>
        <w:tc>
          <w:tcPr>
            <w:tcW w:w="254"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w:t>
            </w:r>
          </w:p>
        </w:tc>
        <w:tc>
          <w:tcPr>
            <w:tcW w:w="366" w:type="pct"/>
            <w:shd w:val="clear" w:color="000000" w:fill="FFFFFF"/>
            <w:vAlign w:val="center"/>
          </w:tcPr>
          <w:p>
            <w:pPr>
              <w:widowControl/>
              <w:spacing w:line="0" w:lineRule="atLeast"/>
              <w:rPr>
                <w:rFonts w:ascii="仿宋" w:hAnsi="仿宋" w:eastAsia="仿宋"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75" w:hRule="atLeast"/>
          <w:jc w:val="center"/>
        </w:trPr>
        <w:tc>
          <w:tcPr>
            <w:tcW w:w="334" w:type="pct"/>
            <w:vMerge w:val="continue"/>
            <w:shd w:val="clear" w:color="auto" w:fill="FFFFFF"/>
            <w:vAlign w:val="center"/>
          </w:tcPr>
          <w:p>
            <w:pPr>
              <w:spacing w:line="0" w:lineRule="atLeast"/>
              <w:jc w:val="center"/>
              <w:rPr>
                <w:rFonts w:ascii="仿宋" w:hAnsi="仿宋" w:eastAsia="仿宋" w:cs="宋体"/>
                <w:color w:val="000000"/>
              </w:rPr>
            </w:pPr>
          </w:p>
        </w:tc>
        <w:tc>
          <w:tcPr>
            <w:tcW w:w="290" w:type="pct"/>
            <w:vMerge w:val="restar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组织实施</w:t>
            </w:r>
          </w:p>
          <w:p>
            <w:pPr>
              <w:spacing w:line="0" w:lineRule="atLeast"/>
              <w:jc w:val="center"/>
              <w:rPr>
                <w:rFonts w:ascii="仿宋" w:hAnsi="仿宋" w:eastAsia="仿宋" w:cs="宋体"/>
                <w:color w:val="000000"/>
              </w:rPr>
            </w:pPr>
            <w:r>
              <w:rPr>
                <w:rFonts w:hint="eastAsia" w:ascii="仿宋" w:hAnsi="仿宋" w:eastAsia="仿宋" w:cs="宋体"/>
                <w:color w:val="000000"/>
              </w:rPr>
              <w:t>　</w:t>
            </w:r>
          </w:p>
        </w:tc>
        <w:tc>
          <w:tcPr>
            <w:tcW w:w="258" w:type="pc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管理制度</w:t>
            </w:r>
          </w:p>
          <w:p>
            <w:pPr>
              <w:widowControl/>
              <w:spacing w:line="0" w:lineRule="atLeast"/>
              <w:jc w:val="center"/>
              <w:rPr>
                <w:rFonts w:ascii="仿宋" w:hAnsi="仿宋" w:eastAsia="仿宋" w:cs="宋体"/>
                <w:color w:val="000000"/>
              </w:rPr>
            </w:pPr>
            <w:r>
              <w:rPr>
                <w:rFonts w:hint="eastAsia" w:ascii="仿宋" w:hAnsi="仿宋" w:eastAsia="仿宋" w:cs="宋体"/>
                <w:color w:val="000000"/>
              </w:rPr>
              <w:t>健全性</w:t>
            </w:r>
          </w:p>
        </w:tc>
        <w:tc>
          <w:tcPr>
            <w:tcW w:w="844"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项目实施单位的财务和业务管理制度是否健全，用以反映和考核财务和业务管理制度对项目顺利实施的保障情况。</w:t>
            </w:r>
          </w:p>
        </w:tc>
        <w:tc>
          <w:tcPr>
            <w:tcW w:w="1322"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评价要点：</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①是否已制定或具有相应的财务和业务管理制度；</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②财务和业务管理制度是否合法、合规、完整。</w:t>
            </w:r>
          </w:p>
        </w:tc>
        <w:tc>
          <w:tcPr>
            <w:tcW w:w="1067"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①已制定或具有相应的财务和业务管理制度，得3分；②财务和业务管理制度合法、合规、完整，得3分。</w:t>
            </w:r>
          </w:p>
        </w:tc>
        <w:tc>
          <w:tcPr>
            <w:tcW w:w="260"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w:t>
            </w:r>
          </w:p>
        </w:tc>
        <w:tc>
          <w:tcPr>
            <w:tcW w:w="254"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w:t>
            </w:r>
          </w:p>
        </w:tc>
        <w:tc>
          <w:tcPr>
            <w:tcW w:w="366" w:type="pct"/>
            <w:shd w:val="clear" w:color="000000" w:fill="FFFFFF"/>
            <w:vAlign w:val="center"/>
          </w:tcPr>
          <w:p>
            <w:pPr>
              <w:widowControl/>
              <w:spacing w:line="0" w:lineRule="atLeast"/>
              <w:rPr>
                <w:rFonts w:ascii="仿宋" w:hAnsi="仿宋" w:eastAsia="仿宋"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13" w:hRule="atLeast"/>
          <w:jc w:val="center"/>
        </w:trPr>
        <w:tc>
          <w:tcPr>
            <w:tcW w:w="334" w:type="pct"/>
            <w:vMerge w:val="continue"/>
            <w:shd w:val="clear" w:color="auto" w:fill="FFFFFF"/>
            <w:vAlign w:val="center"/>
          </w:tcPr>
          <w:p>
            <w:pPr>
              <w:widowControl/>
              <w:spacing w:line="0" w:lineRule="atLeast"/>
              <w:jc w:val="center"/>
              <w:rPr>
                <w:rFonts w:ascii="仿宋" w:hAnsi="仿宋" w:eastAsia="仿宋" w:cs="宋体"/>
                <w:color w:val="000000"/>
              </w:rPr>
            </w:pPr>
          </w:p>
        </w:tc>
        <w:tc>
          <w:tcPr>
            <w:tcW w:w="290" w:type="pct"/>
            <w:vMerge w:val="continue"/>
            <w:shd w:val="clear" w:color="auto" w:fill="FFFFFF"/>
            <w:vAlign w:val="center"/>
          </w:tcPr>
          <w:p>
            <w:pPr>
              <w:widowControl/>
              <w:spacing w:line="0" w:lineRule="atLeast"/>
              <w:jc w:val="center"/>
              <w:rPr>
                <w:rFonts w:ascii="仿宋" w:hAnsi="仿宋" w:eastAsia="仿宋" w:cs="宋体"/>
                <w:color w:val="000000"/>
              </w:rPr>
            </w:pPr>
          </w:p>
        </w:tc>
        <w:tc>
          <w:tcPr>
            <w:tcW w:w="258" w:type="pc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制度执行</w:t>
            </w:r>
          </w:p>
          <w:p>
            <w:pPr>
              <w:widowControl/>
              <w:spacing w:line="0" w:lineRule="atLeast"/>
              <w:jc w:val="center"/>
              <w:rPr>
                <w:rFonts w:ascii="仿宋" w:hAnsi="仿宋" w:eastAsia="仿宋" w:cs="宋体"/>
                <w:color w:val="000000"/>
              </w:rPr>
            </w:pPr>
            <w:r>
              <w:rPr>
                <w:rFonts w:hint="eastAsia" w:ascii="仿宋" w:hAnsi="仿宋" w:eastAsia="仿宋" w:cs="宋体"/>
                <w:color w:val="000000"/>
              </w:rPr>
              <w:t>有效性</w:t>
            </w:r>
          </w:p>
        </w:tc>
        <w:tc>
          <w:tcPr>
            <w:tcW w:w="844"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项目实施是否符合相关管理规定，用以反映和考核相关管理制度的有效执行情况。</w:t>
            </w:r>
          </w:p>
        </w:tc>
        <w:tc>
          <w:tcPr>
            <w:tcW w:w="1322"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评价要点：</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①是否遵守相关法律法规和相关管理规定；</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②项目调整及支出调整手续是否完备；</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③项目合同书、验收报告、技术鉴定等资料是否齐全并及时归档；</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④项目实施的人员条件、场地设备、信息支撑等是否落实到位。</w:t>
            </w:r>
          </w:p>
        </w:tc>
        <w:tc>
          <w:tcPr>
            <w:tcW w:w="1067"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①配有专门的财务监控人员；②遵守相关法律法规和相关管理规定；③支出调整及支出调整手续是否完备；以上各项占权重分的1/3，每出现一项不符扣相应权重分，扣完权重分为止。</w:t>
            </w:r>
          </w:p>
        </w:tc>
        <w:tc>
          <w:tcPr>
            <w:tcW w:w="260"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w:t>
            </w:r>
          </w:p>
        </w:tc>
        <w:tc>
          <w:tcPr>
            <w:tcW w:w="254"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w:t>
            </w:r>
          </w:p>
        </w:tc>
        <w:tc>
          <w:tcPr>
            <w:tcW w:w="366" w:type="pct"/>
            <w:shd w:val="clear" w:color="000000" w:fill="FFFFFF"/>
            <w:vAlign w:val="center"/>
          </w:tcPr>
          <w:p>
            <w:pPr>
              <w:widowControl/>
              <w:spacing w:line="0" w:lineRule="atLeast"/>
              <w:rPr>
                <w:rFonts w:ascii="仿宋" w:hAnsi="仿宋" w:eastAsia="仿宋"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33" w:hRule="atLeast"/>
          <w:jc w:val="center"/>
        </w:trPr>
        <w:tc>
          <w:tcPr>
            <w:tcW w:w="334" w:type="pct"/>
            <w:shd w:val="clear" w:color="auto" w:fill="FFFFFF"/>
            <w:vAlign w:val="center"/>
          </w:tcPr>
          <w:p>
            <w:pPr>
              <w:widowControl/>
              <w:spacing w:line="0" w:lineRule="atLeast"/>
              <w:jc w:val="center"/>
              <w:rPr>
                <w:rFonts w:ascii="仿宋" w:hAnsi="仿宋" w:eastAsia="仿宋" w:cs="宋体"/>
                <w:color w:val="000000"/>
                <w:lang w:eastAsia="zh-CN"/>
              </w:rPr>
            </w:pPr>
            <w:r>
              <w:rPr>
                <w:rFonts w:hint="eastAsia" w:ascii="仿宋" w:hAnsi="仿宋" w:eastAsia="仿宋" w:cs="宋体"/>
                <w:color w:val="000000"/>
              </w:rPr>
              <w:t>产出</w:t>
            </w:r>
            <w:r>
              <w:rPr>
                <w:rFonts w:hint="eastAsia" w:ascii="仿宋" w:hAnsi="仿宋" w:eastAsia="仿宋" w:cs="宋体"/>
                <w:color w:val="000000"/>
                <w:lang w:eastAsia="zh-CN"/>
              </w:rPr>
              <w:t>（40）</w:t>
            </w:r>
          </w:p>
        </w:tc>
        <w:tc>
          <w:tcPr>
            <w:tcW w:w="290" w:type="pc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产出数量</w:t>
            </w:r>
          </w:p>
        </w:tc>
        <w:tc>
          <w:tcPr>
            <w:tcW w:w="258" w:type="pc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实际完成率</w:t>
            </w:r>
          </w:p>
        </w:tc>
        <w:tc>
          <w:tcPr>
            <w:tcW w:w="844"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项目实施的实际产出数与计划产出数的比率，用以反映和考核项目产出数量目标的实现程度。</w:t>
            </w:r>
          </w:p>
        </w:tc>
        <w:tc>
          <w:tcPr>
            <w:tcW w:w="1322"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实际完成率=（实际产出数/计划产出数）×100%。</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实际产出数：一定时期（本年度或项目期）内项目实际产出的产品或提供的服务数量。</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计划产出数：项目绩效目标确定的在一定时期（本年度或项目期）内计划产出的产品或提供的服务数量。</w:t>
            </w:r>
          </w:p>
        </w:tc>
        <w:tc>
          <w:tcPr>
            <w:tcW w:w="1067"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①按要求完成单位计划数量；②完成计划数量的100%；③完成计划规定数量；以上各项完成率各占权重分的1/3，每出现一项完成率未达100%扣相应权重分，扣完权重分为止。</w:t>
            </w:r>
          </w:p>
        </w:tc>
        <w:tc>
          <w:tcPr>
            <w:tcW w:w="260"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10</w:t>
            </w:r>
          </w:p>
        </w:tc>
        <w:tc>
          <w:tcPr>
            <w:tcW w:w="254"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10</w:t>
            </w:r>
          </w:p>
        </w:tc>
        <w:tc>
          <w:tcPr>
            <w:tcW w:w="366" w:type="pct"/>
            <w:shd w:val="clear" w:color="000000" w:fill="FFFFFF"/>
            <w:vAlign w:val="center"/>
          </w:tcPr>
          <w:p>
            <w:pPr>
              <w:widowControl/>
              <w:spacing w:line="0" w:lineRule="atLeast"/>
              <w:rPr>
                <w:rFonts w:ascii="仿宋" w:hAnsi="仿宋" w:eastAsia="仿宋"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33" w:hRule="atLeast"/>
          <w:jc w:val="center"/>
        </w:trPr>
        <w:tc>
          <w:tcPr>
            <w:tcW w:w="334" w:type="pct"/>
            <w:vMerge w:val="restar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产出</w:t>
            </w:r>
          </w:p>
        </w:tc>
        <w:tc>
          <w:tcPr>
            <w:tcW w:w="290" w:type="pc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产出质量</w:t>
            </w:r>
          </w:p>
        </w:tc>
        <w:tc>
          <w:tcPr>
            <w:tcW w:w="258" w:type="pc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质量达标率</w:t>
            </w:r>
          </w:p>
        </w:tc>
        <w:tc>
          <w:tcPr>
            <w:tcW w:w="844"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项目完成的质量达标产出数与实际产出数的比率，用以反映和考核项目产出质量目标的实现程度。</w:t>
            </w:r>
          </w:p>
        </w:tc>
        <w:tc>
          <w:tcPr>
            <w:tcW w:w="1322"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质量达标率=（质量达标产出数/实际产出数）×100%。</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067"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w:t>
            </w:r>
            <w:r>
              <w:rPr>
                <w:rFonts w:hint="eastAsia" w:ascii="仿宋" w:hAnsi="仿宋" w:eastAsia="仿宋" w:cs="宋体"/>
                <w:color w:val="000000"/>
                <w:sz w:val="18"/>
                <w:szCs w:val="18"/>
                <w:lang w:eastAsia="zh-CN"/>
              </w:rPr>
              <w:t>保证完成任务的质量</w:t>
            </w:r>
            <w:r>
              <w:rPr>
                <w:rFonts w:hint="eastAsia" w:ascii="仿宋" w:hAnsi="仿宋" w:eastAsia="仿宋" w:cs="宋体"/>
                <w:color w:val="000000"/>
                <w:lang w:eastAsia="zh-CN"/>
              </w:rPr>
              <w:t>；②实现预定计划质量完成率；以上各项完成率各占权重分的1/4，每出现一项未达标率扣相应权重分，扣完权重分为止。</w:t>
            </w:r>
          </w:p>
        </w:tc>
        <w:tc>
          <w:tcPr>
            <w:tcW w:w="260"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10</w:t>
            </w:r>
          </w:p>
        </w:tc>
        <w:tc>
          <w:tcPr>
            <w:tcW w:w="254"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10</w:t>
            </w:r>
          </w:p>
        </w:tc>
        <w:tc>
          <w:tcPr>
            <w:tcW w:w="366" w:type="pct"/>
            <w:shd w:val="clear" w:color="000000" w:fill="FFFFFF"/>
            <w:vAlign w:val="center"/>
          </w:tcPr>
          <w:p>
            <w:pPr>
              <w:widowControl/>
              <w:spacing w:line="0" w:lineRule="atLeast"/>
              <w:rPr>
                <w:rFonts w:ascii="仿宋" w:hAnsi="仿宋" w:eastAsia="仿宋"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75" w:hRule="atLeast"/>
          <w:jc w:val="center"/>
        </w:trPr>
        <w:tc>
          <w:tcPr>
            <w:tcW w:w="334" w:type="pct"/>
            <w:vMerge w:val="continue"/>
            <w:shd w:val="clear" w:color="auto" w:fill="FFFFFF"/>
            <w:vAlign w:val="center"/>
          </w:tcPr>
          <w:p>
            <w:pPr>
              <w:spacing w:line="0" w:lineRule="atLeast"/>
              <w:jc w:val="center"/>
              <w:rPr>
                <w:rFonts w:ascii="仿宋" w:hAnsi="仿宋" w:eastAsia="仿宋" w:cs="宋体"/>
                <w:color w:val="000000"/>
              </w:rPr>
            </w:pPr>
          </w:p>
        </w:tc>
        <w:tc>
          <w:tcPr>
            <w:tcW w:w="290" w:type="pct"/>
            <w:shd w:val="clear" w:color="auto" w:fill="FFFFFF"/>
            <w:vAlign w:val="center"/>
          </w:tcPr>
          <w:p>
            <w:pPr>
              <w:spacing w:line="0" w:lineRule="atLeast"/>
              <w:jc w:val="center"/>
              <w:rPr>
                <w:rFonts w:ascii="仿宋" w:hAnsi="仿宋" w:eastAsia="仿宋" w:cs="宋体"/>
                <w:color w:val="000000"/>
              </w:rPr>
            </w:pPr>
            <w:r>
              <w:rPr>
                <w:rFonts w:hint="eastAsia" w:ascii="仿宋" w:hAnsi="仿宋" w:eastAsia="仿宋" w:cs="宋体"/>
                <w:color w:val="000000"/>
              </w:rPr>
              <w:t>产出时效</w:t>
            </w:r>
          </w:p>
        </w:tc>
        <w:tc>
          <w:tcPr>
            <w:tcW w:w="258" w:type="pc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完成及时性</w:t>
            </w:r>
          </w:p>
        </w:tc>
        <w:tc>
          <w:tcPr>
            <w:tcW w:w="844"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项目实际完成时间与计划完成时间的比较，用以反映和考核项目产出时效目标的实现程度。</w:t>
            </w:r>
          </w:p>
        </w:tc>
        <w:tc>
          <w:tcPr>
            <w:tcW w:w="1322"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实际完成时间：项目实施单位完成该项目实际所耗用的时间。</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计划完成时间：按照项目实施计划或相关规定完成该项目所需的时间。</w:t>
            </w:r>
          </w:p>
        </w:tc>
        <w:tc>
          <w:tcPr>
            <w:tcW w:w="1067"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①项目在规定的时间内完成；②规定的时间内完成及时率达标；以上各项完成率各占权重分的1/2，每出现一项完成率未达100%扣相应权重分，扣完权重分为止。</w:t>
            </w:r>
          </w:p>
        </w:tc>
        <w:tc>
          <w:tcPr>
            <w:tcW w:w="260"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10</w:t>
            </w:r>
          </w:p>
        </w:tc>
        <w:tc>
          <w:tcPr>
            <w:tcW w:w="254"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10</w:t>
            </w:r>
          </w:p>
        </w:tc>
        <w:tc>
          <w:tcPr>
            <w:tcW w:w="366" w:type="pct"/>
            <w:shd w:val="clear" w:color="000000" w:fill="FFFFFF"/>
            <w:vAlign w:val="center"/>
          </w:tcPr>
          <w:p>
            <w:pPr>
              <w:widowControl/>
              <w:spacing w:line="0" w:lineRule="atLeast"/>
              <w:rPr>
                <w:rFonts w:ascii="仿宋" w:hAnsi="仿宋" w:eastAsia="仿宋"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3" w:hRule="atLeast"/>
          <w:jc w:val="center"/>
        </w:trPr>
        <w:tc>
          <w:tcPr>
            <w:tcW w:w="334" w:type="pct"/>
            <w:vMerge w:val="continue"/>
            <w:shd w:val="clear" w:color="auto" w:fill="FFFFFF"/>
            <w:vAlign w:val="center"/>
          </w:tcPr>
          <w:p>
            <w:pPr>
              <w:widowControl/>
              <w:spacing w:line="0" w:lineRule="atLeast"/>
              <w:jc w:val="center"/>
              <w:rPr>
                <w:rFonts w:ascii="仿宋" w:hAnsi="仿宋" w:eastAsia="仿宋" w:cs="宋体"/>
                <w:color w:val="000000"/>
              </w:rPr>
            </w:pPr>
          </w:p>
        </w:tc>
        <w:tc>
          <w:tcPr>
            <w:tcW w:w="290" w:type="pc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产出成本</w:t>
            </w:r>
          </w:p>
        </w:tc>
        <w:tc>
          <w:tcPr>
            <w:tcW w:w="258" w:type="pc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成本节约率</w:t>
            </w:r>
          </w:p>
        </w:tc>
        <w:tc>
          <w:tcPr>
            <w:tcW w:w="844"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完成项目计划工作目标的实际节约成本与计划成本的比率，用以反映和考核项目的成本节约程度。</w:t>
            </w:r>
          </w:p>
        </w:tc>
        <w:tc>
          <w:tcPr>
            <w:tcW w:w="1322" w:type="pct"/>
            <w:shd w:val="clear" w:color="000000" w:fill="FFFFFF"/>
            <w:vAlign w:val="center"/>
          </w:tcPr>
          <w:p>
            <w:pPr>
              <w:widowControl/>
              <w:spacing w:line="0" w:lineRule="atLeast"/>
              <w:rPr>
                <w:rFonts w:ascii="仿宋" w:hAnsi="仿宋" w:eastAsia="仿宋" w:cs="宋体"/>
                <w:color w:val="000000"/>
                <w:lang w:eastAsia="zh-CN"/>
              </w:rPr>
            </w:pP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成本节约率=[（计划成本-实际成本）/计划成本]×100%。</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实际成本：项目实施单位如期、保质、保量完成既定工作目标实际所耗费的支出。</w:t>
            </w:r>
          </w:p>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计划成本：项目实施单位为完成工作目标计划安排的支出，一般以项目预算为参考。</w:t>
            </w:r>
          </w:p>
        </w:tc>
        <w:tc>
          <w:tcPr>
            <w:tcW w:w="1067"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①完成计划成本节约率；②执行情况完成节约率；③节约开支减少，达到成本节约率；成本节约率在10%和20%之间得1分；成本节约率在20%和30%之间得2分；成本节约率大于30%得3分；以上各项成本节约率各占权重分的1/3。</w:t>
            </w:r>
          </w:p>
        </w:tc>
        <w:tc>
          <w:tcPr>
            <w:tcW w:w="260"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10</w:t>
            </w:r>
          </w:p>
        </w:tc>
        <w:tc>
          <w:tcPr>
            <w:tcW w:w="254"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10</w:t>
            </w:r>
          </w:p>
        </w:tc>
        <w:tc>
          <w:tcPr>
            <w:tcW w:w="366" w:type="pct"/>
            <w:shd w:val="clear" w:color="000000" w:fill="FFFFFF"/>
            <w:vAlign w:val="center"/>
          </w:tcPr>
          <w:p>
            <w:pPr>
              <w:widowControl/>
              <w:spacing w:line="0" w:lineRule="atLeast"/>
              <w:rPr>
                <w:rFonts w:ascii="仿宋" w:hAnsi="仿宋" w:eastAsia="仿宋"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34" w:type="pct"/>
            <w:vMerge w:val="restar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效益</w:t>
            </w:r>
            <w:r>
              <w:rPr>
                <w:rFonts w:hint="eastAsia" w:ascii="仿宋" w:hAnsi="仿宋" w:eastAsia="仿宋" w:cs="宋体"/>
                <w:color w:val="000000"/>
                <w:lang w:eastAsia="zh-CN"/>
              </w:rPr>
              <w:t>（30）</w:t>
            </w:r>
            <w:r>
              <w:rPr>
                <w:rFonts w:hint="eastAsia" w:ascii="仿宋" w:hAnsi="仿宋" w:eastAsia="仿宋" w:cs="宋体"/>
                <w:color w:val="000000"/>
              </w:rPr>
              <w:t>　</w:t>
            </w:r>
          </w:p>
        </w:tc>
        <w:tc>
          <w:tcPr>
            <w:tcW w:w="290" w:type="pct"/>
            <w:vMerge w:val="restar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项目效益　</w:t>
            </w:r>
          </w:p>
        </w:tc>
        <w:tc>
          <w:tcPr>
            <w:tcW w:w="258" w:type="pc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实施效益</w:t>
            </w:r>
          </w:p>
        </w:tc>
        <w:tc>
          <w:tcPr>
            <w:tcW w:w="844"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项目实施所产生的效益。</w:t>
            </w:r>
          </w:p>
        </w:tc>
        <w:tc>
          <w:tcPr>
            <w:tcW w:w="1322"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项目实施所产生的社会效益、经济效益、生态效益、可持续影响等。可根据项目实际情况有选择地设置和细化。</w:t>
            </w:r>
          </w:p>
        </w:tc>
        <w:tc>
          <w:tcPr>
            <w:tcW w:w="1067"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通过项目的实施，达到预定的计划效益目标得满分，否则扣分，直到扣完为止。</w:t>
            </w:r>
          </w:p>
        </w:tc>
        <w:tc>
          <w:tcPr>
            <w:tcW w:w="260" w:type="pct"/>
            <w:shd w:val="clear" w:color="auto"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40</w:t>
            </w:r>
          </w:p>
        </w:tc>
        <w:tc>
          <w:tcPr>
            <w:tcW w:w="254" w:type="pct"/>
            <w:shd w:val="clear" w:color="auto" w:fill="FFFFFF"/>
            <w:vAlign w:val="center"/>
          </w:tcPr>
          <w:p>
            <w:pPr>
              <w:widowControl/>
              <w:spacing w:line="0" w:lineRule="atLeast"/>
              <w:rPr>
                <w:rFonts w:hint="default" w:ascii="仿宋" w:hAnsi="仿宋" w:eastAsia="仿宋" w:cs="宋体"/>
                <w:color w:val="000000"/>
                <w:lang w:val="en-US" w:eastAsia="zh-CN"/>
              </w:rPr>
            </w:pPr>
            <w:r>
              <w:rPr>
                <w:rFonts w:hint="eastAsia" w:ascii="仿宋" w:hAnsi="仿宋" w:eastAsia="仿宋" w:cs="宋体"/>
                <w:color w:val="000000"/>
                <w:lang w:val="en-US" w:eastAsia="zh-CN"/>
              </w:rPr>
              <w:t>40</w:t>
            </w:r>
          </w:p>
        </w:tc>
        <w:tc>
          <w:tcPr>
            <w:tcW w:w="366" w:type="pct"/>
            <w:shd w:val="clear" w:color="auto" w:fill="FFFFFF"/>
            <w:vAlign w:val="center"/>
          </w:tcPr>
          <w:p>
            <w:pPr>
              <w:widowControl/>
              <w:spacing w:line="0" w:lineRule="atLeast"/>
              <w:rPr>
                <w:rFonts w:ascii="仿宋" w:hAnsi="仿宋" w:eastAsia="仿宋" w:cs="宋体"/>
                <w:color w:val="000000"/>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90" w:hRule="atLeast"/>
          <w:jc w:val="center"/>
        </w:trPr>
        <w:tc>
          <w:tcPr>
            <w:tcW w:w="334" w:type="pct"/>
            <w:vMerge w:val="continue"/>
            <w:shd w:val="clear" w:color="auto" w:fill="FFFFFF"/>
            <w:vAlign w:val="center"/>
          </w:tcPr>
          <w:p>
            <w:pPr>
              <w:widowControl/>
              <w:spacing w:line="0" w:lineRule="atLeast"/>
              <w:jc w:val="center"/>
              <w:rPr>
                <w:rFonts w:ascii="仿宋" w:hAnsi="仿宋" w:eastAsia="仿宋" w:cs="宋体"/>
                <w:color w:val="000000"/>
              </w:rPr>
            </w:pPr>
          </w:p>
        </w:tc>
        <w:tc>
          <w:tcPr>
            <w:tcW w:w="290" w:type="pct"/>
            <w:vMerge w:val="continue"/>
            <w:shd w:val="clear" w:color="auto" w:fill="FFFFFF"/>
            <w:vAlign w:val="center"/>
          </w:tcPr>
          <w:p>
            <w:pPr>
              <w:widowControl/>
              <w:spacing w:line="0" w:lineRule="atLeast"/>
              <w:jc w:val="center"/>
              <w:rPr>
                <w:rFonts w:ascii="仿宋" w:hAnsi="仿宋" w:eastAsia="仿宋" w:cs="宋体"/>
                <w:color w:val="000000"/>
              </w:rPr>
            </w:pPr>
          </w:p>
        </w:tc>
        <w:tc>
          <w:tcPr>
            <w:tcW w:w="258" w:type="pct"/>
            <w:shd w:val="clear" w:color="auto" w:fill="FFFFFF"/>
            <w:vAlign w:val="center"/>
          </w:tcPr>
          <w:p>
            <w:pPr>
              <w:widowControl/>
              <w:spacing w:line="0" w:lineRule="atLeast"/>
              <w:jc w:val="center"/>
              <w:rPr>
                <w:rFonts w:ascii="仿宋" w:hAnsi="仿宋" w:eastAsia="仿宋" w:cs="宋体"/>
                <w:color w:val="000000"/>
              </w:rPr>
            </w:pPr>
            <w:r>
              <w:rPr>
                <w:rFonts w:hint="eastAsia" w:ascii="仿宋" w:hAnsi="仿宋" w:eastAsia="仿宋" w:cs="宋体"/>
                <w:color w:val="000000"/>
              </w:rPr>
              <w:t>满意度</w:t>
            </w:r>
          </w:p>
        </w:tc>
        <w:tc>
          <w:tcPr>
            <w:tcW w:w="844"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社会公众或服务对象对项目实施效果的满意程度。</w:t>
            </w:r>
          </w:p>
        </w:tc>
        <w:tc>
          <w:tcPr>
            <w:tcW w:w="1322"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社会公众或服务对象是指因该项目实施而受到影响的部门（单位）、群体或个人。一般采取社会调查的方式。</w:t>
            </w:r>
          </w:p>
        </w:tc>
        <w:tc>
          <w:tcPr>
            <w:tcW w:w="1067"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满意度达到90%得权重分的100%，每降低1%扣相应权重分的10%，扣完权重分为止。</w:t>
            </w:r>
          </w:p>
        </w:tc>
        <w:tc>
          <w:tcPr>
            <w:tcW w:w="260"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10</w:t>
            </w:r>
          </w:p>
        </w:tc>
        <w:tc>
          <w:tcPr>
            <w:tcW w:w="254"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10</w:t>
            </w:r>
          </w:p>
        </w:tc>
        <w:tc>
          <w:tcPr>
            <w:tcW w:w="366" w:type="pct"/>
            <w:shd w:val="clear" w:color="000000" w:fill="FFFFFF"/>
            <w:vAlign w:val="center"/>
          </w:tcPr>
          <w:p>
            <w:pPr>
              <w:widowControl/>
              <w:spacing w:line="0" w:lineRule="atLeast"/>
              <w:rPr>
                <w:rFonts w:ascii="仿宋" w:hAnsi="仿宋" w:eastAsia="仿宋"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1" w:hRule="atLeast"/>
          <w:jc w:val="center"/>
        </w:trPr>
        <w:tc>
          <w:tcPr>
            <w:tcW w:w="4118" w:type="pct"/>
            <w:gridSpan w:val="6"/>
            <w:shd w:val="clear" w:color="auto" w:fill="FFFFFF"/>
            <w:vAlign w:val="center"/>
          </w:tcPr>
          <w:p>
            <w:pPr>
              <w:widowControl/>
              <w:tabs>
                <w:tab w:val="left" w:pos="7453"/>
              </w:tabs>
              <w:spacing w:line="0" w:lineRule="atLeast"/>
              <w:rPr>
                <w:rFonts w:ascii="仿宋" w:hAnsi="仿宋" w:eastAsia="仿宋" w:cs="宋体"/>
                <w:color w:val="000000"/>
                <w:lang w:eastAsia="zh-CN"/>
              </w:rPr>
            </w:pPr>
            <w:r>
              <w:rPr>
                <w:rFonts w:hint="eastAsia" w:ascii="仿宋" w:hAnsi="仿宋" w:eastAsia="仿宋" w:cs="宋体"/>
                <w:color w:val="000000"/>
                <w:lang w:eastAsia="zh-CN"/>
              </w:rPr>
              <w:tab/>
            </w:r>
            <w:r>
              <w:rPr>
                <w:rFonts w:hint="eastAsia" w:ascii="仿宋" w:hAnsi="仿宋" w:eastAsia="仿宋" w:cs="宋体"/>
                <w:color w:val="000000"/>
                <w:lang w:eastAsia="zh-CN"/>
              </w:rPr>
              <w:t>总分</w:t>
            </w:r>
          </w:p>
        </w:tc>
        <w:tc>
          <w:tcPr>
            <w:tcW w:w="260" w:type="pct"/>
            <w:shd w:val="clear" w:color="000000" w:fill="FFFFFF"/>
            <w:vAlign w:val="center"/>
          </w:tcPr>
          <w:p>
            <w:pPr>
              <w:widowControl/>
              <w:spacing w:line="0" w:lineRule="atLeast"/>
              <w:rPr>
                <w:rFonts w:ascii="仿宋" w:hAnsi="仿宋" w:eastAsia="仿宋" w:cs="宋体"/>
                <w:color w:val="000000"/>
                <w:lang w:eastAsia="zh-CN"/>
              </w:rPr>
            </w:pPr>
            <w:r>
              <w:rPr>
                <w:rFonts w:hint="eastAsia" w:ascii="仿宋" w:hAnsi="仿宋" w:eastAsia="仿宋" w:cs="宋体"/>
                <w:color w:val="000000"/>
                <w:lang w:eastAsia="zh-CN"/>
              </w:rPr>
              <w:t>100</w:t>
            </w:r>
          </w:p>
        </w:tc>
        <w:tc>
          <w:tcPr>
            <w:tcW w:w="254" w:type="pct"/>
            <w:shd w:val="clear" w:color="000000" w:fill="FFFFFF"/>
            <w:vAlign w:val="center"/>
          </w:tcPr>
          <w:p>
            <w:pPr>
              <w:widowControl/>
              <w:spacing w:line="0" w:lineRule="atLeast"/>
              <w:rPr>
                <w:rFonts w:hint="default" w:ascii="仿宋" w:hAnsi="仿宋" w:eastAsia="仿宋" w:cs="宋体"/>
                <w:color w:val="000000"/>
                <w:lang w:val="en-US" w:eastAsia="zh-CN"/>
              </w:rPr>
            </w:pPr>
            <w:r>
              <w:rPr>
                <w:rFonts w:hint="eastAsia" w:ascii="仿宋" w:hAnsi="仿宋" w:eastAsia="仿宋" w:cs="宋体"/>
                <w:color w:val="000000"/>
                <w:lang w:val="en-US" w:eastAsia="zh-CN"/>
              </w:rPr>
              <w:t>100</w:t>
            </w:r>
          </w:p>
        </w:tc>
        <w:tc>
          <w:tcPr>
            <w:tcW w:w="366" w:type="pct"/>
            <w:shd w:val="clear" w:color="000000" w:fill="FFFFFF"/>
            <w:vAlign w:val="center"/>
          </w:tcPr>
          <w:p>
            <w:pPr>
              <w:widowControl/>
              <w:spacing w:line="0" w:lineRule="atLeast"/>
              <w:rPr>
                <w:rFonts w:ascii="仿宋" w:hAnsi="仿宋" w:eastAsia="仿宋" w:cs="宋体"/>
                <w:color w:val="000000"/>
              </w:rPr>
            </w:pPr>
          </w:p>
        </w:tc>
      </w:tr>
    </w:tbl>
    <w:p>
      <w:pPr>
        <w:numPr>
          <w:ilvl w:val="0"/>
          <w:numId w:val="4"/>
        </w:numPr>
        <w:spacing w:after="120" w:line="600" w:lineRule="exact"/>
        <w:ind w:firstLine="643" w:firstLineChars="200"/>
        <w:rPr>
          <w:rFonts w:ascii="楷体" w:hAnsi="楷体" w:eastAsia="楷体" w:cs="宋体"/>
          <w:b/>
          <w:color w:val="000000" w:themeColor="text1"/>
          <w:sz w:val="32"/>
          <w:szCs w:val="32"/>
          <w:lang w:eastAsia="zh-CN"/>
        </w:rPr>
      </w:pPr>
      <w:r>
        <w:rPr>
          <w:rFonts w:hint="eastAsia" w:ascii="楷体" w:hAnsi="楷体" w:eastAsia="楷体" w:cs="宋体"/>
          <w:b/>
          <w:color w:val="000000" w:themeColor="text1"/>
          <w:sz w:val="32"/>
          <w:szCs w:val="32"/>
          <w:lang w:eastAsia="zh-CN"/>
        </w:rPr>
        <w:t>主要经验及做法、存在的问题及原因分析</w:t>
      </w:r>
    </w:p>
    <w:p>
      <w:pPr>
        <w:spacing w:after="120" w:line="600" w:lineRule="exact"/>
        <w:ind w:left="420" w:leftChars="200"/>
        <w:rPr>
          <w:rFonts w:ascii="仿宋" w:hAnsi="仿宋" w:eastAsia="仿宋" w:cs="宋体"/>
          <w:b/>
          <w:color w:val="000000" w:themeColor="text1"/>
          <w:sz w:val="32"/>
          <w:szCs w:val="32"/>
          <w:lang w:eastAsia="zh-CN"/>
        </w:rPr>
      </w:pPr>
      <w:r>
        <w:rPr>
          <w:rFonts w:hint="eastAsia" w:ascii="仿宋" w:hAnsi="仿宋" w:eastAsia="仿宋" w:cs="宋体"/>
          <w:b/>
          <w:color w:val="000000" w:themeColor="text1"/>
          <w:sz w:val="32"/>
          <w:szCs w:val="32"/>
          <w:lang w:eastAsia="zh-CN"/>
        </w:rPr>
        <w:t>经验及做法</w:t>
      </w:r>
    </w:p>
    <w:p>
      <w:pPr>
        <w:widowControl/>
        <w:shd w:val="clear" w:color="auto" w:fill="FFFFFF"/>
        <w:spacing w:before="75" w:after="75" w:line="360" w:lineRule="auto"/>
        <w:ind w:firstLine="640" w:firstLineChars="200"/>
        <w:rPr>
          <w:rFonts w:ascii="仿宋" w:hAnsi="仿宋" w:eastAsia="仿宋" w:cs="宋体"/>
          <w:color w:val="000000" w:themeColor="text1"/>
          <w:sz w:val="32"/>
          <w:szCs w:val="32"/>
          <w:lang w:eastAsia="zh-CN"/>
        </w:rPr>
      </w:pPr>
      <w:r>
        <w:rPr>
          <w:rFonts w:hint="eastAsia" w:ascii="仿宋" w:hAnsi="仿宋" w:eastAsia="仿宋" w:cs="宋体"/>
          <w:color w:val="000000" w:themeColor="text1"/>
          <w:sz w:val="32"/>
          <w:szCs w:val="32"/>
          <w:lang w:eastAsia="zh-CN"/>
        </w:rPr>
        <w:t>（一）坚持用习近平新时代中国特色社会主义思想武装头脑、指导实践、推动工作，进一步增强“四个意识”，坚定“四个自信”，坚决做到“两个维护”。坚定信访制度自信，更好地发挥新时代信访工作在国家治理体系中的作用，着力提升治理能力和治理效能，把制度优势转化为治理优势。</w:t>
      </w:r>
    </w:p>
    <w:p>
      <w:pPr>
        <w:widowControl/>
        <w:shd w:val="clear" w:color="auto" w:fill="FFFFFF"/>
        <w:spacing w:before="75" w:after="75" w:line="360" w:lineRule="auto"/>
        <w:rPr>
          <w:rFonts w:ascii="仿宋" w:hAnsi="仿宋" w:eastAsia="仿宋" w:cs="宋体"/>
          <w:color w:val="000000" w:themeColor="text1"/>
          <w:sz w:val="32"/>
          <w:szCs w:val="32"/>
          <w:lang w:eastAsia="zh-CN"/>
        </w:rPr>
      </w:pPr>
      <w:r>
        <w:rPr>
          <w:rFonts w:hint="eastAsia" w:ascii="仿宋" w:hAnsi="仿宋" w:eastAsia="仿宋" w:cs="宋体"/>
          <w:color w:val="000000" w:themeColor="text1"/>
          <w:sz w:val="32"/>
          <w:szCs w:val="32"/>
          <w:lang w:eastAsia="zh-CN"/>
        </w:rPr>
        <w:t>　　（二）统筹做好新冠肺炎疫情防控和信访工作，准确研判疫情可能对信访工作带来的影响。</w:t>
      </w:r>
    </w:p>
    <w:p>
      <w:pPr>
        <w:widowControl/>
        <w:shd w:val="clear" w:color="auto" w:fill="FFFFFF"/>
        <w:spacing w:before="75" w:after="75" w:line="360" w:lineRule="auto"/>
        <w:rPr>
          <w:rFonts w:ascii="仿宋" w:hAnsi="仿宋" w:eastAsia="仿宋" w:cs="宋体"/>
          <w:color w:val="000000" w:themeColor="text1"/>
          <w:sz w:val="32"/>
          <w:szCs w:val="32"/>
          <w:lang w:eastAsia="zh-CN"/>
        </w:rPr>
      </w:pPr>
      <w:r>
        <w:rPr>
          <w:rFonts w:hint="eastAsia" w:ascii="仿宋" w:hAnsi="仿宋" w:eastAsia="仿宋" w:cs="宋体"/>
          <w:color w:val="000000" w:themeColor="text1"/>
          <w:sz w:val="32"/>
          <w:szCs w:val="32"/>
          <w:lang w:eastAsia="zh-CN"/>
        </w:rPr>
        <w:t>　　（三）积极开展涉疫情信访矛盾纠纷集中排查化解专项行动。按照省委信访工作联席会议办公室的统一部署，在全区开展了涉疫情信访矛盾纠纷集中排查化解专项行动。</w:t>
      </w:r>
    </w:p>
    <w:p>
      <w:pPr>
        <w:widowControl/>
        <w:shd w:val="clear" w:color="auto" w:fill="FFFFFF"/>
        <w:spacing w:before="75" w:after="75" w:line="360" w:lineRule="auto"/>
        <w:rPr>
          <w:rFonts w:ascii="仿宋" w:hAnsi="仿宋" w:eastAsia="仿宋" w:cs="宋体"/>
          <w:color w:val="000000" w:themeColor="text1"/>
          <w:sz w:val="32"/>
          <w:szCs w:val="32"/>
          <w:lang w:eastAsia="zh-CN"/>
        </w:rPr>
      </w:pPr>
      <w:r>
        <w:rPr>
          <w:rFonts w:hint="eastAsia" w:ascii="仿宋" w:hAnsi="仿宋" w:eastAsia="仿宋" w:cs="宋体"/>
          <w:color w:val="000000" w:themeColor="text1"/>
          <w:sz w:val="32"/>
          <w:szCs w:val="32"/>
          <w:lang w:eastAsia="zh-CN"/>
        </w:rPr>
        <w:t>　　（四）完善劝返机制，做好应急准备。区委、区政府和乡镇成立全国“两会”期间信访工作领导小组，制定工作预案和工作措施，组织全区信访系统开展进京非接待场所有关人员专项治理工作。</w:t>
      </w:r>
    </w:p>
    <w:p>
      <w:pPr>
        <w:widowControl/>
        <w:shd w:val="clear" w:color="auto" w:fill="FFFFFF"/>
        <w:spacing w:before="75" w:after="75" w:line="360" w:lineRule="auto"/>
        <w:rPr>
          <w:rFonts w:ascii="仿宋" w:hAnsi="仿宋" w:eastAsia="仿宋" w:cs="宋体"/>
          <w:color w:val="000000" w:themeColor="text1"/>
          <w:sz w:val="32"/>
          <w:szCs w:val="32"/>
          <w:lang w:eastAsia="zh-CN"/>
        </w:rPr>
      </w:pPr>
      <w:r>
        <w:rPr>
          <w:rFonts w:hint="eastAsia" w:ascii="仿宋" w:hAnsi="仿宋" w:eastAsia="仿宋" w:cs="宋体"/>
          <w:color w:val="000000" w:themeColor="text1"/>
          <w:sz w:val="32"/>
          <w:szCs w:val="32"/>
          <w:lang w:eastAsia="zh-CN"/>
        </w:rPr>
        <w:t>　　（五）继续推进领导干部接访下访工作。区委书记、区长带头接访下访群众，为全区各级干部作表率。开展集中治理重复信访化解信访积案专项工作，印发《昌江区委信访工作联席会议开展集中治理重复信访化解信访积案专项工作实施方案》</w:t>
      </w:r>
    </w:p>
    <w:p>
      <w:pPr>
        <w:pStyle w:val="5"/>
        <w:widowControl/>
        <w:spacing w:before="450" w:after="120" w:line="360" w:lineRule="auto"/>
        <w:ind w:firstLine="420"/>
        <w:jc w:val="both"/>
        <w:rPr>
          <w:rFonts w:ascii="楷体" w:hAnsi="楷体" w:eastAsia="楷体" w:cs="宋体"/>
          <w:color w:val="000000" w:themeColor="text1"/>
          <w:sz w:val="32"/>
          <w:szCs w:val="32"/>
        </w:rPr>
      </w:pPr>
      <w:r>
        <w:rPr>
          <w:rFonts w:hint="eastAsia" w:ascii="楷体" w:hAnsi="楷体" w:eastAsia="楷体" w:cs="宋体"/>
          <w:color w:val="000000" w:themeColor="text1"/>
          <w:sz w:val="32"/>
          <w:szCs w:val="32"/>
        </w:rPr>
        <w:t>存在的问题及原因</w:t>
      </w:r>
    </w:p>
    <w:p>
      <w:pPr>
        <w:widowControl/>
        <w:shd w:val="clear" w:color="auto" w:fill="FFFFFF"/>
        <w:spacing w:before="75" w:line="360" w:lineRule="auto"/>
        <w:ind w:firstLine="640" w:firstLineChars="200"/>
        <w:rPr>
          <w:rFonts w:ascii="仿宋" w:hAnsi="仿宋" w:eastAsia="仿宋" w:cs="宋体"/>
          <w:color w:val="000000" w:themeColor="text1"/>
          <w:sz w:val="32"/>
          <w:szCs w:val="32"/>
          <w:lang w:eastAsia="zh-CN"/>
        </w:rPr>
      </w:pPr>
      <w:r>
        <w:rPr>
          <w:rFonts w:hint="eastAsia" w:ascii="仿宋" w:hAnsi="仿宋" w:eastAsia="仿宋" w:cs="宋体"/>
          <w:color w:val="000000" w:themeColor="text1"/>
          <w:sz w:val="32"/>
          <w:szCs w:val="32"/>
          <w:lang w:eastAsia="zh-CN"/>
        </w:rPr>
        <w:t>一是部分绩效目标设定还需根据形势、任务的变化做相应调整和优化。二是运用信访大数据分析研判信访预警信息，为党委、政府提供决策服务的工作质量还需进一步提升。三是落实信访工作制度改革的具体措施、制度还需进一步完善。</w:t>
      </w:r>
    </w:p>
    <w:p>
      <w:pPr>
        <w:spacing w:line="360" w:lineRule="auto"/>
        <w:rPr>
          <w:rFonts w:ascii="仿宋" w:hAnsi="仿宋" w:eastAsia="仿宋" w:cs="宋体"/>
          <w:color w:val="000000" w:themeColor="text1"/>
          <w:sz w:val="32"/>
          <w:szCs w:val="32"/>
          <w:lang w:eastAsia="zh-CN"/>
        </w:rPr>
      </w:pPr>
    </w:p>
    <w:p>
      <w:pPr>
        <w:numPr>
          <w:ilvl w:val="0"/>
          <w:numId w:val="6"/>
        </w:numPr>
        <w:spacing w:after="120" w:line="360" w:lineRule="auto"/>
        <w:ind w:firstLine="643" w:firstLineChars="200"/>
        <w:rPr>
          <w:rFonts w:ascii="仿宋" w:hAnsi="仿宋" w:eastAsia="仿宋" w:cs="宋体"/>
          <w:b/>
          <w:color w:val="000000" w:themeColor="text1"/>
          <w:sz w:val="32"/>
          <w:szCs w:val="32"/>
        </w:rPr>
      </w:pPr>
      <w:r>
        <w:rPr>
          <w:rFonts w:hint="eastAsia" w:ascii="仿宋" w:hAnsi="仿宋" w:eastAsia="仿宋" w:cs="宋体"/>
          <w:b/>
          <w:color w:val="000000" w:themeColor="text1"/>
          <w:sz w:val="32"/>
          <w:szCs w:val="32"/>
        </w:rPr>
        <w:t>有关建议</w:t>
      </w:r>
    </w:p>
    <w:p>
      <w:pPr>
        <w:pStyle w:val="5"/>
        <w:widowControl/>
        <w:spacing w:before="450" w:after="120" w:line="360" w:lineRule="auto"/>
        <w:ind w:firstLine="420"/>
        <w:jc w:val="both"/>
        <w:rPr>
          <w:rFonts w:ascii="仿宋" w:hAnsi="仿宋" w:eastAsia="仿宋" w:cs="宋体"/>
          <w:sz w:val="32"/>
          <w:szCs w:val="32"/>
        </w:rPr>
      </w:pPr>
      <w:r>
        <w:rPr>
          <w:rFonts w:hint="eastAsia" w:ascii="仿宋" w:hAnsi="仿宋" w:eastAsia="仿宋" w:cs="宋体"/>
          <w:color w:val="000000" w:themeColor="text1"/>
          <w:sz w:val="32"/>
          <w:szCs w:val="32"/>
        </w:rPr>
        <w:t>建立预算绩效管理机制，促进绩效管理工作向广度</w:t>
      </w:r>
      <w:r>
        <w:rPr>
          <w:rFonts w:hint="eastAsia" w:ascii="仿宋" w:hAnsi="仿宋" w:eastAsia="仿宋" w:cs="宋体"/>
          <w:sz w:val="32"/>
          <w:szCs w:val="32"/>
        </w:rPr>
        <w:t>和深度延伸。</w:t>
      </w:r>
    </w:p>
    <w:p>
      <w:pPr>
        <w:pStyle w:val="5"/>
        <w:widowControl/>
        <w:spacing w:before="450" w:after="120" w:line="360" w:lineRule="auto"/>
        <w:ind w:firstLine="420"/>
        <w:jc w:val="both"/>
        <w:rPr>
          <w:rFonts w:ascii="仿宋" w:hAnsi="仿宋" w:eastAsia="仿宋" w:cs="宋体"/>
          <w:sz w:val="32"/>
          <w:szCs w:val="32"/>
        </w:rPr>
      </w:pPr>
      <w:r>
        <w:rPr>
          <w:rFonts w:hint="eastAsia" w:ascii="仿宋" w:hAnsi="仿宋" w:eastAsia="仿宋" w:cs="宋体"/>
          <w:sz w:val="32"/>
          <w:szCs w:val="32"/>
        </w:rPr>
        <w:t>规范绩效评价管理资料的收集整理，确保相关信息完整、可靠，客观公正地反映项目资金实际使用和产生的绩效状况，为今后该项目实施方向及管理方式的改进提供指导。加强绩效评价管理制度和流程的建设，进一步深化、完善绩效管理体系.</w:t>
      </w:r>
    </w:p>
    <w:p>
      <w:pPr>
        <w:spacing w:after="120" w:line="360" w:lineRule="auto"/>
        <w:ind w:firstLine="320" w:firstLineChars="100"/>
        <w:rPr>
          <w:rFonts w:ascii="仿宋" w:hAnsi="仿宋" w:eastAsia="仿宋" w:cs="宋体"/>
          <w:sz w:val="32"/>
          <w:szCs w:val="32"/>
          <w:lang w:eastAsia="zh-CN"/>
        </w:rPr>
      </w:pPr>
      <w:r>
        <w:rPr>
          <w:rFonts w:hint="eastAsia" w:ascii="仿宋" w:hAnsi="仿宋" w:eastAsia="仿宋" w:cs="宋体"/>
          <w:sz w:val="32"/>
          <w:szCs w:val="32"/>
          <w:lang w:eastAsia="zh-CN"/>
        </w:rPr>
        <w:t>七、其他需要说明的问题</w:t>
      </w:r>
    </w:p>
    <w:p>
      <w:pPr>
        <w:spacing w:after="120" w:line="360" w:lineRule="auto"/>
        <w:ind w:left="420" w:leftChars="200"/>
        <w:rPr>
          <w:rFonts w:ascii="仿宋" w:hAnsi="仿宋" w:eastAsia="仿宋" w:cs="宋体"/>
          <w:sz w:val="32"/>
          <w:szCs w:val="32"/>
          <w:lang w:eastAsia="zh-CN"/>
        </w:rPr>
      </w:pPr>
      <w:r>
        <w:rPr>
          <w:rFonts w:hint="eastAsia" w:ascii="仿宋" w:hAnsi="仿宋" w:eastAsia="仿宋" w:cs="宋体"/>
          <w:sz w:val="32"/>
          <w:szCs w:val="32"/>
          <w:lang w:eastAsia="zh-CN"/>
        </w:rPr>
        <w:t>没有其它需要说明的问题</w:t>
      </w:r>
    </w:p>
    <w:p>
      <w:pPr>
        <w:pStyle w:val="2"/>
        <w:spacing w:line="360" w:lineRule="auto"/>
        <w:ind w:left="0" w:firstLine="3344" w:firstLineChars="800"/>
        <w:jc w:val="both"/>
        <w:rPr>
          <w:rFonts w:ascii="仿宋" w:hAnsi="仿宋" w:eastAsia="仿宋" w:cs="宋体"/>
          <w:color w:val="000000" w:themeColor="text1"/>
          <w:w w:val="95"/>
          <w:lang w:eastAsia="zh-CN"/>
        </w:rPr>
      </w:pPr>
    </w:p>
    <w:p>
      <w:pPr>
        <w:pStyle w:val="2"/>
        <w:spacing w:line="360" w:lineRule="auto"/>
        <w:ind w:left="0" w:firstLine="3344" w:firstLineChars="800"/>
        <w:jc w:val="both"/>
        <w:rPr>
          <w:rFonts w:ascii="仿宋" w:hAnsi="仿宋" w:eastAsia="仿宋" w:cstheme="minorEastAsia"/>
          <w:color w:val="000000" w:themeColor="text1"/>
          <w:w w:val="95"/>
          <w:lang w:eastAsia="zh-CN"/>
        </w:rPr>
      </w:pPr>
    </w:p>
    <w:p>
      <w:pPr>
        <w:pStyle w:val="2"/>
        <w:spacing w:line="360" w:lineRule="auto"/>
        <w:ind w:left="0" w:firstLine="3344" w:firstLineChars="800"/>
        <w:jc w:val="both"/>
        <w:rPr>
          <w:rFonts w:ascii="仿宋" w:hAnsi="仿宋" w:eastAsia="仿宋" w:cstheme="minorEastAsia"/>
          <w:color w:val="000000" w:themeColor="text1"/>
          <w:w w:val="95"/>
          <w:lang w:eastAsia="zh-CN"/>
        </w:rPr>
      </w:pPr>
    </w:p>
    <w:p>
      <w:pPr>
        <w:pStyle w:val="2"/>
        <w:spacing w:line="360" w:lineRule="auto"/>
        <w:ind w:left="0" w:firstLine="3344" w:firstLineChars="800"/>
        <w:jc w:val="both"/>
        <w:rPr>
          <w:rFonts w:ascii="仿宋" w:hAnsi="仿宋" w:eastAsia="仿宋" w:cstheme="minorEastAsia"/>
          <w:color w:val="000000" w:themeColor="text1"/>
          <w:w w:val="95"/>
          <w:lang w:eastAsia="zh-CN"/>
        </w:rPr>
      </w:pPr>
    </w:p>
    <w:tbl>
      <w:tblPr>
        <w:tblStyle w:val="6"/>
        <w:tblpPr w:leftFromText="180" w:rightFromText="180" w:vertAnchor="page" w:horzAnchor="page" w:tblpXSpec="center" w:tblpY="4050"/>
        <w:tblOverlap w:val="never"/>
        <w:tblW w:w="86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1"/>
        <w:gridCol w:w="497"/>
        <w:gridCol w:w="419"/>
        <w:gridCol w:w="703"/>
        <w:gridCol w:w="354"/>
        <w:gridCol w:w="215"/>
        <w:gridCol w:w="759"/>
        <w:gridCol w:w="231"/>
        <w:gridCol w:w="1034"/>
        <w:gridCol w:w="579"/>
        <w:gridCol w:w="423"/>
        <w:gridCol w:w="370"/>
        <w:gridCol w:w="1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jc w:val="center"/>
        </w:trPr>
        <w:tc>
          <w:tcPr>
            <w:tcW w:w="1858" w:type="dxa"/>
            <w:gridSpan w:val="2"/>
          </w:tcPr>
          <w:p>
            <w:pPr>
              <w:pStyle w:val="20"/>
              <w:spacing w:before="31"/>
              <w:ind w:left="473"/>
              <w:rPr>
                <w:rFonts w:ascii="仿宋" w:hAnsi="仿宋" w:eastAsia="仿宋"/>
                <w:color w:val="000000" w:themeColor="text1"/>
                <w:sz w:val="21"/>
                <w:szCs w:val="21"/>
              </w:rPr>
            </w:pPr>
            <w:r>
              <w:rPr>
                <w:rFonts w:hint="eastAsia" w:ascii="仿宋" w:hAnsi="仿宋" w:eastAsia="仿宋"/>
                <w:color w:val="000000" w:themeColor="text1"/>
                <w:sz w:val="21"/>
                <w:szCs w:val="21"/>
              </w:rPr>
              <w:t>项目名称：</w:t>
            </w:r>
          </w:p>
        </w:tc>
        <w:tc>
          <w:tcPr>
            <w:tcW w:w="6822" w:type="dxa"/>
            <w:gridSpan w:val="11"/>
          </w:tcPr>
          <w:p>
            <w:pPr>
              <w:tabs>
                <w:tab w:val="left" w:pos="1615"/>
              </w:tabs>
              <w:rPr>
                <w:rFonts w:ascii="仿宋" w:hAnsi="仿宋" w:eastAsia="仿宋" w:cs="宋体"/>
                <w:color w:val="000000" w:themeColor="text1"/>
                <w:sz w:val="21"/>
                <w:szCs w:val="21"/>
                <w:lang w:eastAsia="zh-CN"/>
              </w:rPr>
            </w:pPr>
            <w:r>
              <w:rPr>
                <w:rFonts w:hint="eastAsia" w:ascii="仿宋" w:hAnsi="仿宋" w:eastAsia="仿宋" w:cs="宋体"/>
                <w:color w:val="000000" w:themeColor="text1"/>
                <w:sz w:val="21"/>
                <w:szCs w:val="21"/>
                <w:lang w:eastAsia="zh-CN"/>
              </w:rPr>
              <w:tab/>
            </w:r>
            <w:r>
              <w:rPr>
                <w:rFonts w:hint="eastAsia" w:ascii="仿宋" w:hAnsi="仿宋" w:eastAsia="仿宋" w:cs="宋体"/>
                <w:color w:val="000000" w:themeColor="text1"/>
                <w:spacing w:val="-2"/>
                <w:sz w:val="21"/>
                <w:szCs w:val="21"/>
                <w:lang w:eastAsia="zh-CN"/>
              </w:rPr>
              <w:t>信访维稳工作经费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858" w:type="dxa"/>
            <w:gridSpan w:val="2"/>
          </w:tcPr>
          <w:p>
            <w:pPr>
              <w:pStyle w:val="20"/>
              <w:spacing w:before="31"/>
              <w:ind w:left="564"/>
              <w:rPr>
                <w:rFonts w:ascii="仿宋" w:hAnsi="仿宋" w:eastAsia="仿宋"/>
                <w:color w:val="000000" w:themeColor="text1"/>
                <w:sz w:val="21"/>
                <w:szCs w:val="21"/>
              </w:rPr>
            </w:pPr>
            <w:r>
              <w:rPr>
                <w:rFonts w:hint="eastAsia" w:ascii="仿宋" w:hAnsi="仿宋" w:eastAsia="仿宋"/>
                <w:color w:val="000000" w:themeColor="text1"/>
                <w:sz w:val="21"/>
                <w:szCs w:val="21"/>
              </w:rPr>
              <w:t>主管部门</w:t>
            </w:r>
          </w:p>
        </w:tc>
        <w:tc>
          <w:tcPr>
            <w:tcW w:w="1476" w:type="dxa"/>
            <w:gridSpan w:val="3"/>
          </w:tcPr>
          <w:p>
            <w:pPr>
              <w:jc w:val="center"/>
              <w:rPr>
                <w:rFonts w:ascii="仿宋" w:hAnsi="仿宋" w:eastAsia="仿宋" w:cs="宋体"/>
                <w:color w:val="000000" w:themeColor="text1"/>
                <w:sz w:val="21"/>
                <w:szCs w:val="21"/>
                <w:lang w:eastAsia="zh-CN"/>
              </w:rPr>
            </w:pPr>
            <w:r>
              <w:rPr>
                <w:rFonts w:hint="eastAsia" w:ascii="仿宋" w:hAnsi="仿宋" w:eastAsia="仿宋" w:cs="宋体"/>
                <w:color w:val="000000" w:themeColor="text1"/>
                <w:sz w:val="21"/>
                <w:szCs w:val="21"/>
                <w:lang w:eastAsia="zh-CN"/>
              </w:rPr>
              <w:t>昌江区信访局</w:t>
            </w:r>
          </w:p>
        </w:tc>
        <w:tc>
          <w:tcPr>
            <w:tcW w:w="3241" w:type="dxa"/>
            <w:gridSpan w:val="6"/>
          </w:tcPr>
          <w:p>
            <w:pPr>
              <w:pStyle w:val="20"/>
              <w:spacing w:before="31"/>
              <w:ind w:left="1075"/>
              <w:rPr>
                <w:rFonts w:ascii="仿宋" w:hAnsi="仿宋" w:eastAsia="仿宋"/>
                <w:color w:val="000000" w:themeColor="text1"/>
                <w:sz w:val="21"/>
                <w:szCs w:val="21"/>
              </w:rPr>
            </w:pPr>
            <w:r>
              <w:rPr>
                <w:rFonts w:hint="eastAsia" w:ascii="仿宋" w:hAnsi="仿宋" w:eastAsia="仿宋"/>
                <w:color w:val="000000" w:themeColor="text1"/>
                <w:sz w:val="21"/>
                <w:szCs w:val="21"/>
              </w:rPr>
              <w:t>项目实施单位</w:t>
            </w:r>
          </w:p>
        </w:tc>
        <w:tc>
          <w:tcPr>
            <w:tcW w:w="2105" w:type="dxa"/>
            <w:gridSpan w:val="2"/>
          </w:tcPr>
          <w:p>
            <w:pPr>
              <w:rPr>
                <w:rFonts w:ascii="仿宋" w:hAnsi="仿宋" w:eastAsia="仿宋" w:cs="宋体"/>
                <w:color w:val="000000" w:themeColor="text1"/>
                <w:sz w:val="21"/>
                <w:szCs w:val="21"/>
                <w:lang w:eastAsia="zh-CN"/>
              </w:rPr>
            </w:pPr>
            <w:r>
              <w:rPr>
                <w:rFonts w:hint="eastAsia" w:ascii="仿宋" w:hAnsi="仿宋" w:eastAsia="仿宋" w:cs="宋体"/>
                <w:color w:val="000000" w:themeColor="text1"/>
                <w:sz w:val="21"/>
                <w:szCs w:val="21"/>
                <w:lang w:eastAsia="zh-CN"/>
              </w:rPr>
              <w:t>昌江区信访局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858" w:type="dxa"/>
            <w:gridSpan w:val="2"/>
          </w:tcPr>
          <w:p>
            <w:pPr>
              <w:pStyle w:val="20"/>
              <w:spacing w:before="30"/>
              <w:ind w:left="473"/>
              <w:rPr>
                <w:rFonts w:ascii="仿宋" w:hAnsi="仿宋" w:eastAsia="仿宋"/>
                <w:color w:val="000000" w:themeColor="text1"/>
                <w:sz w:val="21"/>
                <w:szCs w:val="21"/>
              </w:rPr>
            </w:pPr>
            <w:r>
              <w:rPr>
                <w:rFonts w:hint="eastAsia" w:ascii="仿宋" w:hAnsi="仿宋" w:eastAsia="仿宋"/>
                <w:color w:val="000000" w:themeColor="text1"/>
                <w:sz w:val="21"/>
                <w:szCs w:val="21"/>
              </w:rPr>
              <w:t>项目负责人</w:t>
            </w:r>
          </w:p>
        </w:tc>
        <w:tc>
          <w:tcPr>
            <w:tcW w:w="1476" w:type="dxa"/>
            <w:gridSpan w:val="3"/>
          </w:tcPr>
          <w:p>
            <w:pPr>
              <w:rPr>
                <w:rFonts w:ascii="仿宋" w:hAnsi="仿宋" w:eastAsia="仿宋" w:cs="宋体"/>
                <w:color w:val="000000" w:themeColor="text1"/>
                <w:sz w:val="21"/>
                <w:szCs w:val="21"/>
                <w:lang w:eastAsia="zh-CN"/>
              </w:rPr>
            </w:pPr>
          </w:p>
        </w:tc>
        <w:tc>
          <w:tcPr>
            <w:tcW w:w="3241" w:type="dxa"/>
            <w:gridSpan w:val="6"/>
          </w:tcPr>
          <w:p>
            <w:pPr>
              <w:pStyle w:val="20"/>
              <w:spacing w:before="30"/>
              <w:ind w:left="1235" w:right="1236"/>
              <w:jc w:val="center"/>
              <w:rPr>
                <w:rFonts w:ascii="仿宋" w:hAnsi="仿宋" w:eastAsia="仿宋"/>
                <w:color w:val="000000" w:themeColor="text1"/>
                <w:sz w:val="21"/>
                <w:szCs w:val="21"/>
              </w:rPr>
            </w:pPr>
            <w:r>
              <w:rPr>
                <w:rFonts w:hint="eastAsia" w:ascii="仿宋" w:hAnsi="仿宋" w:eastAsia="仿宋"/>
                <w:color w:val="000000" w:themeColor="text1"/>
                <w:sz w:val="21"/>
                <w:szCs w:val="21"/>
              </w:rPr>
              <w:t>联系电话</w:t>
            </w:r>
          </w:p>
        </w:tc>
        <w:tc>
          <w:tcPr>
            <w:tcW w:w="2105" w:type="dxa"/>
            <w:gridSpan w:val="2"/>
          </w:tcPr>
          <w:p>
            <w:pPr>
              <w:rPr>
                <w:rFonts w:ascii="仿宋" w:hAnsi="仿宋" w:eastAsia="仿宋" w:cs="宋体"/>
                <w:color w:val="000000" w:themeColor="text1"/>
                <w:sz w:val="21"/>
                <w:szCs w:val="21"/>
                <w:lang w:eastAsia="zh-CN"/>
              </w:rPr>
            </w:pPr>
            <w:r>
              <w:rPr>
                <w:rFonts w:hint="eastAsia" w:ascii="仿宋" w:hAnsi="仿宋" w:eastAsia="仿宋" w:cs="宋体"/>
                <w:color w:val="000000" w:themeColor="text1"/>
                <w:sz w:val="21"/>
                <w:szCs w:val="21"/>
                <w:lang w:eastAsia="zh-CN"/>
              </w:rPr>
              <w:t>15207987083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858" w:type="dxa"/>
            <w:gridSpan w:val="2"/>
          </w:tcPr>
          <w:p>
            <w:pPr>
              <w:pStyle w:val="20"/>
              <w:spacing w:before="30"/>
              <w:ind w:left="564"/>
              <w:rPr>
                <w:rFonts w:ascii="仿宋" w:hAnsi="仿宋" w:eastAsia="仿宋"/>
                <w:color w:val="000000" w:themeColor="text1"/>
                <w:sz w:val="21"/>
                <w:szCs w:val="21"/>
              </w:rPr>
            </w:pPr>
            <w:r>
              <w:rPr>
                <w:rFonts w:hint="eastAsia" w:ascii="仿宋" w:hAnsi="仿宋" w:eastAsia="仿宋"/>
                <w:color w:val="000000" w:themeColor="text1"/>
                <w:sz w:val="21"/>
                <w:szCs w:val="21"/>
              </w:rPr>
              <w:t>项目类型</w:t>
            </w:r>
          </w:p>
        </w:tc>
        <w:tc>
          <w:tcPr>
            <w:tcW w:w="6822" w:type="dxa"/>
            <w:gridSpan w:val="11"/>
          </w:tcPr>
          <w:p>
            <w:pPr>
              <w:pStyle w:val="20"/>
              <w:tabs>
                <w:tab w:val="left" w:pos="2956"/>
                <w:tab w:val="left" w:pos="3765"/>
              </w:tabs>
              <w:spacing w:before="30"/>
              <w:ind w:left="1605"/>
              <w:rPr>
                <w:rFonts w:ascii="仿宋" w:hAnsi="仿宋" w:eastAsia="仿宋"/>
                <w:color w:val="000000" w:themeColor="text1"/>
                <w:sz w:val="21"/>
                <w:szCs w:val="21"/>
                <w:lang w:eastAsia="zh-CN"/>
              </w:rPr>
            </w:pPr>
            <w:r>
              <w:rPr>
                <w:rFonts w:hint="eastAsia" w:ascii="仿宋" w:hAnsi="仿宋" w:eastAsia="仿宋"/>
                <w:color w:val="000000" w:themeColor="text1"/>
                <w:sz w:val="21"/>
                <w:szCs w:val="21"/>
                <w:lang w:eastAsia="zh-CN"/>
              </w:rPr>
              <w:t>经常性项目（是</w:t>
            </w:r>
            <w:r>
              <w:rPr>
                <w:rFonts w:hint="eastAsia" w:ascii="仿宋" w:hAnsi="仿宋" w:eastAsia="仿宋"/>
                <w:color w:val="000000" w:themeColor="text1"/>
                <w:sz w:val="21"/>
                <w:szCs w:val="21"/>
                <w:lang w:eastAsia="zh-CN"/>
              </w:rPr>
              <w:tab/>
            </w:r>
            <w:r>
              <w:rPr>
                <w:rFonts w:hint="eastAsia" w:ascii="仿宋" w:hAnsi="仿宋" w:eastAsia="仿宋"/>
                <w:color w:val="000000" w:themeColor="text1"/>
                <w:sz w:val="21"/>
                <w:szCs w:val="21"/>
                <w:lang w:eastAsia="zh-CN"/>
              </w:rPr>
              <w:t>）</w:t>
            </w:r>
            <w:r>
              <w:rPr>
                <w:rFonts w:hint="eastAsia" w:ascii="仿宋" w:hAnsi="仿宋" w:eastAsia="仿宋"/>
                <w:color w:val="000000" w:themeColor="text1"/>
                <w:sz w:val="21"/>
                <w:szCs w:val="21"/>
                <w:lang w:eastAsia="zh-CN"/>
              </w:rPr>
              <w:tab/>
            </w:r>
            <w:r>
              <w:rPr>
                <w:rFonts w:hint="eastAsia" w:ascii="仿宋" w:hAnsi="仿宋" w:eastAsia="仿宋"/>
                <w:color w:val="000000" w:themeColor="text1"/>
                <w:sz w:val="21"/>
                <w:szCs w:val="21"/>
                <w:lang w:eastAsia="zh-CN"/>
              </w:rPr>
              <w:t>一次性项目（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exact"/>
          <w:jc w:val="center"/>
        </w:trPr>
        <w:tc>
          <w:tcPr>
            <w:tcW w:w="1858" w:type="dxa"/>
            <w:gridSpan w:val="2"/>
          </w:tcPr>
          <w:p>
            <w:pPr>
              <w:pStyle w:val="20"/>
              <w:spacing w:line="218" w:lineRule="exact"/>
              <w:ind w:left="473"/>
              <w:rPr>
                <w:rFonts w:ascii="仿宋" w:hAnsi="仿宋" w:eastAsia="仿宋"/>
                <w:color w:val="000000" w:themeColor="text1"/>
                <w:sz w:val="21"/>
                <w:szCs w:val="21"/>
              </w:rPr>
            </w:pPr>
            <w:r>
              <w:rPr>
                <w:rFonts w:hint="eastAsia" w:ascii="仿宋" w:hAnsi="仿宋" w:eastAsia="仿宋"/>
                <w:color w:val="000000" w:themeColor="text1"/>
                <w:sz w:val="21"/>
                <w:szCs w:val="21"/>
              </w:rPr>
              <w:t>计划投资额</w:t>
            </w:r>
          </w:p>
          <w:p>
            <w:pPr>
              <w:pStyle w:val="20"/>
              <w:spacing w:before="4"/>
              <w:ind w:left="564"/>
              <w:rPr>
                <w:rFonts w:ascii="仿宋" w:hAnsi="仿宋" w:eastAsia="仿宋"/>
                <w:color w:val="000000" w:themeColor="text1"/>
                <w:sz w:val="21"/>
                <w:szCs w:val="21"/>
              </w:rPr>
            </w:pPr>
            <w:r>
              <w:rPr>
                <w:rFonts w:hint="eastAsia" w:ascii="仿宋" w:hAnsi="仿宋" w:eastAsia="仿宋"/>
                <w:color w:val="000000" w:themeColor="text1"/>
                <w:sz w:val="21"/>
                <w:szCs w:val="21"/>
              </w:rPr>
              <w:t>（万元）</w:t>
            </w:r>
          </w:p>
        </w:tc>
        <w:tc>
          <w:tcPr>
            <w:tcW w:w="1122" w:type="dxa"/>
            <w:gridSpan w:val="2"/>
          </w:tcPr>
          <w:p>
            <w:pPr>
              <w:rPr>
                <w:rFonts w:ascii="仿宋" w:hAnsi="仿宋" w:eastAsia="仿宋" w:cs="宋体"/>
                <w:color w:val="000000" w:themeColor="text1"/>
                <w:sz w:val="21"/>
                <w:szCs w:val="21"/>
                <w:lang w:eastAsia="zh-CN"/>
              </w:rPr>
            </w:pPr>
            <w:r>
              <w:rPr>
                <w:rFonts w:hint="eastAsia" w:ascii="仿宋" w:hAnsi="仿宋" w:eastAsia="仿宋" w:cs="宋体"/>
                <w:color w:val="000000" w:themeColor="text1"/>
                <w:sz w:val="21"/>
                <w:szCs w:val="21"/>
                <w:lang w:val="en-US" w:eastAsia="zh-CN"/>
              </w:rPr>
              <w:t>5</w:t>
            </w:r>
            <w:r>
              <w:rPr>
                <w:rFonts w:hint="eastAsia" w:ascii="仿宋" w:hAnsi="仿宋" w:eastAsia="仿宋" w:cs="宋体"/>
                <w:color w:val="000000" w:themeColor="text1"/>
                <w:sz w:val="21"/>
                <w:szCs w:val="21"/>
                <w:lang w:eastAsia="zh-CN"/>
              </w:rPr>
              <w:t>7.2</w:t>
            </w:r>
          </w:p>
        </w:tc>
        <w:tc>
          <w:tcPr>
            <w:tcW w:w="1559" w:type="dxa"/>
            <w:gridSpan w:val="4"/>
          </w:tcPr>
          <w:p>
            <w:pPr>
              <w:pStyle w:val="20"/>
              <w:spacing w:line="240" w:lineRule="exact"/>
              <w:ind w:left="593" w:right="10" w:hanging="514"/>
              <w:rPr>
                <w:rFonts w:ascii="仿宋" w:hAnsi="仿宋" w:eastAsia="仿宋"/>
                <w:color w:val="000000" w:themeColor="text1"/>
                <w:sz w:val="21"/>
                <w:szCs w:val="21"/>
                <w:lang w:eastAsia="zh-CN"/>
              </w:rPr>
            </w:pPr>
            <w:r>
              <w:rPr>
                <w:rFonts w:hint="eastAsia" w:ascii="仿宋" w:hAnsi="仿宋" w:eastAsia="仿宋"/>
                <w:color w:val="000000" w:themeColor="text1"/>
                <w:sz w:val="21"/>
                <w:szCs w:val="21"/>
                <w:lang w:eastAsia="zh-CN"/>
              </w:rPr>
              <w:t>实际到位资金（万元）</w:t>
            </w:r>
          </w:p>
        </w:tc>
        <w:tc>
          <w:tcPr>
            <w:tcW w:w="1034" w:type="dxa"/>
          </w:tcPr>
          <w:p>
            <w:pPr>
              <w:rPr>
                <w:rFonts w:hint="default" w:ascii="仿宋" w:hAnsi="仿宋" w:eastAsia="仿宋" w:cs="宋体"/>
                <w:color w:val="000000" w:themeColor="text1"/>
                <w:sz w:val="21"/>
                <w:szCs w:val="21"/>
                <w:lang w:val="en-US" w:eastAsia="zh-CN"/>
              </w:rPr>
            </w:pPr>
            <w:r>
              <w:rPr>
                <w:rFonts w:hint="eastAsia" w:ascii="仿宋" w:hAnsi="仿宋" w:eastAsia="仿宋" w:cs="宋体"/>
                <w:color w:val="000000" w:themeColor="text1"/>
                <w:sz w:val="21"/>
                <w:szCs w:val="21"/>
                <w:lang w:val="en-US" w:eastAsia="zh-CN"/>
              </w:rPr>
              <w:t>57.2</w:t>
            </w:r>
          </w:p>
        </w:tc>
        <w:tc>
          <w:tcPr>
            <w:tcW w:w="1372" w:type="dxa"/>
            <w:gridSpan w:val="3"/>
          </w:tcPr>
          <w:p>
            <w:pPr>
              <w:pStyle w:val="20"/>
              <w:spacing w:line="218" w:lineRule="exact"/>
              <w:ind w:left="125" w:right="115"/>
              <w:jc w:val="center"/>
              <w:rPr>
                <w:rFonts w:ascii="仿宋" w:hAnsi="仿宋" w:eastAsia="仿宋"/>
                <w:color w:val="000000" w:themeColor="text1"/>
                <w:sz w:val="21"/>
                <w:szCs w:val="21"/>
                <w:lang w:eastAsia="zh-CN"/>
              </w:rPr>
            </w:pPr>
            <w:r>
              <w:rPr>
                <w:rFonts w:hint="eastAsia" w:ascii="仿宋" w:hAnsi="仿宋" w:eastAsia="仿宋"/>
                <w:color w:val="000000" w:themeColor="text1"/>
                <w:sz w:val="21"/>
                <w:szCs w:val="21"/>
                <w:lang w:eastAsia="zh-CN"/>
              </w:rPr>
              <w:t>实际使用情况</w:t>
            </w:r>
          </w:p>
          <w:p>
            <w:pPr>
              <w:pStyle w:val="20"/>
              <w:spacing w:before="4"/>
              <w:ind w:left="125" w:right="115"/>
              <w:jc w:val="center"/>
              <w:rPr>
                <w:rFonts w:ascii="仿宋" w:hAnsi="仿宋" w:eastAsia="仿宋"/>
                <w:color w:val="000000" w:themeColor="text1"/>
                <w:sz w:val="21"/>
                <w:szCs w:val="21"/>
                <w:lang w:eastAsia="zh-CN"/>
              </w:rPr>
            </w:pPr>
            <w:r>
              <w:rPr>
                <w:rFonts w:hint="eastAsia" w:ascii="仿宋" w:hAnsi="仿宋" w:eastAsia="仿宋"/>
                <w:color w:val="000000" w:themeColor="text1"/>
                <w:sz w:val="21"/>
                <w:szCs w:val="21"/>
                <w:lang w:eastAsia="zh-CN"/>
              </w:rPr>
              <w:t>（万元）</w:t>
            </w:r>
          </w:p>
        </w:tc>
        <w:tc>
          <w:tcPr>
            <w:tcW w:w="1735" w:type="dxa"/>
          </w:tcPr>
          <w:p>
            <w:pPr>
              <w:rPr>
                <w:rFonts w:hint="default" w:ascii="仿宋" w:hAnsi="仿宋" w:eastAsia="仿宋" w:cs="宋体"/>
                <w:color w:val="000000" w:themeColor="text1"/>
                <w:sz w:val="21"/>
                <w:szCs w:val="21"/>
                <w:lang w:val="en-US" w:eastAsia="zh-CN"/>
              </w:rPr>
            </w:pPr>
            <w:r>
              <w:rPr>
                <w:rFonts w:hint="eastAsia" w:ascii="仿宋" w:hAnsi="仿宋" w:eastAsia="仿宋" w:cs="宋体"/>
                <w:color w:val="000000" w:themeColor="text1"/>
                <w:sz w:val="21"/>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jc w:val="center"/>
        </w:trPr>
        <w:tc>
          <w:tcPr>
            <w:tcW w:w="1858" w:type="dxa"/>
            <w:gridSpan w:val="2"/>
          </w:tcPr>
          <w:p>
            <w:pPr>
              <w:pStyle w:val="20"/>
              <w:spacing w:before="32"/>
              <w:ind w:left="293"/>
              <w:rPr>
                <w:rFonts w:ascii="仿宋" w:hAnsi="仿宋" w:eastAsia="仿宋"/>
                <w:color w:val="000000" w:themeColor="text1"/>
                <w:sz w:val="21"/>
                <w:szCs w:val="21"/>
              </w:rPr>
            </w:pPr>
            <w:r>
              <w:rPr>
                <w:rFonts w:hint="eastAsia" w:ascii="仿宋" w:hAnsi="仿宋" w:eastAsia="仿宋"/>
                <w:color w:val="000000" w:themeColor="text1"/>
                <w:sz w:val="21"/>
                <w:szCs w:val="21"/>
              </w:rPr>
              <w:t>其中：中央财政</w:t>
            </w:r>
          </w:p>
        </w:tc>
        <w:tc>
          <w:tcPr>
            <w:tcW w:w="1122" w:type="dxa"/>
            <w:gridSpan w:val="2"/>
          </w:tcPr>
          <w:p>
            <w:pPr>
              <w:rPr>
                <w:rFonts w:ascii="仿宋" w:hAnsi="仿宋" w:eastAsia="仿宋" w:cs="宋体"/>
                <w:color w:val="000000" w:themeColor="text1"/>
                <w:sz w:val="21"/>
                <w:szCs w:val="21"/>
                <w:lang w:eastAsia="zh-CN"/>
              </w:rPr>
            </w:pPr>
            <w:r>
              <w:rPr>
                <w:rFonts w:hint="eastAsia" w:ascii="仿宋" w:hAnsi="仿宋" w:eastAsia="仿宋" w:cs="宋体"/>
                <w:color w:val="000000" w:themeColor="text1"/>
                <w:sz w:val="21"/>
                <w:szCs w:val="21"/>
                <w:lang w:eastAsia="zh-CN"/>
              </w:rPr>
              <w:t>0</w:t>
            </w:r>
          </w:p>
        </w:tc>
        <w:tc>
          <w:tcPr>
            <w:tcW w:w="1559" w:type="dxa"/>
            <w:gridSpan w:val="4"/>
          </w:tcPr>
          <w:p>
            <w:pPr>
              <w:pStyle w:val="20"/>
              <w:spacing w:before="32"/>
              <w:ind w:left="145"/>
              <w:rPr>
                <w:rFonts w:ascii="仿宋" w:hAnsi="仿宋" w:eastAsia="仿宋"/>
                <w:color w:val="000000" w:themeColor="text1"/>
                <w:sz w:val="21"/>
                <w:szCs w:val="21"/>
              </w:rPr>
            </w:pPr>
            <w:r>
              <w:rPr>
                <w:rFonts w:hint="eastAsia" w:ascii="仿宋" w:hAnsi="仿宋" w:eastAsia="仿宋"/>
                <w:color w:val="000000" w:themeColor="text1"/>
                <w:sz w:val="21"/>
                <w:szCs w:val="21"/>
              </w:rPr>
              <w:t>其中：中央财政</w:t>
            </w:r>
          </w:p>
        </w:tc>
        <w:tc>
          <w:tcPr>
            <w:tcW w:w="1034" w:type="dxa"/>
          </w:tcPr>
          <w:p>
            <w:pPr>
              <w:rPr>
                <w:rFonts w:ascii="仿宋" w:hAnsi="仿宋" w:eastAsia="仿宋" w:cs="宋体"/>
                <w:color w:val="000000" w:themeColor="text1"/>
                <w:sz w:val="21"/>
                <w:szCs w:val="21"/>
                <w:lang w:eastAsia="zh-CN"/>
              </w:rPr>
            </w:pPr>
            <w:r>
              <w:rPr>
                <w:rFonts w:hint="eastAsia" w:ascii="仿宋" w:hAnsi="仿宋" w:eastAsia="仿宋" w:cs="宋体"/>
                <w:color w:val="000000" w:themeColor="text1"/>
                <w:sz w:val="21"/>
                <w:szCs w:val="21"/>
                <w:lang w:eastAsia="zh-CN"/>
              </w:rPr>
              <w:t>0</w:t>
            </w:r>
          </w:p>
        </w:tc>
        <w:tc>
          <w:tcPr>
            <w:tcW w:w="1372" w:type="dxa"/>
            <w:gridSpan w:val="3"/>
          </w:tcPr>
          <w:p>
            <w:pPr>
              <w:rPr>
                <w:rFonts w:ascii="仿宋" w:hAnsi="仿宋" w:eastAsia="仿宋" w:cs="宋体"/>
                <w:color w:val="000000" w:themeColor="text1"/>
                <w:sz w:val="21"/>
                <w:szCs w:val="21"/>
                <w:lang w:eastAsia="zh-CN"/>
              </w:rPr>
            </w:pPr>
            <w:r>
              <w:rPr>
                <w:rFonts w:hint="eastAsia" w:ascii="仿宋" w:hAnsi="仿宋" w:eastAsia="仿宋" w:cs="宋体"/>
                <w:color w:val="000000" w:themeColor="text1"/>
                <w:sz w:val="21"/>
                <w:szCs w:val="21"/>
                <w:lang w:eastAsia="zh-CN"/>
              </w:rPr>
              <w:t>0</w:t>
            </w:r>
          </w:p>
        </w:tc>
        <w:tc>
          <w:tcPr>
            <w:tcW w:w="1735" w:type="dxa"/>
          </w:tcPr>
          <w:p>
            <w:pPr>
              <w:rPr>
                <w:rFonts w:ascii="仿宋" w:hAnsi="仿宋" w:eastAsia="仿宋" w:cs="宋体"/>
                <w:color w:val="000000" w:themeColor="text1"/>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jc w:val="center"/>
        </w:trPr>
        <w:tc>
          <w:tcPr>
            <w:tcW w:w="1858" w:type="dxa"/>
            <w:gridSpan w:val="2"/>
          </w:tcPr>
          <w:p>
            <w:pPr>
              <w:pStyle w:val="20"/>
              <w:spacing w:before="31"/>
              <w:ind w:left="634" w:right="634"/>
              <w:jc w:val="center"/>
              <w:rPr>
                <w:rFonts w:ascii="仿宋" w:hAnsi="仿宋" w:eastAsia="仿宋"/>
                <w:color w:val="000000" w:themeColor="text1"/>
                <w:sz w:val="21"/>
                <w:szCs w:val="21"/>
              </w:rPr>
            </w:pPr>
            <w:r>
              <w:rPr>
                <w:rFonts w:hint="eastAsia" w:ascii="仿宋" w:hAnsi="仿宋" w:eastAsia="仿宋"/>
                <w:color w:val="000000" w:themeColor="text1"/>
                <w:sz w:val="21"/>
                <w:szCs w:val="21"/>
              </w:rPr>
              <w:t>省财政</w:t>
            </w:r>
          </w:p>
        </w:tc>
        <w:tc>
          <w:tcPr>
            <w:tcW w:w="1122" w:type="dxa"/>
            <w:gridSpan w:val="2"/>
          </w:tcPr>
          <w:p>
            <w:pPr>
              <w:rPr>
                <w:rFonts w:ascii="仿宋" w:hAnsi="仿宋" w:eastAsia="仿宋" w:cs="宋体"/>
                <w:color w:val="000000" w:themeColor="text1"/>
                <w:sz w:val="21"/>
                <w:szCs w:val="21"/>
                <w:lang w:eastAsia="zh-CN"/>
              </w:rPr>
            </w:pPr>
            <w:r>
              <w:rPr>
                <w:rFonts w:hint="eastAsia" w:ascii="仿宋" w:hAnsi="仿宋" w:eastAsia="仿宋" w:cs="宋体"/>
                <w:color w:val="000000" w:themeColor="text1"/>
                <w:sz w:val="21"/>
                <w:szCs w:val="21"/>
                <w:lang w:eastAsia="zh-CN"/>
              </w:rPr>
              <w:t>0</w:t>
            </w:r>
          </w:p>
        </w:tc>
        <w:tc>
          <w:tcPr>
            <w:tcW w:w="1559" w:type="dxa"/>
            <w:gridSpan w:val="4"/>
          </w:tcPr>
          <w:p>
            <w:pPr>
              <w:pStyle w:val="20"/>
              <w:spacing w:before="31"/>
              <w:ind w:left="505"/>
              <w:rPr>
                <w:rFonts w:ascii="仿宋" w:hAnsi="仿宋" w:eastAsia="仿宋"/>
                <w:color w:val="000000" w:themeColor="text1"/>
                <w:sz w:val="21"/>
                <w:szCs w:val="21"/>
              </w:rPr>
            </w:pPr>
            <w:r>
              <w:rPr>
                <w:rFonts w:hint="eastAsia" w:ascii="仿宋" w:hAnsi="仿宋" w:eastAsia="仿宋"/>
                <w:color w:val="000000" w:themeColor="text1"/>
                <w:sz w:val="21"/>
                <w:szCs w:val="21"/>
              </w:rPr>
              <w:t>省财政</w:t>
            </w:r>
          </w:p>
        </w:tc>
        <w:tc>
          <w:tcPr>
            <w:tcW w:w="1034" w:type="dxa"/>
          </w:tcPr>
          <w:p>
            <w:pPr>
              <w:rPr>
                <w:rFonts w:ascii="仿宋" w:hAnsi="仿宋" w:eastAsia="仿宋" w:cs="宋体"/>
                <w:color w:val="000000" w:themeColor="text1"/>
                <w:sz w:val="21"/>
                <w:szCs w:val="21"/>
                <w:lang w:eastAsia="zh-CN"/>
              </w:rPr>
            </w:pPr>
            <w:r>
              <w:rPr>
                <w:rFonts w:hint="eastAsia" w:ascii="仿宋" w:hAnsi="仿宋" w:eastAsia="仿宋" w:cs="宋体"/>
                <w:color w:val="000000" w:themeColor="text1"/>
                <w:sz w:val="21"/>
                <w:szCs w:val="21"/>
                <w:lang w:eastAsia="zh-CN"/>
              </w:rPr>
              <w:t>0</w:t>
            </w:r>
          </w:p>
        </w:tc>
        <w:tc>
          <w:tcPr>
            <w:tcW w:w="1372" w:type="dxa"/>
            <w:gridSpan w:val="3"/>
          </w:tcPr>
          <w:p>
            <w:pPr>
              <w:rPr>
                <w:rFonts w:ascii="仿宋" w:hAnsi="仿宋" w:eastAsia="仿宋" w:cs="宋体"/>
                <w:color w:val="000000" w:themeColor="text1"/>
                <w:sz w:val="21"/>
                <w:szCs w:val="21"/>
                <w:lang w:eastAsia="zh-CN"/>
              </w:rPr>
            </w:pPr>
            <w:r>
              <w:rPr>
                <w:rFonts w:hint="eastAsia" w:ascii="仿宋" w:hAnsi="仿宋" w:eastAsia="仿宋" w:cs="宋体"/>
                <w:color w:val="000000" w:themeColor="text1"/>
                <w:sz w:val="21"/>
                <w:szCs w:val="21"/>
                <w:lang w:eastAsia="zh-CN"/>
              </w:rPr>
              <w:t>0</w:t>
            </w:r>
          </w:p>
        </w:tc>
        <w:tc>
          <w:tcPr>
            <w:tcW w:w="1735" w:type="dxa"/>
          </w:tcPr>
          <w:p>
            <w:pPr>
              <w:rPr>
                <w:rFonts w:ascii="仿宋" w:hAnsi="仿宋" w:eastAsia="仿宋" w:cs="宋体"/>
                <w:color w:val="000000" w:themeColor="text1"/>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jc w:val="center"/>
        </w:trPr>
        <w:tc>
          <w:tcPr>
            <w:tcW w:w="1858" w:type="dxa"/>
            <w:gridSpan w:val="2"/>
          </w:tcPr>
          <w:p>
            <w:pPr>
              <w:pStyle w:val="20"/>
              <w:spacing w:before="31"/>
              <w:ind w:left="564"/>
              <w:rPr>
                <w:rFonts w:ascii="仿宋" w:hAnsi="仿宋" w:eastAsia="仿宋"/>
                <w:color w:val="000000" w:themeColor="text1"/>
                <w:sz w:val="21"/>
                <w:szCs w:val="21"/>
              </w:rPr>
            </w:pPr>
            <w:r>
              <w:rPr>
                <w:rFonts w:hint="eastAsia" w:ascii="仿宋" w:hAnsi="仿宋" w:eastAsia="仿宋"/>
                <w:color w:val="000000" w:themeColor="text1"/>
                <w:sz w:val="21"/>
                <w:szCs w:val="21"/>
              </w:rPr>
              <w:t>市县财政</w:t>
            </w:r>
          </w:p>
        </w:tc>
        <w:tc>
          <w:tcPr>
            <w:tcW w:w="1122" w:type="dxa"/>
            <w:gridSpan w:val="2"/>
          </w:tcPr>
          <w:p>
            <w:pPr>
              <w:rPr>
                <w:rFonts w:ascii="仿宋" w:hAnsi="仿宋" w:eastAsia="仿宋" w:cs="宋体"/>
                <w:color w:val="000000" w:themeColor="text1"/>
                <w:sz w:val="21"/>
                <w:szCs w:val="21"/>
                <w:lang w:eastAsia="zh-CN"/>
              </w:rPr>
            </w:pPr>
            <w:r>
              <w:rPr>
                <w:rFonts w:hint="eastAsia" w:ascii="仿宋" w:hAnsi="仿宋" w:eastAsia="仿宋" w:cs="宋体"/>
                <w:color w:val="000000" w:themeColor="text1"/>
                <w:sz w:val="21"/>
                <w:szCs w:val="21"/>
                <w:lang w:eastAsia="zh-CN"/>
              </w:rPr>
              <w:t>0</w:t>
            </w:r>
          </w:p>
        </w:tc>
        <w:tc>
          <w:tcPr>
            <w:tcW w:w="1559" w:type="dxa"/>
            <w:gridSpan w:val="4"/>
          </w:tcPr>
          <w:p>
            <w:pPr>
              <w:pStyle w:val="20"/>
              <w:spacing w:before="31"/>
              <w:ind w:left="413"/>
              <w:rPr>
                <w:rFonts w:ascii="仿宋" w:hAnsi="仿宋" w:eastAsia="仿宋"/>
                <w:color w:val="000000" w:themeColor="text1"/>
                <w:sz w:val="21"/>
                <w:szCs w:val="21"/>
              </w:rPr>
            </w:pPr>
            <w:r>
              <w:rPr>
                <w:rFonts w:hint="eastAsia" w:ascii="仿宋" w:hAnsi="仿宋" w:eastAsia="仿宋"/>
                <w:color w:val="000000" w:themeColor="text1"/>
                <w:sz w:val="21"/>
                <w:szCs w:val="21"/>
              </w:rPr>
              <w:t>市县财政</w:t>
            </w:r>
          </w:p>
        </w:tc>
        <w:tc>
          <w:tcPr>
            <w:tcW w:w="1034" w:type="dxa"/>
          </w:tcPr>
          <w:p>
            <w:pPr>
              <w:rPr>
                <w:rFonts w:ascii="仿宋" w:hAnsi="仿宋" w:eastAsia="仿宋" w:cs="宋体"/>
                <w:color w:val="000000" w:themeColor="text1"/>
                <w:sz w:val="21"/>
                <w:szCs w:val="21"/>
                <w:lang w:eastAsia="zh-CN"/>
              </w:rPr>
            </w:pPr>
            <w:r>
              <w:rPr>
                <w:rFonts w:hint="eastAsia" w:ascii="仿宋" w:hAnsi="仿宋" w:eastAsia="仿宋" w:cs="宋体"/>
                <w:color w:val="000000" w:themeColor="text1"/>
                <w:sz w:val="21"/>
                <w:szCs w:val="21"/>
                <w:lang w:eastAsia="zh-CN"/>
              </w:rPr>
              <w:t>0</w:t>
            </w:r>
          </w:p>
        </w:tc>
        <w:tc>
          <w:tcPr>
            <w:tcW w:w="1372" w:type="dxa"/>
            <w:gridSpan w:val="3"/>
          </w:tcPr>
          <w:p>
            <w:pPr>
              <w:rPr>
                <w:rFonts w:ascii="仿宋" w:hAnsi="仿宋" w:eastAsia="仿宋" w:cs="宋体"/>
                <w:color w:val="000000" w:themeColor="text1"/>
                <w:sz w:val="21"/>
                <w:szCs w:val="21"/>
                <w:lang w:eastAsia="zh-CN"/>
              </w:rPr>
            </w:pPr>
            <w:r>
              <w:rPr>
                <w:rFonts w:hint="eastAsia" w:ascii="仿宋" w:hAnsi="仿宋" w:eastAsia="仿宋" w:cs="宋体"/>
                <w:color w:val="000000" w:themeColor="text1"/>
                <w:sz w:val="21"/>
                <w:szCs w:val="21"/>
                <w:lang w:eastAsia="zh-CN"/>
              </w:rPr>
              <w:t>0</w:t>
            </w:r>
          </w:p>
        </w:tc>
        <w:tc>
          <w:tcPr>
            <w:tcW w:w="1735" w:type="dxa"/>
          </w:tcPr>
          <w:p>
            <w:pPr>
              <w:rPr>
                <w:rFonts w:ascii="仿宋" w:hAnsi="仿宋" w:eastAsia="仿宋" w:cs="宋体"/>
                <w:color w:val="000000" w:themeColor="text1"/>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jc w:val="center"/>
        </w:trPr>
        <w:tc>
          <w:tcPr>
            <w:tcW w:w="1858" w:type="dxa"/>
            <w:gridSpan w:val="2"/>
          </w:tcPr>
          <w:p>
            <w:pPr>
              <w:pStyle w:val="20"/>
              <w:spacing w:before="30"/>
              <w:ind w:left="634" w:right="634"/>
              <w:jc w:val="center"/>
              <w:rPr>
                <w:rFonts w:ascii="仿宋" w:hAnsi="仿宋" w:eastAsia="仿宋"/>
                <w:color w:val="000000" w:themeColor="text1"/>
                <w:sz w:val="21"/>
                <w:szCs w:val="21"/>
              </w:rPr>
            </w:pPr>
            <w:r>
              <w:rPr>
                <w:rFonts w:hint="eastAsia" w:ascii="仿宋" w:hAnsi="仿宋" w:eastAsia="仿宋"/>
                <w:color w:val="000000" w:themeColor="text1"/>
                <w:sz w:val="21"/>
                <w:szCs w:val="21"/>
              </w:rPr>
              <w:t>其他</w:t>
            </w:r>
          </w:p>
        </w:tc>
        <w:tc>
          <w:tcPr>
            <w:tcW w:w="1122" w:type="dxa"/>
            <w:gridSpan w:val="2"/>
          </w:tcPr>
          <w:p>
            <w:pPr>
              <w:rPr>
                <w:rFonts w:ascii="仿宋" w:hAnsi="仿宋" w:eastAsia="仿宋" w:cs="宋体"/>
                <w:color w:val="000000" w:themeColor="text1"/>
                <w:sz w:val="21"/>
                <w:szCs w:val="21"/>
                <w:lang w:eastAsia="zh-CN"/>
              </w:rPr>
            </w:pPr>
            <w:r>
              <w:rPr>
                <w:rFonts w:hint="eastAsia" w:ascii="仿宋" w:hAnsi="仿宋" w:eastAsia="仿宋" w:cs="宋体"/>
                <w:color w:val="000000" w:themeColor="text1"/>
                <w:sz w:val="21"/>
                <w:szCs w:val="21"/>
                <w:lang w:eastAsia="zh-CN"/>
              </w:rPr>
              <w:t>0</w:t>
            </w:r>
          </w:p>
        </w:tc>
        <w:tc>
          <w:tcPr>
            <w:tcW w:w="1559" w:type="dxa"/>
            <w:gridSpan w:val="4"/>
          </w:tcPr>
          <w:p>
            <w:pPr>
              <w:pStyle w:val="20"/>
              <w:spacing w:before="30"/>
              <w:ind w:left="574" w:right="575"/>
              <w:jc w:val="center"/>
              <w:rPr>
                <w:rFonts w:ascii="仿宋" w:hAnsi="仿宋" w:eastAsia="仿宋"/>
                <w:color w:val="000000" w:themeColor="text1"/>
                <w:sz w:val="21"/>
                <w:szCs w:val="21"/>
              </w:rPr>
            </w:pPr>
            <w:r>
              <w:rPr>
                <w:rFonts w:hint="eastAsia" w:ascii="仿宋" w:hAnsi="仿宋" w:eastAsia="仿宋"/>
                <w:color w:val="000000" w:themeColor="text1"/>
                <w:sz w:val="21"/>
                <w:szCs w:val="21"/>
              </w:rPr>
              <w:t>其他</w:t>
            </w:r>
          </w:p>
        </w:tc>
        <w:tc>
          <w:tcPr>
            <w:tcW w:w="1034" w:type="dxa"/>
          </w:tcPr>
          <w:p>
            <w:pPr>
              <w:rPr>
                <w:rFonts w:ascii="仿宋" w:hAnsi="仿宋" w:eastAsia="仿宋" w:cs="宋体"/>
                <w:color w:val="000000" w:themeColor="text1"/>
                <w:sz w:val="21"/>
                <w:szCs w:val="21"/>
                <w:lang w:eastAsia="zh-CN"/>
              </w:rPr>
            </w:pPr>
            <w:r>
              <w:rPr>
                <w:rFonts w:hint="eastAsia" w:ascii="仿宋" w:hAnsi="仿宋" w:eastAsia="仿宋" w:cs="宋体"/>
                <w:color w:val="000000" w:themeColor="text1"/>
                <w:sz w:val="21"/>
                <w:szCs w:val="21"/>
                <w:lang w:eastAsia="zh-CN"/>
              </w:rPr>
              <w:t>0</w:t>
            </w:r>
          </w:p>
        </w:tc>
        <w:tc>
          <w:tcPr>
            <w:tcW w:w="1372" w:type="dxa"/>
            <w:gridSpan w:val="3"/>
          </w:tcPr>
          <w:p>
            <w:pPr>
              <w:rPr>
                <w:rFonts w:ascii="仿宋" w:hAnsi="仿宋" w:eastAsia="仿宋" w:cs="宋体"/>
                <w:color w:val="000000" w:themeColor="text1"/>
                <w:sz w:val="21"/>
                <w:szCs w:val="21"/>
                <w:lang w:eastAsia="zh-CN"/>
              </w:rPr>
            </w:pPr>
            <w:r>
              <w:rPr>
                <w:rFonts w:hint="eastAsia" w:ascii="仿宋" w:hAnsi="仿宋" w:eastAsia="仿宋" w:cs="宋体"/>
                <w:color w:val="000000" w:themeColor="text1"/>
                <w:sz w:val="21"/>
                <w:szCs w:val="21"/>
                <w:lang w:eastAsia="zh-CN"/>
              </w:rPr>
              <w:t>0</w:t>
            </w:r>
          </w:p>
        </w:tc>
        <w:tc>
          <w:tcPr>
            <w:tcW w:w="1735" w:type="dxa"/>
          </w:tcPr>
          <w:p>
            <w:pPr>
              <w:rPr>
                <w:rFonts w:ascii="仿宋" w:hAnsi="仿宋" w:eastAsia="仿宋" w:cs="宋体"/>
                <w:color w:val="000000" w:themeColor="text1"/>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jc w:val="center"/>
        </w:trPr>
        <w:tc>
          <w:tcPr>
            <w:tcW w:w="8680" w:type="dxa"/>
            <w:gridSpan w:val="13"/>
          </w:tcPr>
          <w:p>
            <w:pPr>
              <w:pStyle w:val="20"/>
              <w:spacing w:before="30"/>
              <w:ind w:left="79"/>
              <w:rPr>
                <w:rFonts w:ascii="仿宋" w:hAnsi="仿宋" w:eastAsia="仿宋"/>
                <w:b/>
                <w:color w:val="000000" w:themeColor="text1"/>
                <w:sz w:val="21"/>
                <w:szCs w:val="21"/>
                <w:lang w:eastAsia="zh-CN"/>
              </w:rPr>
            </w:pPr>
            <w:r>
              <w:rPr>
                <w:rFonts w:hint="eastAsia" w:ascii="仿宋" w:hAnsi="仿宋" w:eastAsia="仿宋"/>
                <w:b/>
                <w:color w:val="000000" w:themeColor="text1"/>
                <w:w w:val="95"/>
                <w:sz w:val="21"/>
                <w:szCs w:val="21"/>
                <w:lang w:eastAsia="zh-CN"/>
              </w:rPr>
              <w:t>二、绩效评价指标评分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jc w:val="center"/>
        </w:trPr>
        <w:tc>
          <w:tcPr>
            <w:tcW w:w="1361" w:type="dxa"/>
          </w:tcPr>
          <w:p>
            <w:pPr>
              <w:pStyle w:val="20"/>
              <w:spacing w:before="6"/>
              <w:ind w:left="295" w:right="295"/>
              <w:jc w:val="center"/>
              <w:rPr>
                <w:rFonts w:ascii="仿宋" w:hAnsi="仿宋" w:eastAsia="仿宋"/>
                <w:color w:val="000000" w:themeColor="text1"/>
                <w:sz w:val="21"/>
                <w:szCs w:val="21"/>
              </w:rPr>
            </w:pPr>
            <w:r>
              <w:rPr>
                <w:rFonts w:hint="eastAsia" w:ascii="仿宋" w:hAnsi="仿宋" w:eastAsia="仿宋"/>
                <w:color w:val="000000" w:themeColor="text1"/>
                <w:sz w:val="21"/>
                <w:szCs w:val="21"/>
              </w:rPr>
              <w:t>一级指标</w:t>
            </w:r>
          </w:p>
        </w:tc>
        <w:tc>
          <w:tcPr>
            <w:tcW w:w="916" w:type="dxa"/>
            <w:gridSpan w:val="2"/>
          </w:tcPr>
          <w:p>
            <w:pPr>
              <w:pStyle w:val="20"/>
              <w:spacing w:before="6"/>
              <w:ind w:left="273"/>
              <w:rPr>
                <w:rFonts w:ascii="仿宋" w:hAnsi="仿宋" w:eastAsia="仿宋"/>
                <w:color w:val="000000" w:themeColor="text1"/>
                <w:sz w:val="21"/>
                <w:szCs w:val="21"/>
              </w:rPr>
            </w:pPr>
            <w:r>
              <w:rPr>
                <w:rFonts w:hint="eastAsia" w:ascii="仿宋" w:hAnsi="仿宋" w:eastAsia="仿宋"/>
                <w:color w:val="000000" w:themeColor="text1"/>
                <w:sz w:val="21"/>
                <w:szCs w:val="21"/>
              </w:rPr>
              <w:t>分值</w:t>
            </w:r>
          </w:p>
        </w:tc>
        <w:tc>
          <w:tcPr>
            <w:tcW w:w="1272" w:type="dxa"/>
            <w:gridSpan w:val="3"/>
          </w:tcPr>
          <w:p>
            <w:pPr>
              <w:pStyle w:val="20"/>
              <w:spacing w:before="6"/>
              <w:ind w:left="272"/>
              <w:rPr>
                <w:rFonts w:ascii="仿宋" w:hAnsi="仿宋" w:eastAsia="仿宋"/>
                <w:color w:val="000000" w:themeColor="text1"/>
                <w:sz w:val="21"/>
                <w:szCs w:val="21"/>
              </w:rPr>
            </w:pPr>
            <w:r>
              <w:rPr>
                <w:rFonts w:hint="eastAsia" w:ascii="仿宋" w:hAnsi="仿宋" w:eastAsia="仿宋"/>
                <w:color w:val="000000" w:themeColor="text1"/>
                <w:sz w:val="21"/>
                <w:szCs w:val="21"/>
              </w:rPr>
              <w:t>二级指标</w:t>
            </w:r>
          </w:p>
        </w:tc>
        <w:tc>
          <w:tcPr>
            <w:tcW w:w="759" w:type="dxa"/>
          </w:tcPr>
          <w:p>
            <w:pPr>
              <w:pStyle w:val="20"/>
              <w:spacing w:before="6"/>
              <w:ind w:left="195"/>
              <w:rPr>
                <w:rFonts w:ascii="仿宋" w:hAnsi="仿宋" w:eastAsia="仿宋"/>
                <w:color w:val="000000" w:themeColor="text1"/>
                <w:sz w:val="21"/>
                <w:szCs w:val="21"/>
              </w:rPr>
            </w:pPr>
            <w:r>
              <w:rPr>
                <w:rFonts w:hint="eastAsia" w:ascii="仿宋" w:hAnsi="仿宋" w:eastAsia="仿宋"/>
                <w:color w:val="000000" w:themeColor="text1"/>
                <w:sz w:val="21"/>
                <w:szCs w:val="21"/>
              </w:rPr>
              <w:t>分值</w:t>
            </w:r>
          </w:p>
        </w:tc>
        <w:tc>
          <w:tcPr>
            <w:tcW w:w="1844" w:type="dxa"/>
            <w:gridSpan w:val="3"/>
          </w:tcPr>
          <w:p>
            <w:pPr>
              <w:pStyle w:val="20"/>
              <w:spacing w:before="6"/>
              <w:ind w:left="557"/>
              <w:rPr>
                <w:rFonts w:ascii="仿宋" w:hAnsi="仿宋" w:eastAsia="仿宋"/>
                <w:color w:val="000000" w:themeColor="text1"/>
                <w:sz w:val="21"/>
                <w:szCs w:val="21"/>
              </w:rPr>
            </w:pPr>
            <w:r>
              <w:rPr>
                <w:rFonts w:hint="eastAsia" w:ascii="仿宋" w:hAnsi="仿宋" w:eastAsia="仿宋"/>
                <w:color w:val="000000" w:themeColor="text1"/>
                <w:sz w:val="21"/>
                <w:szCs w:val="21"/>
              </w:rPr>
              <w:t>三级指标</w:t>
            </w:r>
          </w:p>
        </w:tc>
        <w:tc>
          <w:tcPr>
            <w:tcW w:w="793" w:type="dxa"/>
            <w:gridSpan w:val="2"/>
          </w:tcPr>
          <w:p>
            <w:pPr>
              <w:pStyle w:val="20"/>
              <w:spacing w:before="6"/>
              <w:ind w:left="205"/>
              <w:rPr>
                <w:rFonts w:ascii="仿宋" w:hAnsi="仿宋" w:eastAsia="仿宋"/>
                <w:color w:val="000000" w:themeColor="text1"/>
                <w:sz w:val="21"/>
                <w:szCs w:val="21"/>
              </w:rPr>
            </w:pPr>
            <w:r>
              <w:rPr>
                <w:rFonts w:hint="eastAsia" w:ascii="仿宋" w:hAnsi="仿宋" w:eastAsia="仿宋"/>
                <w:color w:val="000000" w:themeColor="text1"/>
                <w:sz w:val="21"/>
                <w:szCs w:val="21"/>
              </w:rPr>
              <w:t>分值</w:t>
            </w:r>
          </w:p>
        </w:tc>
        <w:tc>
          <w:tcPr>
            <w:tcW w:w="1735" w:type="dxa"/>
          </w:tcPr>
          <w:p>
            <w:pPr>
              <w:pStyle w:val="20"/>
              <w:spacing w:before="6"/>
              <w:ind w:left="656" w:right="668"/>
              <w:jc w:val="center"/>
              <w:rPr>
                <w:rFonts w:ascii="仿宋" w:hAnsi="仿宋" w:eastAsia="仿宋"/>
                <w:color w:val="000000" w:themeColor="text1"/>
                <w:sz w:val="21"/>
                <w:szCs w:val="21"/>
              </w:rPr>
            </w:pPr>
            <w:r>
              <w:rPr>
                <w:rFonts w:hint="eastAsia" w:ascii="仿宋" w:hAnsi="仿宋" w:eastAsia="仿宋"/>
                <w:color w:val="000000" w:themeColor="text1"/>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jc w:val="center"/>
        </w:trPr>
        <w:tc>
          <w:tcPr>
            <w:tcW w:w="1361" w:type="dxa"/>
            <w:vMerge w:val="restart"/>
          </w:tcPr>
          <w:p>
            <w:pPr>
              <w:pStyle w:val="20"/>
              <w:rPr>
                <w:rFonts w:ascii="仿宋" w:hAnsi="仿宋" w:eastAsia="仿宋"/>
                <w:color w:val="000000" w:themeColor="text1"/>
                <w:sz w:val="21"/>
                <w:szCs w:val="21"/>
              </w:rPr>
            </w:pPr>
          </w:p>
          <w:p>
            <w:pPr>
              <w:pStyle w:val="20"/>
              <w:rPr>
                <w:rFonts w:ascii="仿宋" w:hAnsi="仿宋" w:eastAsia="仿宋"/>
                <w:color w:val="000000" w:themeColor="text1"/>
                <w:sz w:val="21"/>
                <w:szCs w:val="21"/>
              </w:rPr>
            </w:pPr>
          </w:p>
          <w:p>
            <w:pPr>
              <w:pStyle w:val="20"/>
              <w:spacing w:before="1"/>
              <w:rPr>
                <w:rFonts w:ascii="仿宋" w:hAnsi="仿宋" w:eastAsia="仿宋"/>
                <w:color w:val="000000" w:themeColor="text1"/>
                <w:sz w:val="21"/>
                <w:szCs w:val="21"/>
              </w:rPr>
            </w:pPr>
          </w:p>
          <w:p>
            <w:pPr>
              <w:pStyle w:val="20"/>
              <w:ind w:left="295" w:right="295"/>
              <w:jc w:val="center"/>
              <w:rPr>
                <w:rFonts w:ascii="仿宋" w:hAnsi="仿宋" w:eastAsia="仿宋"/>
                <w:color w:val="000000" w:themeColor="text1"/>
                <w:sz w:val="21"/>
                <w:szCs w:val="21"/>
              </w:rPr>
            </w:pPr>
            <w:r>
              <w:rPr>
                <w:rFonts w:hint="eastAsia" w:ascii="仿宋" w:hAnsi="仿宋" w:eastAsia="仿宋"/>
                <w:color w:val="000000" w:themeColor="text1"/>
                <w:sz w:val="21"/>
                <w:szCs w:val="21"/>
              </w:rPr>
              <w:t>决策</w:t>
            </w:r>
          </w:p>
        </w:tc>
        <w:tc>
          <w:tcPr>
            <w:tcW w:w="916" w:type="dxa"/>
            <w:gridSpan w:val="2"/>
            <w:vMerge w:val="restart"/>
          </w:tcPr>
          <w:p>
            <w:pPr>
              <w:pStyle w:val="20"/>
              <w:rPr>
                <w:rFonts w:ascii="仿宋" w:hAnsi="仿宋" w:eastAsia="仿宋"/>
                <w:color w:val="000000" w:themeColor="text1"/>
                <w:sz w:val="21"/>
                <w:szCs w:val="21"/>
              </w:rPr>
            </w:pPr>
          </w:p>
          <w:p>
            <w:pPr>
              <w:pStyle w:val="20"/>
              <w:rPr>
                <w:rFonts w:ascii="仿宋" w:hAnsi="仿宋" w:eastAsia="仿宋"/>
                <w:color w:val="000000" w:themeColor="text1"/>
                <w:sz w:val="21"/>
                <w:szCs w:val="21"/>
              </w:rPr>
            </w:pPr>
          </w:p>
          <w:p>
            <w:pPr>
              <w:pStyle w:val="20"/>
              <w:rPr>
                <w:rFonts w:ascii="仿宋" w:hAnsi="仿宋" w:eastAsia="仿宋"/>
                <w:color w:val="000000" w:themeColor="text1"/>
                <w:sz w:val="21"/>
                <w:szCs w:val="21"/>
              </w:rPr>
            </w:pPr>
          </w:p>
          <w:p>
            <w:pPr>
              <w:pStyle w:val="20"/>
              <w:rPr>
                <w:rFonts w:ascii="仿宋" w:hAnsi="仿宋" w:eastAsia="仿宋"/>
                <w:color w:val="000000" w:themeColor="text1"/>
                <w:sz w:val="21"/>
                <w:szCs w:val="21"/>
              </w:rPr>
            </w:pPr>
          </w:p>
          <w:p>
            <w:pPr>
              <w:pStyle w:val="20"/>
              <w:rPr>
                <w:rFonts w:ascii="仿宋" w:hAnsi="仿宋" w:eastAsia="仿宋"/>
                <w:color w:val="000000" w:themeColor="text1"/>
                <w:sz w:val="21"/>
                <w:szCs w:val="21"/>
              </w:rPr>
            </w:pPr>
          </w:p>
          <w:p>
            <w:pPr>
              <w:pStyle w:val="20"/>
              <w:spacing w:before="152"/>
              <w:ind w:left="297" w:right="297"/>
              <w:jc w:val="center"/>
              <w:rPr>
                <w:rFonts w:ascii="仿宋" w:hAnsi="仿宋" w:eastAsia="仿宋"/>
                <w:color w:val="000000" w:themeColor="text1"/>
                <w:sz w:val="21"/>
                <w:szCs w:val="21"/>
                <w:lang w:eastAsia="zh-CN"/>
              </w:rPr>
            </w:pPr>
            <w:r>
              <w:rPr>
                <w:rFonts w:hint="eastAsia" w:ascii="仿宋" w:hAnsi="仿宋" w:eastAsia="仿宋"/>
                <w:color w:val="000000" w:themeColor="text1"/>
                <w:sz w:val="21"/>
                <w:szCs w:val="21"/>
                <w:lang w:eastAsia="zh-CN"/>
              </w:rPr>
              <w:t>40</w:t>
            </w:r>
          </w:p>
        </w:tc>
        <w:tc>
          <w:tcPr>
            <w:tcW w:w="1272" w:type="dxa"/>
            <w:gridSpan w:val="3"/>
            <w:vMerge w:val="restart"/>
          </w:tcPr>
          <w:p>
            <w:pPr>
              <w:pStyle w:val="20"/>
              <w:spacing w:before="161"/>
              <w:ind w:left="272"/>
              <w:rPr>
                <w:rFonts w:ascii="仿宋" w:hAnsi="仿宋" w:eastAsia="仿宋"/>
                <w:color w:val="000000" w:themeColor="text1"/>
                <w:sz w:val="21"/>
                <w:szCs w:val="21"/>
              </w:rPr>
            </w:pPr>
            <w:r>
              <w:rPr>
                <w:rFonts w:hint="eastAsia" w:ascii="仿宋" w:hAnsi="仿宋" w:eastAsia="仿宋"/>
                <w:color w:val="000000" w:themeColor="text1"/>
                <w:sz w:val="21"/>
                <w:szCs w:val="21"/>
              </w:rPr>
              <w:t>项目立项</w:t>
            </w:r>
          </w:p>
        </w:tc>
        <w:tc>
          <w:tcPr>
            <w:tcW w:w="759" w:type="dxa"/>
            <w:vMerge w:val="restart"/>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21"/>
                <w:szCs w:val="21"/>
                <w:lang w:eastAsia="zh-CN"/>
              </w:rPr>
              <w:t>8</w:t>
            </w:r>
          </w:p>
        </w:tc>
        <w:tc>
          <w:tcPr>
            <w:tcW w:w="1844" w:type="dxa"/>
            <w:gridSpan w:val="3"/>
          </w:tcPr>
          <w:p>
            <w:pPr>
              <w:pStyle w:val="20"/>
              <w:spacing w:before="5"/>
              <w:ind w:left="288"/>
              <w:rPr>
                <w:rFonts w:ascii="仿宋" w:hAnsi="仿宋" w:eastAsia="仿宋"/>
                <w:color w:val="000000" w:themeColor="text1"/>
                <w:sz w:val="21"/>
                <w:szCs w:val="21"/>
              </w:rPr>
            </w:pPr>
            <w:r>
              <w:rPr>
                <w:rFonts w:hint="eastAsia" w:ascii="仿宋" w:hAnsi="仿宋" w:eastAsia="仿宋"/>
                <w:color w:val="000000" w:themeColor="text1"/>
                <w:sz w:val="21"/>
                <w:szCs w:val="21"/>
              </w:rPr>
              <w:t>立项依据充分性</w:t>
            </w:r>
          </w:p>
        </w:tc>
        <w:tc>
          <w:tcPr>
            <w:tcW w:w="793" w:type="dxa"/>
            <w:gridSpan w:val="2"/>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18"/>
                <w:szCs w:val="18"/>
                <w:lang w:eastAsia="zh-CN"/>
              </w:rPr>
              <w:t>0.5</w:t>
            </w:r>
          </w:p>
        </w:tc>
        <w:tc>
          <w:tcPr>
            <w:tcW w:w="1735" w:type="dxa"/>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18"/>
                <w:szCs w:val="18"/>
                <w:lang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jc w:val="center"/>
        </w:trPr>
        <w:tc>
          <w:tcPr>
            <w:tcW w:w="1361" w:type="dxa"/>
            <w:vMerge w:val="continue"/>
          </w:tcPr>
          <w:p>
            <w:pPr>
              <w:rPr>
                <w:rFonts w:ascii="仿宋" w:hAnsi="仿宋" w:eastAsia="仿宋" w:cs="宋体"/>
                <w:color w:val="000000" w:themeColor="text1"/>
                <w:sz w:val="21"/>
                <w:szCs w:val="21"/>
              </w:rPr>
            </w:pPr>
          </w:p>
        </w:tc>
        <w:tc>
          <w:tcPr>
            <w:tcW w:w="916" w:type="dxa"/>
            <w:gridSpan w:val="2"/>
            <w:vMerge w:val="continue"/>
          </w:tcPr>
          <w:p>
            <w:pPr>
              <w:rPr>
                <w:rFonts w:ascii="仿宋" w:hAnsi="仿宋" w:eastAsia="仿宋" w:cs="宋体"/>
                <w:color w:val="000000" w:themeColor="text1"/>
                <w:sz w:val="21"/>
                <w:szCs w:val="21"/>
              </w:rPr>
            </w:pPr>
          </w:p>
        </w:tc>
        <w:tc>
          <w:tcPr>
            <w:tcW w:w="1272" w:type="dxa"/>
            <w:gridSpan w:val="3"/>
            <w:vMerge w:val="continue"/>
          </w:tcPr>
          <w:p>
            <w:pPr>
              <w:rPr>
                <w:rFonts w:ascii="仿宋" w:hAnsi="仿宋" w:eastAsia="仿宋" w:cs="宋体"/>
                <w:color w:val="000000" w:themeColor="text1"/>
                <w:sz w:val="21"/>
                <w:szCs w:val="21"/>
              </w:rPr>
            </w:pPr>
          </w:p>
        </w:tc>
        <w:tc>
          <w:tcPr>
            <w:tcW w:w="759" w:type="dxa"/>
            <w:vMerge w:val="continue"/>
          </w:tcPr>
          <w:p>
            <w:pPr>
              <w:rPr>
                <w:rFonts w:ascii="仿宋" w:hAnsi="仿宋" w:eastAsia="仿宋" w:cs="宋体"/>
                <w:color w:val="000000" w:themeColor="text1"/>
                <w:sz w:val="21"/>
                <w:szCs w:val="21"/>
              </w:rPr>
            </w:pPr>
          </w:p>
        </w:tc>
        <w:tc>
          <w:tcPr>
            <w:tcW w:w="1844" w:type="dxa"/>
            <w:gridSpan w:val="3"/>
          </w:tcPr>
          <w:p>
            <w:pPr>
              <w:pStyle w:val="20"/>
              <w:spacing w:before="5"/>
              <w:ind w:left="288"/>
              <w:rPr>
                <w:rFonts w:ascii="仿宋" w:hAnsi="仿宋" w:eastAsia="仿宋"/>
                <w:color w:val="000000" w:themeColor="text1"/>
                <w:sz w:val="21"/>
                <w:szCs w:val="21"/>
              </w:rPr>
            </w:pPr>
            <w:r>
              <w:rPr>
                <w:rFonts w:hint="eastAsia" w:ascii="仿宋" w:hAnsi="仿宋" w:eastAsia="仿宋"/>
                <w:color w:val="000000" w:themeColor="text1"/>
                <w:sz w:val="21"/>
                <w:szCs w:val="21"/>
              </w:rPr>
              <w:t>立项程序规范性</w:t>
            </w:r>
          </w:p>
        </w:tc>
        <w:tc>
          <w:tcPr>
            <w:tcW w:w="793" w:type="dxa"/>
            <w:gridSpan w:val="2"/>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18"/>
                <w:szCs w:val="18"/>
                <w:lang w:eastAsia="zh-CN"/>
              </w:rPr>
              <w:t>0.5</w:t>
            </w:r>
          </w:p>
        </w:tc>
        <w:tc>
          <w:tcPr>
            <w:tcW w:w="1735" w:type="dxa"/>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18"/>
                <w:szCs w:val="18"/>
                <w:lang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jc w:val="center"/>
        </w:trPr>
        <w:tc>
          <w:tcPr>
            <w:tcW w:w="1361" w:type="dxa"/>
            <w:vMerge w:val="continue"/>
          </w:tcPr>
          <w:p>
            <w:pPr>
              <w:rPr>
                <w:rFonts w:ascii="仿宋" w:hAnsi="仿宋" w:eastAsia="仿宋" w:cs="宋体"/>
                <w:color w:val="000000" w:themeColor="text1"/>
                <w:sz w:val="21"/>
                <w:szCs w:val="21"/>
              </w:rPr>
            </w:pPr>
          </w:p>
        </w:tc>
        <w:tc>
          <w:tcPr>
            <w:tcW w:w="916" w:type="dxa"/>
            <w:gridSpan w:val="2"/>
            <w:vMerge w:val="continue"/>
          </w:tcPr>
          <w:p>
            <w:pPr>
              <w:rPr>
                <w:rFonts w:ascii="仿宋" w:hAnsi="仿宋" w:eastAsia="仿宋" w:cs="宋体"/>
                <w:color w:val="000000" w:themeColor="text1"/>
                <w:sz w:val="21"/>
                <w:szCs w:val="21"/>
              </w:rPr>
            </w:pPr>
          </w:p>
        </w:tc>
        <w:tc>
          <w:tcPr>
            <w:tcW w:w="1272" w:type="dxa"/>
            <w:gridSpan w:val="3"/>
            <w:vMerge w:val="restart"/>
          </w:tcPr>
          <w:p>
            <w:pPr>
              <w:pStyle w:val="20"/>
              <w:spacing w:before="160"/>
              <w:ind w:left="272"/>
              <w:rPr>
                <w:rFonts w:ascii="仿宋" w:hAnsi="仿宋" w:eastAsia="仿宋"/>
                <w:color w:val="000000" w:themeColor="text1"/>
                <w:sz w:val="21"/>
                <w:szCs w:val="21"/>
              </w:rPr>
            </w:pPr>
            <w:r>
              <w:rPr>
                <w:rFonts w:hint="eastAsia" w:ascii="仿宋" w:hAnsi="仿宋" w:eastAsia="仿宋"/>
                <w:color w:val="000000" w:themeColor="text1"/>
                <w:sz w:val="21"/>
                <w:szCs w:val="21"/>
              </w:rPr>
              <w:t>绩效目标</w:t>
            </w:r>
          </w:p>
        </w:tc>
        <w:tc>
          <w:tcPr>
            <w:tcW w:w="759" w:type="dxa"/>
            <w:vMerge w:val="restart"/>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21"/>
                <w:szCs w:val="21"/>
                <w:lang w:eastAsia="zh-CN"/>
              </w:rPr>
              <w:t>6</w:t>
            </w:r>
          </w:p>
        </w:tc>
        <w:tc>
          <w:tcPr>
            <w:tcW w:w="1844" w:type="dxa"/>
            <w:gridSpan w:val="3"/>
          </w:tcPr>
          <w:p>
            <w:pPr>
              <w:pStyle w:val="20"/>
              <w:spacing w:before="4"/>
              <w:ind w:left="288"/>
              <w:rPr>
                <w:rFonts w:ascii="仿宋" w:hAnsi="仿宋" w:eastAsia="仿宋"/>
                <w:color w:val="000000" w:themeColor="text1"/>
                <w:sz w:val="21"/>
                <w:szCs w:val="21"/>
              </w:rPr>
            </w:pPr>
            <w:r>
              <w:rPr>
                <w:rFonts w:hint="eastAsia" w:ascii="仿宋" w:hAnsi="仿宋" w:eastAsia="仿宋"/>
                <w:color w:val="000000" w:themeColor="text1"/>
                <w:sz w:val="21"/>
                <w:szCs w:val="21"/>
              </w:rPr>
              <w:t>绩效目标合理性</w:t>
            </w:r>
          </w:p>
        </w:tc>
        <w:tc>
          <w:tcPr>
            <w:tcW w:w="793" w:type="dxa"/>
            <w:gridSpan w:val="2"/>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18"/>
                <w:szCs w:val="18"/>
                <w:lang w:eastAsia="zh-CN"/>
              </w:rPr>
              <w:t>1</w:t>
            </w:r>
          </w:p>
        </w:tc>
        <w:tc>
          <w:tcPr>
            <w:tcW w:w="1735" w:type="dxa"/>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18"/>
                <w:szCs w:val="18"/>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jc w:val="center"/>
        </w:trPr>
        <w:tc>
          <w:tcPr>
            <w:tcW w:w="1361" w:type="dxa"/>
            <w:vMerge w:val="continue"/>
          </w:tcPr>
          <w:p>
            <w:pPr>
              <w:rPr>
                <w:rFonts w:ascii="仿宋" w:hAnsi="仿宋" w:eastAsia="仿宋" w:cs="宋体"/>
                <w:color w:val="000000" w:themeColor="text1"/>
                <w:sz w:val="21"/>
                <w:szCs w:val="21"/>
              </w:rPr>
            </w:pPr>
          </w:p>
        </w:tc>
        <w:tc>
          <w:tcPr>
            <w:tcW w:w="916" w:type="dxa"/>
            <w:gridSpan w:val="2"/>
            <w:vMerge w:val="continue"/>
          </w:tcPr>
          <w:p>
            <w:pPr>
              <w:rPr>
                <w:rFonts w:ascii="仿宋" w:hAnsi="仿宋" w:eastAsia="仿宋" w:cs="宋体"/>
                <w:color w:val="000000" w:themeColor="text1"/>
                <w:sz w:val="21"/>
                <w:szCs w:val="21"/>
              </w:rPr>
            </w:pPr>
          </w:p>
        </w:tc>
        <w:tc>
          <w:tcPr>
            <w:tcW w:w="1272" w:type="dxa"/>
            <w:gridSpan w:val="3"/>
            <w:vMerge w:val="continue"/>
          </w:tcPr>
          <w:p>
            <w:pPr>
              <w:rPr>
                <w:rFonts w:ascii="仿宋" w:hAnsi="仿宋" w:eastAsia="仿宋" w:cs="宋体"/>
                <w:color w:val="000000" w:themeColor="text1"/>
                <w:sz w:val="21"/>
                <w:szCs w:val="21"/>
              </w:rPr>
            </w:pPr>
          </w:p>
        </w:tc>
        <w:tc>
          <w:tcPr>
            <w:tcW w:w="759" w:type="dxa"/>
            <w:vMerge w:val="continue"/>
          </w:tcPr>
          <w:p>
            <w:pPr>
              <w:rPr>
                <w:rFonts w:ascii="仿宋" w:hAnsi="仿宋" w:eastAsia="仿宋" w:cs="宋体"/>
                <w:color w:val="000000" w:themeColor="text1"/>
                <w:sz w:val="21"/>
                <w:szCs w:val="21"/>
              </w:rPr>
            </w:pPr>
          </w:p>
        </w:tc>
        <w:tc>
          <w:tcPr>
            <w:tcW w:w="1844" w:type="dxa"/>
            <w:gridSpan w:val="3"/>
          </w:tcPr>
          <w:p>
            <w:pPr>
              <w:pStyle w:val="20"/>
              <w:spacing w:before="4"/>
              <w:ind w:left="288"/>
              <w:rPr>
                <w:rFonts w:ascii="仿宋" w:hAnsi="仿宋" w:eastAsia="仿宋"/>
                <w:color w:val="000000" w:themeColor="text1"/>
                <w:sz w:val="21"/>
                <w:szCs w:val="21"/>
              </w:rPr>
            </w:pPr>
            <w:r>
              <w:rPr>
                <w:rFonts w:hint="eastAsia" w:ascii="仿宋" w:hAnsi="仿宋" w:eastAsia="仿宋"/>
                <w:color w:val="000000" w:themeColor="text1"/>
                <w:sz w:val="21"/>
                <w:szCs w:val="21"/>
              </w:rPr>
              <w:t>绩效指标明确性</w:t>
            </w:r>
          </w:p>
        </w:tc>
        <w:tc>
          <w:tcPr>
            <w:tcW w:w="793" w:type="dxa"/>
            <w:gridSpan w:val="2"/>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18"/>
                <w:szCs w:val="18"/>
                <w:lang w:eastAsia="zh-CN"/>
              </w:rPr>
              <w:t>1</w:t>
            </w:r>
          </w:p>
        </w:tc>
        <w:tc>
          <w:tcPr>
            <w:tcW w:w="1735" w:type="dxa"/>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18"/>
                <w:szCs w:val="18"/>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jc w:val="center"/>
        </w:trPr>
        <w:tc>
          <w:tcPr>
            <w:tcW w:w="1361" w:type="dxa"/>
            <w:vMerge w:val="continue"/>
          </w:tcPr>
          <w:p>
            <w:pPr>
              <w:rPr>
                <w:rFonts w:ascii="仿宋" w:hAnsi="仿宋" w:eastAsia="仿宋" w:cs="宋体"/>
                <w:color w:val="000000" w:themeColor="text1"/>
                <w:sz w:val="21"/>
                <w:szCs w:val="21"/>
              </w:rPr>
            </w:pPr>
          </w:p>
        </w:tc>
        <w:tc>
          <w:tcPr>
            <w:tcW w:w="916" w:type="dxa"/>
            <w:gridSpan w:val="2"/>
            <w:vMerge w:val="continue"/>
          </w:tcPr>
          <w:p>
            <w:pPr>
              <w:rPr>
                <w:rFonts w:ascii="仿宋" w:hAnsi="仿宋" w:eastAsia="仿宋" w:cs="宋体"/>
                <w:color w:val="000000" w:themeColor="text1"/>
                <w:sz w:val="21"/>
                <w:szCs w:val="21"/>
              </w:rPr>
            </w:pPr>
          </w:p>
        </w:tc>
        <w:tc>
          <w:tcPr>
            <w:tcW w:w="1272" w:type="dxa"/>
            <w:gridSpan w:val="3"/>
            <w:vMerge w:val="restart"/>
          </w:tcPr>
          <w:p>
            <w:pPr>
              <w:pStyle w:val="20"/>
              <w:spacing w:before="160"/>
              <w:ind w:left="272"/>
              <w:rPr>
                <w:rFonts w:ascii="仿宋" w:hAnsi="仿宋" w:eastAsia="仿宋"/>
                <w:color w:val="000000" w:themeColor="text1"/>
                <w:sz w:val="21"/>
                <w:szCs w:val="21"/>
              </w:rPr>
            </w:pPr>
            <w:r>
              <w:rPr>
                <w:rFonts w:hint="eastAsia" w:ascii="仿宋" w:hAnsi="仿宋" w:eastAsia="仿宋"/>
                <w:color w:val="000000" w:themeColor="text1"/>
                <w:sz w:val="21"/>
                <w:szCs w:val="21"/>
              </w:rPr>
              <w:t>资金投入</w:t>
            </w:r>
          </w:p>
        </w:tc>
        <w:tc>
          <w:tcPr>
            <w:tcW w:w="759" w:type="dxa"/>
            <w:vMerge w:val="restart"/>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21"/>
                <w:szCs w:val="21"/>
                <w:lang w:eastAsia="zh-CN"/>
              </w:rPr>
              <w:t>6</w:t>
            </w:r>
          </w:p>
        </w:tc>
        <w:tc>
          <w:tcPr>
            <w:tcW w:w="1844" w:type="dxa"/>
            <w:gridSpan w:val="3"/>
          </w:tcPr>
          <w:p>
            <w:pPr>
              <w:pStyle w:val="20"/>
              <w:spacing w:before="4"/>
              <w:ind w:left="288"/>
              <w:rPr>
                <w:rFonts w:ascii="仿宋" w:hAnsi="仿宋" w:eastAsia="仿宋"/>
                <w:color w:val="000000" w:themeColor="text1"/>
                <w:sz w:val="21"/>
                <w:szCs w:val="21"/>
              </w:rPr>
            </w:pPr>
            <w:r>
              <w:rPr>
                <w:rFonts w:hint="eastAsia" w:ascii="仿宋" w:hAnsi="仿宋" w:eastAsia="仿宋"/>
                <w:color w:val="000000" w:themeColor="text1"/>
                <w:sz w:val="21"/>
                <w:szCs w:val="21"/>
              </w:rPr>
              <w:t>预算编制科学性</w:t>
            </w:r>
          </w:p>
        </w:tc>
        <w:tc>
          <w:tcPr>
            <w:tcW w:w="793" w:type="dxa"/>
            <w:gridSpan w:val="2"/>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18"/>
                <w:szCs w:val="18"/>
                <w:lang w:eastAsia="zh-CN"/>
              </w:rPr>
              <w:t>1</w:t>
            </w:r>
          </w:p>
        </w:tc>
        <w:tc>
          <w:tcPr>
            <w:tcW w:w="1735" w:type="dxa"/>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18"/>
                <w:szCs w:val="18"/>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jc w:val="center"/>
        </w:trPr>
        <w:tc>
          <w:tcPr>
            <w:tcW w:w="1361" w:type="dxa"/>
            <w:vMerge w:val="continue"/>
          </w:tcPr>
          <w:p>
            <w:pPr>
              <w:rPr>
                <w:rFonts w:ascii="仿宋" w:hAnsi="仿宋" w:eastAsia="仿宋" w:cs="宋体"/>
                <w:color w:val="000000" w:themeColor="text1"/>
                <w:sz w:val="21"/>
                <w:szCs w:val="21"/>
              </w:rPr>
            </w:pPr>
          </w:p>
        </w:tc>
        <w:tc>
          <w:tcPr>
            <w:tcW w:w="916" w:type="dxa"/>
            <w:gridSpan w:val="2"/>
            <w:vMerge w:val="continue"/>
          </w:tcPr>
          <w:p>
            <w:pPr>
              <w:rPr>
                <w:rFonts w:ascii="仿宋" w:hAnsi="仿宋" w:eastAsia="仿宋" w:cs="宋体"/>
                <w:color w:val="000000" w:themeColor="text1"/>
                <w:sz w:val="21"/>
                <w:szCs w:val="21"/>
              </w:rPr>
            </w:pPr>
          </w:p>
        </w:tc>
        <w:tc>
          <w:tcPr>
            <w:tcW w:w="1272" w:type="dxa"/>
            <w:gridSpan w:val="3"/>
            <w:vMerge w:val="continue"/>
          </w:tcPr>
          <w:p>
            <w:pPr>
              <w:rPr>
                <w:rFonts w:ascii="仿宋" w:hAnsi="仿宋" w:eastAsia="仿宋" w:cs="宋体"/>
                <w:color w:val="000000" w:themeColor="text1"/>
                <w:sz w:val="21"/>
                <w:szCs w:val="21"/>
              </w:rPr>
            </w:pPr>
          </w:p>
        </w:tc>
        <w:tc>
          <w:tcPr>
            <w:tcW w:w="759" w:type="dxa"/>
            <w:vMerge w:val="continue"/>
          </w:tcPr>
          <w:p>
            <w:pPr>
              <w:rPr>
                <w:rFonts w:ascii="仿宋" w:hAnsi="仿宋" w:eastAsia="仿宋" w:cs="宋体"/>
                <w:color w:val="000000" w:themeColor="text1"/>
                <w:sz w:val="21"/>
                <w:szCs w:val="21"/>
              </w:rPr>
            </w:pPr>
          </w:p>
        </w:tc>
        <w:tc>
          <w:tcPr>
            <w:tcW w:w="1844" w:type="dxa"/>
            <w:gridSpan w:val="3"/>
          </w:tcPr>
          <w:p>
            <w:pPr>
              <w:pStyle w:val="20"/>
              <w:spacing w:before="6"/>
              <w:ind w:left="288"/>
              <w:rPr>
                <w:rFonts w:ascii="仿宋" w:hAnsi="仿宋" w:eastAsia="仿宋"/>
                <w:color w:val="000000" w:themeColor="text1"/>
                <w:sz w:val="21"/>
                <w:szCs w:val="21"/>
              </w:rPr>
            </w:pPr>
            <w:r>
              <w:rPr>
                <w:rFonts w:hint="eastAsia" w:ascii="仿宋" w:hAnsi="仿宋" w:eastAsia="仿宋"/>
                <w:color w:val="000000" w:themeColor="text1"/>
                <w:sz w:val="21"/>
                <w:szCs w:val="21"/>
              </w:rPr>
              <w:t>资金分配合理性</w:t>
            </w:r>
          </w:p>
        </w:tc>
        <w:tc>
          <w:tcPr>
            <w:tcW w:w="793" w:type="dxa"/>
            <w:gridSpan w:val="2"/>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18"/>
                <w:szCs w:val="18"/>
                <w:lang w:eastAsia="zh-CN"/>
              </w:rPr>
              <w:t>1</w:t>
            </w:r>
          </w:p>
        </w:tc>
        <w:tc>
          <w:tcPr>
            <w:tcW w:w="1735" w:type="dxa"/>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18"/>
                <w:szCs w:val="18"/>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jc w:val="center"/>
        </w:trPr>
        <w:tc>
          <w:tcPr>
            <w:tcW w:w="1361" w:type="dxa"/>
            <w:vMerge w:val="restart"/>
          </w:tcPr>
          <w:p>
            <w:pPr>
              <w:pStyle w:val="20"/>
              <w:rPr>
                <w:rFonts w:ascii="仿宋" w:hAnsi="仿宋" w:eastAsia="仿宋"/>
                <w:color w:val="000000" w:themeColor="text1"/>
                <w:sz w:val="21"/>
                <w:szCs w:val="21"/>
              </w:rPr>
            </w:pPr>
          </w:p>
          <w:p>
            <w:pPr>
              <w:pStyle w:val="20"/>
              <w:spacing w:before="3"/>
              <w:rPr>
                <w:rFonts w:ascii="仿宋" w:hAnsi="仿宋" w:eastAsia="仿宋"/>
                <w:color w:val="000000" w:themeColor="text1"/>
                <w:sz w:val="21"/>
                <w:szCs w:val="21"/>
              </w:rPr>
            </w:pPr>
          </w:p>
          <w:p>
            <w:pPr>
              <w:pStyle w:val="20"/>
              <w:ind w:left="295" w:right="295"/>
              <w:jc w:val="center"/>
              <w:rPr>
                <w:rFonts w:ascii="仿宋" w:hAnsi="仿宋" w:eastAsia="仿宋"/>
                <w:color w:val="000000" w:themeColor="text1"/>
                <w:sz w:val="21"/>
                <w:szCs w:val="21"/>
              </w:rPr>
            </w:pPr>
            <w:r>
              <w:rPr>
                <w:rFonts w:hint="eastAsia" w:ascii="仿宋" w:hAnsi="仿宋" w:eastAsia="仿宋"/>
                <w:color w:val="000000" w:themeColor="text1"/>
                <w:sz w:val="21"/>
                <w:szCs w:val="21"/>
              </w:rPr>
              <w:t>过程</w:t>
            </w:r>
          </w:p>
        </w:tc>
        <w:tc>
          <w:tcPr>
            <w:tcW w:w="916" w:type="dxa"/>
            <w:gridSpan w:val="2"/>
            <w:vMerge w:val="continue"/>
          </w:tcPr>
          <w:p>
            <w:pPr>
              <w:rPr>
                <w:rFonts w:ascii="仿宋" w:hAnsi="仿宋" w:eastAsia="仿宋" w:cs="宋体"/>
                <w:color w:val="000000" w:themeColor="text1"/>
                <w:sz w:val="21"/>
                <w:szCs w:val="21"/>
              </w:rPr>
            </w:pPr>
          </w:p>
        </w:tc>
        <w:tc>
          <w:tcPr>
            <w:tcW w:w="1272" w:type="dxa"/>
            <w:gridSpan w:val="3"/>
            <w:vMerge w:val="restart"/>
          </w:tcPr>
          <w:p>
            <w:pPr>
              <w:pStyle w:val="20"/>
              <w:spacing w:before="159"/>
              <w:ind w:left="272"/>
              <w:rPr>
                <w:rFonts w:ascii="仿宋" w:hAnsi="仿宋" w:eastAsia="仿宋"/>
                <w:color w:val="000000" w:themeColor="text1"/>
                <w:sz w:val="21"/>
                <w:szCs w:val="21"/>
              </w:rPr>
            </w:pPr>
            <w:r>
              <w:rPr>
                <w:rFonts w:hint="eastAsia" w:ascii="仿宋" w:hAnsi="仿宋" w:eastAsia="仿宋"/>
                <w:color w:val="000000" w:themeColor="text1"/>
                <w:sz w:val="21"/>
                <w:szCs w:val="21"/>
              </w:rPr>
              <w:t>资金管理</w:t>
            </w:r>
          </w:p>
        </w:tc>
        <w:tc>
          <w:tcPr>
            <w:tcW w:w="759" w:type="dxa"/>
            <w:vMerge w:val="restart"/>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21"/>
                <w:szCs w:val="21"/>
                <w:lang w:eastAsia="zh-CN"/>
              </w:rPr>
              <w:t>8</w:t>
            </w:r>
          </w:p>
        </w:tc>
        <w:tc>
          <w:tcPr>
            <w:tcW w:w="1844" w:type="dxa"/>
            <w:gridSpan w:val="3"/>
          </w:tcPr>
          <w:p>
            <w:pPr>
              <w:pStyle w:val="20"/>
              <w:spacing w:before="5"/>
              <w:ind w:left="468"/>
              <w:rPr>
                <w:rFonts w:ascii="仿宋" w:hAnsi="仿宋" w:eastAsia="仿宋"/>
                <w:color w:val="000000" w:themeColor="text1"/>
                <w:sz w:val="21"/>
                <w:szCs w:val="21"/>
              </w:rPr>
            </w:pPr>
            <w:r>
              <w:rPr>
                <w:rFonts w:hint="eastAsia" w:ascii="仿宋" w:hAnsi="仿宋" w:eastAsia="仿宋"/>
                <w:color w:val="000000" w:themeColor="text1"/>
                <w:sz w:val="21"/>
                <w:szCs w:val="21"/>
              </w:rPr>
              <w:t>资金到位率</w:t>
            </w:r>
          </w:p>
        </w:tc>
        <w:tc>
          <w:tcPr>
            <w:tcW w:w="793" w:type="dxa"/>
            <w:gridSpan w:val="2"/>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18"/>
                <w:szCs w:val="18"/>
                <w:lang w:eastAsia="zh-CN"/>
              </w:rPr>
              <w:t>1</w:t>
            </w:r>
          </w:p>
        </w:tc>
        <w:tc>
          <w:tcPr>
            <w:tcW w:w="1735" w:type="dxa"/>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18"/>
                <w:szCs w:val="18"/>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jc w:val="center"/>
        </w:trPr>
        <w:tc>
          <w:tcPr>
            <w:tcW w:w="1361" w:type="dxa"/>
            <w:vMerge w:val="continue"/>
          </w:tcPr>
          <w:p>
            <w:pPr>
              <w:rPr>
                <w:rFonts w:ascii="仿宋" w:hAnsi="仿宋" w:eastAsia="仿宋" w:cs="宋体"/>
                <w:color w:val="000000" w:themeColor="text1"/>
                <w:sz w:val="21"/>
                <w:szCs w:val="21"/>
              </w:rPr>
            </w:pPr>
          </w:p>
        </w:tc>
        <w:tc>
          <w:tcPr>
            <w:tcW w:w="916" w:type="dxa"/>
            <w:gridSpan w:val="2"/>
            <w:vMerge w:val="continue"/>
          </w:tcPr>
          <w:p>
            <w:pPr>
              <w:rPr>
                <w:rFonts w:ascii="仿宋" w:hAnsi="仿宋" w:eastAsia="仿宋" w:cs="宋体"/>
                <w:color w:val="000000" w:themeColor="text1"/>
                <w:sz w:val="21"/>
                <w:szCs w:val="21"/>
              </w:rPr>
            </w:pPr>
          </w:p>
        </w:tc>
        <w:tc>
          <w:tcPr>
            <w:tcW w:w="1272" w:type="dxa"/>
            <w:gridSpan w:val="3"/>
            <w:vMerge w:val="continue"/>
          </w:tcPr>
          <w:p>
            <w:pPr>
              <w:rPr>
                <w:rFonts w:ascii="仿宋" w:hAnsi="仿宋" w:eastAsia="仿宋" w:cs="宋体"/>
                <w:color w:val="000000" w:themeColor="text1"/>
                <w:sz w:val="21"/>
                <w:szCs w:val="21"/>
              </w:rPr>
            </w:pPr>
          </w:p>
        </w:tc>
        <w:tc>
          <w:tcPr>
            <w:tcW w:w="759" w:type="dxa"/>
            <w:vMerge w:val="continue"/>
          </w:tcPr>
          <w:p>
            <w:pPr>
              <w:rPr>
                <w:rFonts w:ascii="仿宋" w:hAnsi="仿宋" w:eastAsia="仿宋" w:cs="宋体"/>
                <w:color w:val="000000" w:themeColor="text1"/>
                <w:sz w:val="21"/>
                <w:szCs w:val="21"/>
              </w:rPr>
            </w:pPr>
          </w:p>
        </w:tc>
        <w:tc>
          <w:tcPr>
            <w:tcW w:w="1844" w:type="dxa"/>
            <w:gridSpan w:val="3"/>
          </w:tcPr>
          <w:p>
            <w:pPr>
              <w:pStyle w:val="20"/>
              <w:spacing w:before="5"/>
              <w:ind w:left="468"/>
              <w:rPr>
                <w:rFonts w:ascii="仿宋" w:hAnsi="仿宋" w:eastAsia="仿宋"/>
                <w:color w:val="000000" w:themeColor="text1"/>
                <w:sz w:val="21"/>
                <w:szCs w:val="21"/>
              </w:rPr>
            </w:pPr>
            <w:r>
              <w:rPr>
                <w:rFonts w:hint="eastAsia" w:ascii="仿宋" w:hAnsi="仿宋" w:eastAsia="仿宋"/>
                <w:color w:val="000000" w:themeColor="text1"/>
                <w:sz w:val="21"/>
                <w:szCs w:val="21"/>
              </w:rPr>
              <w:t>预算执行率</w:t>
            </w:r>
          </w:p>
        </w:tc>
        <w:tc>
          <w:tcPr>
            <w:tcW w:w="793" w:type="dxa"/>
            <w:gridSpan w:val="2"/>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18"/>
                <w:szCs w:val="18"/>
                <w:lang w:eastAsia="zh-CN"/>
              </w:rPr>
              <w:t>1</w:t>
            </w:r>
          </w:p>
        </w:tc>
        <w:tc>
          <w:tcPr>
            <w:tcW w:w="1735" w:type="dxa"/>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18"/>
                <w:szCs w:val="18"/>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jc w:val="center"/>
        </w:trPr>
        <w:tc>
          <w:tcPr>
            <w:tcW w:w="1361" w:type="dxa"/>
            <w:vMerge w:val="continue"/>
          </w:tcPr>
          <w:p>
            <w:pPr>
              <w:rPr>
                <w:rFonts w:ascii="仿宋" w:hAnsi="仿宋" w:eastAsia="仿宋" w:cs="宋体"/>
                <w:color w:val="000000" w:themeColor="text1"/>
                <w:sz w:val="21"/>
                <w:szCs w:val="21"/>
              </w:rPr>
            </w:pPr>
          </w:p>
        </w:tc>
        <w:tc>
          <w:tcPr>
            <w:tcW w:w="916" w:type="dxa"/>
            <w:gridSpan w:val="2"/>
            <w:vMerge w:val="continue"/>
          </w:tcPr>
          <w:p>
            <w:pPr>
              <w:rPr>
                <w:rFonts w:ascii="仿宋" w:hAnsi="仿宋" w:eastAsia="仿宋" w:cs="宋体"/>
                <w:color w:val="000000" w:themeColor="text1"/>
                <w:sz w:val="21"/>
                <w:szCs w:val="21"/>
              </w:rPr>
            </w:pPr>
          </w:p>
        </w:tc>
        <w:tc>
          <w:tcPr>
            <w:tcW w:w="1272" w:type="dxa"/>
            <w:gridSpan w:val="3"/>
          </w:tcPr>
          <w:p>
            <w:pPr>
              <w:pStyle w:val="20"/>
              <w:spacing w:before="4"/>
              <w:ind w:left="272"/>
              <w:rPr>
                <w:rFonts w:ascii="仿宋" w:hAnsi="仿宋" w:eastAsia="仿宋"/>
                <w:color w:val="000000" w:themeColor="text1"/>
                <w:sz w:val="21"/>
                <w:szCs w:val="21"/>
              </w:rPr>
            </w:pPr>
            <w:r>
              <w:rPr>
                <w:rFonts w:hint="eastAsia" w:ascii="仿宋" w:hAnsi="仿宋" w:eastAsia="仿宋"/>
                <w:color w:val="000000" w:themeColor="text1"/>
                <w:sz w:val="21"/>
                <w:szCs w:val="21"/>
              </w:rPr>
              <w:t>资金管理</w:t>
            </w:r>
          </w:p>
        </w:tc>
        <w:tc>
          <w:tcPr>
            <w:tcW w:w="759" w:type="dxa"/>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21"/>
                <w:szCs w:val="21"/>
                <w:lang w:eastAsia="zh-CN"/>
              </w:rPr>
              <w:t>4</w:t>
            </w:r>
          </w:p>
        </w:tc>
        <w:tc>
          <w:tcPr>
            <w:tcW w:w="1844" w:type="dxa"/>
            <w:gridSpan w:val="3"/>
          </w:tcPr>
          <w:p>
            <w:pPr>
              <w:pStyle w:val="20"/>
              <w:spacing w:before="4"/>
              <w:ind w:left="288"/>
              <w:rPr>
                <w:rFonts w:ascii="仿宋" w:hAnsi="仿宋" w:eastAsia="仿宋"/>
                <w:color w:val="000000" w:themeColor="text1"/>
                <w:sz w:val="21"/>
                <w:szCs w:val="21"/>
              </w:rPr>
            </w:pPr>
            <w:r>
              <w:rPr>
                <w:rFonts w:hint="eastAsia" w:ascii="仿宋" w:hAnsi="仿宋" w:eastAsia="仿宋"/>
                <w:color w:val="000000" w:themeColor="text1"/>
                <w:sz w:val="21"/>
                <w:szCs w:val="21"/>
              </w:rPr>
              <w:t>资金使用合规性</w:t>
            </w:r>
          </w:p>
        </w:tc>
        <w:tc>
          <w:tcPr>
            <w:tcW w:w="793" w:type="dxa"/>
            <w:gridSpan w:val="2"/>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18"/>
                <w:szCs w:val="18"/>
                <w:lang w:eastAsia="zh-CN"/>
              </w:rPr>
              <w:t>1</w:t>
            </w:r>
          </w:p>
        </w:tc>
        <w:tc>
          <w:tcPr>
            <w:tcW w:w="1735" w:type="dxa"/>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18"/>
                <w:szCs w:val="18"/>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jc w:val="center"/>
        </w:trPr>
        <w:tc>
          <w:tcPr>
            <w:tcW w:w="1361" w:type="dxa"/>
            <w:vMerge w:val="continue"/>
          </w:tcPr>
          <w:p>
            <w:pPr>
              <w:rPr>
                <w:rFonts w:ascii="仿宋" w:hAnsi="仿宋" w:eastAsia="仿宋" w:cs="宋体"/>
                <w:color w:val="000000" w:themeColor="text1"/>
                <w:sz w:val="21"/>
                <w:szCs w:val="21"/>
              </w:rPr>
            </w:pPr>
          </w:p>
        </w:tc>
        <w:tc>
          <w:tcPr>
            <w:tcW w:w="916" w:type="dxa"/>
            <w:gridSpan w:val="2"/>
            <w:vMerge w:val="continue"/>
          </w:tcPr>
          <w:p>
            <w:pPr>
              <w:rPr>
                <w:rFonts w:ascii="仿宋" w:hAnsi="仿宋" w:eastAsia="仿宋" w:cs="宋体"/>
                <w:color w:val="000000" w:themeColor="text1"/>
                <w:sz w:val="21"/>
                <w:szCs w:val="21"/>
              </w:rPr>
            </w:pPr>
          </w:p>
        </w:tc>
        <w:tc>
          <w:tcPr>
            <w:tcW w:w="1272" w:type="dxa"/>
            <w:gridSpan w:val="3"/>
            <w:vMerge w:val="restart"/>
          </w:tcPr>
          <w:p>
            <w:pPr>
              <w:pStyle w:val="20"/>
              <w:spacing w:before="160"/>
              <w:ind w:left="272"/>
              <w:rPr>
                <w:rFonts w:ascii="仿宋" w:hAnsi="仿宋" w:eastAsia="仿宋"/>
                <w:color w:val="000000" w:themeColor="text1"/>
                <w:sz w:val="21"/>
                <w:szCs w:val="21"/>
              </w:rPr>
            </w:pPr>
            <w:r>
              <w:rPr>
                <w:rFonts w:hint="eastAsia" w:ascii="仿宋" w:hAnsi="仿宋" w:eastAsia="仿宋"/>
                <w:color w:val="000000" w:themeColor="text1"/>
                <w:sz w:val="21"/>
                <w:szCs w:val="21"/>
              </w:rPr>
              <w:t>组织实施</w:t>
            </w:r>
          </w:p>
        </w:tc>
        <w:tc>
          <w:tcPr>
            <w:tcW w:w="759" w:type="dxa"/>
            <w:vMerge w:val="restart"/>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sz w:val="21"/>
                <w:szCs w:val="21"/>
                <w:lang w:eastAsia="zh-CN"/>
              </w:rPr>
              <w:t>8</w:t>
            </w:r>
          </w:p>
        </w:tc>
        <w:tc>
          <w:tcPr>
            <w:tcW w:w="1844" w:type="dxa"/>
            <w:gridSpan w:val="3"/>
          </w:tcPr>
          <w:p>
            <w:pPr>
              <w:pStyle w:val="20"/>
              <w:spacing w:before="4"/>
              <w:ind w:left="288"/>
              <w:rPr>
                <w:rFonts w:ascii="仿宋" w:hAnsi="仿宋" w:eastAsia="仿宋"/>
                <w:color w:val="000000" w:themeColor="text1"/>
                <w:sz w:val="21"/>
                <w:szCs w:val="21"/>
              </w:rPr>
            </w:pPr>
            <w:r>
              <w:rPr>
                <w:rFonts w:hint="eastAsia" w:ascii="仿宋" w:hAnsi="仿宋" w:eastAsia="仿宋"/>
                <w:color w:val="000000" w:themeColor="text1"/>
                <w:sz w:val="21"/>
                <w:szCs w:val="21"/>
              </w:rPr>
              <w:t>管理制度健全性</w:t>
            </w:r>
          </w:p>
        </w:tc>
        <w:tc>
          <w:tcPr>
            <w:tcW w:w="793" w:type="dxa"/>
            <w:gridSpan w:val="2"/>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18"/>
                <w:szCs w:val="18"/>
                <w:lang w:eastAsia="zh-CN"/>
              </w:rPr>
              <w:t>1</w:t>
            </w:r>
          </w:p>
        </w:tc>
        <w:tc>
          <w:tcPr>
            <w:tcW w:w="1735" w:type="dxa"/>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18"/>
                <w:szCs w:val="18"/>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jc w:val="center"/>
        </w:trPr>
        <w:tc>
          <w:tcPr>
            <w:tcW w:w="1361" w:type="dxa"/>
            <w:vMerge w:val="continue"/>
          </w:tcPr>
          <w:p>
            <w:pPr>
              <w:rPr>
                <w:rFonts w:ascii="仿宋" w:hAnsi="仿宋" w:eastAsia="仿宋" w:cs="宋体"/>
                <w:color w:val="000000" w:themeColor="text1"/>
                <w:sz w:val="21"/>
                <w:szCs w:val="21"/>
              </w:rPr>
            </w:pPr>
          </w:p>
        </w:tc>
        <w:tc>
          <w:tcPr>
            <w:tcW w:w="916" w:type="dxa"/>
            <w:gridSpan w:val="2"/>
            <w:vMerge w:val="continue"/>
          </w:tcPr>
          <w:p>
            <w:pPr>
              <w:rPr>
                <w:rFonts w:ascii="仿宋" w:hAnsi="仿宋" w:eastAsia="仿宋" w:cs="宋体"/>
                <w:color w:val="000000" w:themeColor="text1"/>
                <w:sz w:val="21"/>
                <w:szCs w:val="21"/>
              </w:rPr>
            </w:pPr>
          </w:p>
        </w:tc>
        <w:tc>
          <w:tcPr>
            <w:tcW w:w="1272" w:type="dxa"/>
            <w:gridSpan w:val="3"/>
            <w:vMerge w:val="continue"/>
          </w:tcPr>
          <w:p>
            <w:pPr>
              <w:rPr>
                <w:rFonts w:ascii="仿宋" w:hAnsi="仿宋" w:eastAsia="仿宋" w:cs="宋体"/>
                <w:color w:val="000000" w:themeColor="text1"/>
                <w:sz w:val="21"/>
                <w:szCs w:val="21"/>
              </w:rPr>
            </w:pPr>
          </w:p>
        </w:tc>
        <w:tc>
          <w:tcPr>
            <w:tcW w:w="759" w:type="dxa"/>
            <w:vMerge w:val="continue"/>
          </w:tcPr>
          <w:p>
            <w:pPr>
              <w:rPr>
                <w:rFonts w:ascii="仿宋" w:hAnsi="仿宋" w:eastAsia="仿宋" w:cs="宋体"/>
                <w:color w:val="000000" w:themeColor="text1"/>
                <w:sz w:val="21"/>
                <w:szCs w:val="21"/>
              </w:rPr>
            </w:pPr>
          </w:p>
        </w:tc>
        <w:tc>
          <w:tcPr>
            <w:tcW w:w="1844" w:type="dxa"/>
            <w:gridSpan w:val="3"/>
          </w:tcPr>
          <w:p>
            <w:pPr>
              <w:pStyle w:val="20"/>
              <w:spacing w:before="4"/>
              <w:ind w:left="288"/>
              <w:rPr>
                <w:rFonts w:ascii="仿宋" w:hAnsi="仿宋" w:eastAsia="仿宋"/>
                <w:color w:val="000000" w:themeColor="text1"/>
                <w:sz w:val="21"/>
                <w:szCs w:val="21"/>
              </w:rPr>
            </w:pPr>
            <w:r>
              <w:rPr>
                <w:rFonts w:hint="eastAsia" w:ascii="仿宋" w:hAnsi="仿宋" w:eastAsia="仿宋"/>
                <w:color w:val="000000" w:themeColor="text1"/>
                <w:sz w:val="21"/>
                <w:szCs w:val="21"/>
              </w:rPr>
              <w:t>制度执行有效性</w:t>
            </w:r>
          </w:p>
        </w:tc>
        <w:tc>
          <w:tcPr>
            <w:tcW w:w="793" w:type="dxa"/>
            <w:gridSpan w:val="2"/>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18"/>
                <w:szCs w:val="18"/>
                <w:lang w:eastAsia="zh-CN"/>
              </w:rPr>
              <w:t>1</w:t>
            </w:r>
          </w:p>
        </w:tc>
        <w:tc>
          <w:tcPr>
            <w:tcW w:w="1735" w:type="dxa"/>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18"/>
                <w:szCs w:val="18"/>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jc w:val="center"/>
        </w:trPr>
        <w:tc>
          <w:tcPr>
            <w:tcW w:w="1361" w:type="dxa"/>
            <w:vMerge w:val="restart"/>
          </w:tcPr>
          <w:p>
            <w:pPr>
              <w:pStyle w:val="20"/>
              <w:rPr>
                <w:rFonts w:ascii="仿宋" w:hAnsi="仿宋" w:eastAsia="仿宋"/>
                <w:color w:val="000000" w:themeColor="text1"/>
                <w:sz w:val="21"/>
                <w:szCs w:val="21"/>
              </w:rPr>
            </w:pPr>
          </w:p>
          <w:p>
            <w:pPr>
              <w:pStyle w:val="20"/>
              <w:spacing w:before="3"/>
              <w:rPr>
                <w:rFonts w:ascii="仿宋" w:hAnsi="仿宋" w:eastAsia="仿宋"/>
                <w:color w:val="000000" w:themeColor="text1"/>
                <w:sz w:val="21"/>
                <w:szCs w:val="21"/>
              </w:rPr>
            </w:pPr>
          </w:p>
          <w:p>
            <w:pPr>
              <w:pStyle w:val="20"/>
              <w:spacing w:before="1"/>
              <w:ind w:left="295" w:right="295"/>
              <w:jc w:val="center"/>
              <w:rPr>
                <w:rFonts w:ascii="仿宋" w:hAnsi="仿宋" w:eastAsia="仿宋"/>
                <w:color w:val="000000" w:themeColor="text1"/>
                <w:sz w:val="21"/>
                <w:szCs w:val="21"/>
              </w:rPr>
            </w:pPr>
            <w:r>
              <w:rPr>
                <w:rFonts w:hint="eastAsia" w:ascii="仿宋" w:hAnsi="仿宋" w:eastAsia="仿宋"/>
                <w:color w:val="000000" w:themeColor="text1"/>
                <w:sz w:val="21"/>
                <w:szCs w:val="21"/>
              </w:rPr>
              <w:t>产出</w:t>
            </w:r>
          </w:p>
        </w:tc>
        <w:tc>
          <w:tcPr>
            <w:tcW w:w="916" w:type="dxa"/>
            <w:gridSpan w:val="2"/>
            <w:vMerge w:val="restart"/>
          </w:tcPr>
          <w:p>
            <w:pPr>
              <w:pStyle w:val="20"/>
              <w:rPr>
                <w:rFonts w:ascii="仿宋" w:hAnsi="仿宋" w:eastAsia="仿宋"/>
                <w:color w:val="000000" w:themeColor="text1"/>
                <w:sz w:val="21"/>
                <w:szCs w:val="21"/>
              </w:rPr>
            </w:pPr>
          </w:p>
          <w:p>
            <w:pPr>
              <w:pStyle w:val="20"/>
              <w:rPr>
                <w:rFonts w:ascii="仿宋" w:hAnsi="仿宋" w:eastAsia="仿宋"/>
                <w:color w:val="000000" w:themeColor="text1"/>
                <w:sz w:val="21"/>
                <w:szCs w:val="21"/>
              </w:rPr>
            </w:pPr>
          </w:p>
          <w:p>
            <w:pPr>
              <w:pStyle w:val="20"/>
              <w:ind w:right="297"/>
              <w:jc w:val="center"/>
              <w:rPr>
                <w:rFonts w:ascii="仿宋" w:hAnsi="仿宋" w:eastAsia="仿宋"/>
                <w:color w:val="000000" w:themeColor="text1"/>
                <w:sz w:val="21"/>
                <w:szCs w:val="21"/>
                <w:lang w:eastAsia="zh-CN"/>
              </w:rPr>
            </w:pPr>
          </w:p>
          <w:p>
            <w:pPr>
              <w:rPr>
                <w:rFonts w:ascii="仿宋" w:hAnsi="仿宋" w:eastAsia="仿宋" w:cs="宋体"/>
                <w:color w:val="000000" w:themeColor="text1"/>
                <w:sz w:val="21"/>
                <w:szCs w:val="21"/>
              </w:rPr>
            </w:pPr>
          </w:p>
          <w:p>
            <w:pPr>
              <w:rPr>
                <w:rFonts w:ascii="仿宋" w:hAnsi="仿宋" w:eastAsia="仿宋" w:cs="宋体"/>
                <w:color w:val="000000" w:themeColor="text1"/>
                <w:sz w:val="21"/>
                <w:szCs w:val="21"/>
              </w:rPr>
            </w:pPr>
          </w:p>
          <w:p>
            <w:pPr>
              <w:jc w:val="center"/>
              <w:rPr>
                <w:rFonts w:ascii="仿宋" w:hAnsi="仿宋" w:eastAsia="仿宋" w:cs="宋体"/>
                <w:color w:val="000000" w:themeColor="text1"/>
                <w:sz w:val="21"/>
                <w:szCs w:val="21"/>
                <w:lang w:eastAsia="zh-CN"/>
              </w:rPr>
            </w:pPr>
          </w:p>
          <w:p>
            <w:pPr>
              <w:jc w:val="center"/>
              <w:rPr>
                <w:rFonts w:ascii="仿宋" w:hAnsi="仿宋" w:eastAsia="仿宋" w:cs="宋体"/>
                <w:color w:val="000000" w:themeColor="text1"/>
                <w:sz w:val="21"/>
                <w:szCs w:val="21"/>
                <w:lang w:eastAsia="zh-CN"/>
              </w:rPr>
            </w:pPr>
            <w:r>
              <w:rPr>
                <w:rFonts w:hint="eastAsia" w:ascii="仿宋" w:hAnsi="仿宋" w:eastAsia="仿宋" w:cs="宋体"/>
                <w:color w:val="000000" w:themeColor="text1"/>
                <w:sz w:val="21"/>
                <w:szCs w:val="21"/>
                <w:lang w:eastAsia="zh-CN"/>
              </w:rPr>
              <w:t>60</w:t>
            </w:r>
          </w:p>
        </w:tc>
        <w:tc>
          <w:tcPr>
            <w:tcW w:w="1272" w:type="dxa"/>
            <w:gridSpan w:val="3"/>
          </w:tcPr>
          <w:p>
            <w:pPr>
              <w:pStyle w:val="20"/>
              <w:spacing w:before="6"/>
              <w:ind w:left="272"/>
              <w:rPr>
                <w:rFonts w:ascii="仿宋" w:hAnsi="仿宋" w:eastAsia="仿宋"/>
                <w:color w:val="000000" w:themeColor="text1"/>
                <w:sz w:val="21"/>
                <w:szCs w:val="21"/>
              </w:rPr>
            </w:pPr>
            <w:r>
              <w:rPr>
                <w:rFonts w:hint="eastAsia" w:ascii="仿宋" w:hAnsi="仿宋" w:eastAsia="仿宋"/>
                <w:color w:val="000000" w:themeColor="text1"/>
                <w:sz w:val="21"/>
                <w:szCs w:val="21"/>
              </w:rPr>
              <w:t>产出数量</w:t>
            </w:r>
          </w:p>
        </w:tc>
        <w:tc>
          <w:tcPr>
            <w:tcW w:w="759" w:type="dxa"/>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21"/>
                <w:szCs w:val="21"/>
                <w:lang w:eastAsia="zh-CN"/>
              </w:rPr>
              <w:t>8</w:t>
            </w:r>
          </w:p>
        </w:tc>
        <w:tc>
          <w:tcPr>
            <w:tcW w:w="1844" w:type="dxa"/>
            <w:gridSpan w:val="3"/>
            <w:tcBorders>
              <w:bottom w:val="single" w:color="auto" w:sz="4" w:space="0"/>
            </w:tcBorders>
          </w:tcPr>
          <w:p>
            <w:pPr>
              <w:pStyle w:val="20"/>
              <w:rPr>
                <w:rFonts w:ascii="仿宋" w:hAnsi="仿宋" w:eastAsia="仿宋"/>
                <w:color w:val="000000" w:themeColor="text1"/>
                <w:sz w:val="21"/>
                <w:szCs w:val="21"/>
                <w:lang w:eastAsia="zh-CN"/>
              </w:rPr>
            </w:pPr>
            <w:r>
              <w:rPr>
                <w:rFonts w:hint="eastAsia" w:ascii="仿宋" w:hAnsi="仿宋" w:eastAsia="仿宋"/>
                <w:color w:val="000000" w:themeColor="text1"/>
                <w:sz w:val="21"/>
                <w:szCs w:val="21"/>
                <w:lang w:eastAsia="zh-CN"/>
              </w:rPr>
              <w:t>信访维稳范围</w:t>
            </w:r>
          </w:p>
          <w:p>
            <w:pPr>
              <w:pStyle w:val="20"/>
              <w:spacing w:before="6"/>
              <w:rPr>
                <w:rFonts w:ascii="仿宋" w:hAnsi="仿宋" w:eastAsia="仿宋"/>
                <w:color w:val="000000" w:themeColor="text1"/>
                <w:sz w:val="21"/>
                <w:szCs w:val="21"/>
                <w:lang w:eastAsia="zh-CN"/>
              </w:rPr>
            </w:pPr>
          </w:p>
          <w:p>
            <w:pPr>
              <w:pStyle w:val="20"/>
              <w:spacing w:line="304" w:lineRule="auto"/>
              <w:ind w:left="108" w:right="86"/>
              <w:rPr>
                <w:rFonts w:ascii="仿宋" w:hAnsi="仿宋" w:eastAsia="仿宋"/>
                <w:color w:val="000000" w:themeColor="text1"/>
                <w:sz w:val="21"/>
                <w:szCs w:val="21"/>
                <w:lang w:eastAsia="zh-CN"/>
              </w:rPr>
            </w:pPr>
            <w:r>
              <w:rPr>
                <w:rFonts w:hint="eastAsia" w:ascii="仿宋" w:hAnsi="仿宋" w:eastAsia="仿宋"/>
                <w:color w:val="000000" w:themeColor="text1"/>
                <w:sz w:val="21"/>
                <w:szCs w:val="21"/>
                <w:lang w:eastAsia="zh-CN"/>
              </w:rPr>
              <w:t>可根据项目实际情况有选择地设置和细化</w:t>
            </w:r>
          </w:p>
        </w:tc>
        <w:tc>
          <w:tcPr>
            <w:tcW w:w="793" w:type="dxa"/>
            <w:gridSpan w:val="2"/>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18"/>
                <w:szCs w:val="18"/>
                <w:lang w:eastAsia="zh-CN"/>
              </w:rPr>
              <w:t>10</w:t>
            </w:r>
          </w:p>
        </w:tc>
        <w:tc>
          <w:tcPr>
            <w:tcW w:w="1735" w:type="dxa"/>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18"/>
                <w:szCs w:val="18"/>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exact"/>
          <w:jc w:val="center"/>
        </w:trPr>
        <w:tc>
          <w:tcPr>
            <w:tcW w:w="1361" w:type="dxa"/>
            <w:vMerge w:val="continue"/>
          </w:tcPr>
          <w:p>
            <w:pPr>
              <w:rPr>
                <w:rFonts w:ascii="仿宋" w:hAnsi="仿宋" w:eastAsia="仿宋" w:cs="宋体"/>
                <w:color w:val="000000" w:themeColor="text1"/>
                <w:sz w:val="21"/>
                <w:szCs w:val="21"/>
              </w:rPr>
            </w:pPr>
          </w:p>
        </w:tc>
        <w:tc>
          <w:tcPr>
            <w:tcW w:w="916" w:type="dxa"/>
            <w:gridSpan w:val="2"/>
            <w:vMerge w:val="continue"/>
          </w:tcPr>
          <w:p>
            <w:pPr>
              <w:rPr>
                <w:rFonts w:ascii="仿宋" w:hAnsi="仿宋" w:eastAsia="仿宋" w:cs="宋体"/>
                <w:color w:val="000000" w:themeColor="text1"/>
                <w:sz w:val="21"/>
                <w:szCs w:val="21"/>
              </w:rPr>
            </w:pPr>
          </w:p>
        </w:tc>
        <w:tc>
          <w:tcPr>
            <w:tcW w:w="1272" w:type="dxa"/>
            <w:gridSpan w:val="3"/>
          </w:tcPr>
          <w:p>
            <w:pPr>
              <w:pStyle w:val="20"/>
              <w:spacing w:before="5"/>
              <w:ind w:left="272"/>
              <w:rPr>
                <w:rFonts w:ascii="仿宋" w:hAnsi="仿宋" w:eastAsia="仿宋"/>
                <w:color w:val="000000" w:themeColor="text1"/>
                <w:sz w:val="21"/>
                <w:szCs w:val="21"/>
              </w:rPr>
            </w:pPr>
            <w:r>
              <w:rPr>
                <w:rFonts w:hint="eastAsia" w:ascii="仿宋" w:hAnsi="仿宋" w:eastAsia="仿宋"/>
                <w:color w:val="000000" w:themeColor="text1"/>
                <w:sz w:val="21"/>
                <w:szCs w:val="21"/>
              </w:rPr>
              <w:t>产出质量</w:t>
            </w:r>
          </w:p>
        </w:tc>
        <w:tc>
          <w:tcPr>
            <w:tcW w:w="759" w:type="dxa"/>
            <w:vAlign w:val="center"/>
          </w:tcPr>
          <w:p>
            <w:pPr>
              <w:spacing w:line="300" w:lineRule="exact"/>
              <w:jc w:val="center"/>
              <w:rPr>
                <w:rFonts w:ascii="仿宋" w:hAnsi="仿宋" w:eastAsia="仿宋" w:cs="宋体"/>
                <w:color w:val="000000" w:themeColor="text1"/>
                <w:sz w:val="21"/>
                <w:szCs w:val="21"/>
                <w:lang w:eastAsia="zh-CN"/>
              </w:rPr>
            </w:pPr>
            <w:r>
              <w:rPr>
                <w:rFonts w:hint="eastAsia" w:ascii="仿宋" w:hAnsi="仿宋" w:eastAsia="仿宋" w:cs="宋体"/>
                <w:sz w:val="21"/>
                <w:szCs w:val="21"/>
                <w:lang w:eastAsia="zh-CN"/>
              </w:rPr>
              <w:t>8</w:t>
            </w:r>
          </w:p>
        </w:tc>
        <w:tc>
          <w:tcPr>
            <w:tcW w:w="1844" w:type="dxa"/>
            <w:gridSpan w:val="3"/>
            <w:tcBorders>
              <w:top w:val="single" w:color="auto" w:sz="4" w:space="0"/>
              <w:bottom w:val="single" w:color="auto" w:sz="4" w:space="0"/>
            </w:tcBorders>
          </w:tcPr>
          <w:p>
            <w:pPr>
              <w:rPr>
                <w:rFonts w:ascii="仿宋" w:hAnsi="仿宋" w:eastAsia="仿宋" w:cs="宋体"/>
                <w:color w:val="000000" w:themeColor="text1"/>
                <w:sz w:val="21"/>
                <w:szCs w:val="21"/>
                <w:lang w:eastAsia="zh-CN"/>
              </w:rPr>
            </w:pPr>
            <w:r>
              <w:rPr>
                <w:rFonts w:hint="eastAsia" w:ascii="仿宋" w:hAnsi="仿宋" w:eastAsia="仿宋" w:cs="宋体"/>
                <w:color w:val="000000" w:themeColor="text1"/>
                <w:sz w:val="21"/>
                <w:szCs w:val="21"/>
                <w:lang w:eastAsia="zh-CN"/>
              </w:rPr>
              <w:t>通过该项目实施，群众信访下降率</w:t>
            </w:r>
          </w:p>
        </w:tc>
        <w:tc>
          <w:tcPr>
            <w:tcW w:w="793" w:type="dxa"/>
            <w:gridSpan w:val="2"/>
            <w:vAlign w:val="center"/>
          </w:tcPr>
          <w:p>
            <w:pPr>
              <w:spacing w:line="300" w:lineRule="exact"/>
              <w:jc w:val="center"/>
              <w:rPr>
                <w:rFonts w:ascii="仿宋" w:hAnsi="仿宋" w:eastAsia="仿宋" w:cs="宋体"/>
                <w:color w:val="000000" w:themeColor="text1"/>
                <w:sz w:val="21"/>
                <w:szCs w:val="21"/>
                <w:lang w:eastAsia="zh-CN"/>
              </w:rPr>
            </w:pPr>
            <w:r>
              <w:rPr>
                <w:rFonts w:hint="eastAsia" w:ascii="仿宋" w:hAnsi="仿宋" w:eastAsia="仿宋" w:cs="宋体"/>
                <w:sz w:val="18"/>
                <w:szCs w:val="18"/>
                <w:lang w:eastAsia="zh-CN"/>
              </w:rPr>
              <w:t>10</w:t>
            </w:r>
          </w:p>
        </w:tc>
        <w:tc>
          <w:tcPr>
            <w:tcW w:w="1735" w:type="dxa"/>
            <w:vAlign w:val="center"/>
          </w:tcPr>
          <w:p>
            <w:pPr>
              <w:spacing w:line="300" w:lineRule="exact"/>
              <w:jc w:val="center"/>
              <w:rPr>
                <w:rFonts w:ascii="仿宋" w:hAnsi="仿宋" w:eastAsia="仿宋" w:cs="宋体"/>
                <w:color w:val="000000" w:themeColor="text1"/>
                <w:sz w:val="21"/>
                <w:szCs w:val="21"/>
                <w:lang w:eastAsia="zh-CN"/>
              </w:rPr>
            </w:pPr>
            <w:r>
              <w:rPr>
                <w:rFonts w:hint="eastAsia" w:ascii="仿宋" w:hAnsi="仿宋" w:eastAsia="仿宋" w:cs="宋体"/>
                <w:sz w:val="18"/>
                <w:szCs w:val="18"/>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jc w:val="center"/>
        </w:trPr>
        <w:tc>
          <w:tcPr>
            <w:tcW w:w="1361" w:type="dxa"/>
            <w:vMerge w:val="continue"/>
          </w:tcPr>
          <w:p>
            <w:pPr>
              <w:rPr>
                <w:rFonts w:ascii="仿宋" w:hAnsi="仿宋" w:eastAsia="仿宋" w:cs="宋体"/>
                <w:color w:val="000000" w:themeColor="text1"/>
                <w:sz w:val="21"/>
                <w:szCs w:val="21"/>
              </w:rPr>
            </w:pPr>
          </w:p>
        </w:tc>
        <w:tc>
          <w:tcPr>
            <w:tcW w:w="916" w:type="dxa"/>
            <w:gridSpan w:val="2"/>
            <w:vMerge w:val="continue"/>
          </w:tcPr>
          <w:p>
            <w:pPr>
              <w:rPr>
                <w:rFonts w:ascii="仿宋" w:hAnsi="仿宋" w:eastAsia="仿宋" w:cs="宋体"/>
                <w:color w:val="000000" w:themeColor="text1"/>
                <w:sz w:val="21"/>
                <w:szCs w:val="21"/>
              </w:rPr>
            </w:pPr>
          </w:p>
        </w:tc>
        <w:tc>
          <w:tcPr>
            <w:tcW w:w="1272" w:type="dxa"/>
            <w:gridSpan w:val="3"/>
          </w:tcPr>
          <w:p>
            <w:pPr>
              <w:pStyle w:val="20"/>
              <w:spacing w:before="5"/>
              <w:ind w:left="272"/>
              <w:rPr>
                <w:rFonts w:ascii="仿宋" w:hAnsi="仿宋" w:eastAsia="仿宋"/>
                <w:color w:val="000000" w:themeColor="text1"/>
                <w:sz w:val="21"/>
                <w:szCs w:val="21"/>
              </w:rPr>
            </w:pPr>
            <w:r>
              <w:rPr>
                <w:rFonts w:hint="eastAsia" w:ascii="仿宋" w:hAnsi="仿宋" w:eastAsia="仿宋"/>
                <w:color w:val="000000" w:themeColor="text1"/>
                <w:sz w:val="21"/>
                <w:szCs w:val="21"/>
              </w:rPr>
              <w:t>产出时效</w:t>
            </w:r>
          </w:p>
        </w:tc>
        <w:tc>
          <w:tcPr>
            <w:tcW w:w="759" w:type="dxa"/>
            <w:vAlign w:val="center"/>
          </w:tcPr>
          <w:p>
            <w:pPr>
              <w:spacing w:line="300" w:lineRule="exact"/>
              <w:jc w:val="center"/>
              <w:rPr>
                <w:rFonts w:ascii="仿宋" w:hAnsi="仿宋" w:eastAsia="仿宋" w:cs="宋体"/>
                <w:color w:val="000000" w:themeColor="text1"/>
                <w:sz w:val="21"/>
                <w:szCs w:val="21"/>
                <w:lang w:eastAsia="zh-CN"/>
              </w:rPr>
            </w:pPr>
            <w:r>
              <w:rPr>
                <w:rFonts w:hint="eastAsia" w:ascii="仿宋" w:hAnsi="仿宋" w:eastAsia="仿宋" w:cs="宋体"/>
                <w:sz w:val="21"/>
                <w:szCs w:val="21"/>
                <w:lang w:eastAsia="zh-CN"/>
              </w:rPr>
              <w:t>7</w:t>
            </w:r>
          </w:p>
        </w:tc>
        <w:tc>
          <w:tcPr>
            <w:tcW w:w="1844" w:type="dxa"/>
            <w:gridSpan w:val="3"/>
            <w:tcBorders>
              <w:top w:val="single" w:color="auto" w:sz="4" w:space="0"/>
              <w:bottom w:val="single" w:color="auto" w:sz="4" w:space="0"/>
            </w:tcBorders>
          </w:tcPr>
          <w:p>
            <w:pPr>
              <w:rPr>
                <w:rFonts w:ascii="仿宋" w:hAnsi="仿宋" w:eastAsia="仿宋" w:cs="宋体"/>
                <w:color w:val="000000" w:themeColor="text1"/>
                <w:sz w:val="21"/>
                <w:szCs w:val="21"/>
                <w:lang w:eastAsia="zh-CN"/>
              </w:rPr>
            </w:pPr>
            <w:r>
              <w:rPr>
                <w:rFonts w:hint="eastAsia" w:ascii="仿宋" w:hAnsi="仿宋" w:eastAsia="仿宋" w:cs="宋体"/>
                <w:color w:val="000000" w:themeColor="text1"/>
                <w:sz w:val="21"/>
                <w:szCs w:val="21"/>
                <w:lang w:eastAsia="zh-CN"/>
              </w:rPr>
              <w:t>及时完成率</w:t>
            </w:r>
          </w:p>
        </w:tc>
        <w:tc>
          <w:tcPr>
            <w:tcW w:w="793" w:type="dxa"/>
            <w:gridSpan w:val="2"/>
            <w:vAlign w:val="center"/>
          </w:tcPr>
          <w:p>
            <w:pPr>
              <w:spacing w:line="300" w:lineRule="exact"/>
              <w:jc w:val="center"/>
              <w:rPr>
                <w:rFonts w:ascii="仿宋" w:hAnsi="仿宋" w:eastAsia="仿宋" w:cs="宋体"/>
                <w:color w:val="000000" w:themeColor="text1"/>
                <w:sz w:val="21"/>
                <w:szCs w:val="21"/>
                <w:lang w:eastAsia="zh-CN"/>
              </w:rPr>
            </w:pPr>
            <w:r>
              <w:rPr>
                <w:rFonts w:hint="eastAsia" w:ascii="仿宋" w:hAnsi="仿宋" w:eastAsia="仿宋" w:cs="宋体"/>
                <w:sz w:val="18"/>
                <w:szCs w:val="18"/>
                <w:lang w:eastAsia="zh-CN"/>
              </w:rPr>
              <w:t>10</w:t>
            </w:r>
          </w:p>
        </w:tc>
        <w:tc>
          <w:tcPr>
            <w:tcW w:w="1735" w:type="dxa"/>
            <w:vAlign w:val="center"/>
          </w:tcPr>
          <w:p>
            <w:pPr>
              <w:spacing w:line="300" w:lineRule="exact"/>
              <w:jc w:val="center"/>
              <w:rPr>
                <w:rFonts w:ascii="仿宋" w:hAnsi="仿宋" w:eastAsia="仿宋" w:cs="宋体"/>
                <w:color w:val="000000" w:themeColor="text1"/>
                <w:sz w:val="21"/>
                <w:szCs w:val="21"/>
                <w:lang w:eastAsia="zh-CN"/>
              </w:rPr>
            </w:pPr>
            <w:r>
              <w:rPr>
                <w:rFonts w:hint="eastAsia" w:ascii="仿宋" w:hAnsi="仿宋" w:eastAsia="仿宋" w:cs="宋体"/>
                <w:sz w:val="18"/>
                <w:szCs w:val="18"/>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jc w:val="center"/>
        </w:trPr>
        <w:tc>
          <w:tcPr>
            <w:tcW w:w="1361" w:type="dxa"/>
            <w:vMerge w:val="continue"/>
          </w:tcPr>
          <w:p>
            <w:pPr>
              <w:rPr>
                <w:rFonts w:ascii="仿宋" w:hAnsi="仿宋" w:eastAsia="仿宋" w:cs="宋体"/>
                <w:color w:val="000000" w:themeColor="text1"/>
                <w:sz w:val="21"/>
                <w:szCs w:val="21"/>
              </w:rPr>
            </w:pPr>
          </w:p>
        </w:tc>
        <w:tc>
          <w:tcPr>
            <w:tcW w:w="916" w:type="dxa"/>
            <w:gridSpan w:val="2"/>
            <w:vMerge w:val="continue"/>
          </w:tcPr>
          <w:p>
            <w:pPr>
              <w:rPr>
                <w:rFonts w:ascii="仿宋" w:hAnsi="仿宋" w:eastAsia="仿宋" w:cs="宋体"/>
                <w:color w:val="000000" w:themeColor="text1"/>
                <w:sz w:val="21"/>
                <w:szCs w:val="21"/>
              </w:rPr>
            </w:pPr>
          </w:p>
        </w:tc>
        <w:tc>
          <w:tcPr>
            <w:tcW w:w="1272" w:type="dxa"/>
            <w:gridSpan w:val="3"/>
          </w:tcPr>
          <w:p>
            <w:pPr>
              <w:pStyle w:val="20"/>
              <w:spacing w:before="7"/>
              <w:ind w:left="272"/>
              <w:rPr>
                <w:rFonts w:ascii="仿宋" w:hAnsi="仿宋" w:eastAsia="仿宋"/>
                <w:color w:val="000000" w:themeColor="text1"/>
                <w:sz w:val="21"/>
                <w:szCs w:val="21"/>
              </w:rPr>
            </w:pPr>
            <w:r>
              <w:rPr>
                <w:rFonts w:hint="eastAsia" w:ascii="仿宋" w:hAnsi="仿宋" w:eastAsia="仿宋"/>
                <w:color w:val="000000" w:themeColor="text1"/>
                <w:sz w:val="21"/>
                <w:szCs w:val="21"/>
              </w:rPr>
              <w:t>产出成本</w:t>
            </w:r>
          </w:p>
        </w:tc>
        <w:tc>
          <w:tcPr>
            <w:tcW w:w="759" w:type="dxa"/>
            <w:vAlign w:val="center"/>
          </w:tcPr>
          <w:p>
            <w:pPr>
              <w:spacing w:line="300" w:lineRule="exact"/>
              <w:jc w:val="center"/>
              <w:rPr>
                <w:rFonts w:ascii="仿宋" w:hAnsi="仿宋" w:eastAsia="仿宋" w:cs="宋体"/>
                <w:color w:val="000000" w:themeColor="text1"/>
                <w:sz w:val="21"/>
                <w:szCs w:val="21"/>
                <w:lang w:eastAsia="zh-CN"/>
              </w:rPr>
            </w:pPr>
            <w:r>
              <w:rPr>
                <w:rFonts w:hint="eastAsia" w:ascii="仿宋" w:hAnsi="仿宋" w:eastAsia="仿宋" w:cs="宋体"/>
                <w:sz w:val="21"/>
                <w:szCs w:val="21"/>
                <w:lang w:eastAsia="zh-CN"/>
              </w:rPr>
              <w:t>7</w:t>
            </w:r>
          </w:p>
        </w:tc>
        <w:tc>
          <w:tcPr>
            <w:tcW w:w="1844" w:type="dxa"/>
            <w:gridSpan w:val="3"/>
            <w:tcBorders>
              <w:top w:val="single" w:color="auto" w:sz="4" w:space="0"/>
              <w:bottom w:val="single" w:color="auto" w:sz="4" w:space="0"/>
            </w:tcBorders>
          </w:tcPr>
          <w:p>
            <w:pPr>
              <w:rPr>
                <w:rFonts w:ascii="仿宋" w:hAnsi="仿宋" w:eastAsia="仿宋" w:cs="宋体"/>
                <w:color w:val="000000" w:themeColor="text1"/>
                <w:sz w:val="21"/>
                <w:szCs w:val="21"/>
                <w:lang w:eastAsia="zh-CN"/>
              </w:rPr>
            </w:pPr>
            <w:r>
              <w:rPr>
                <w:rFonts w:hint="eastAsia" w:ascii="仿宋" w:hAnsi="仿宋" w:eastAsia="仿宋" w:cs="宋体"/>
                <w:color w:val="000000" w:themeColor="text1"/>
                <w:sz w:val="21"/>
                <w:szCs w:val="21"/>
                <w:lang w:eastAsia="zh-CN"/>
              </w:rPr>
              <w:t>资金利用率</w:t>
            </w:r>
          </w:p>
        </w:tc>
        <w:tc>
          <w:tcPr>
            <w:tcW w:w="793" w:type="dxa"/>
            <w:gridSpan w:val="2"/>
            <w:vAlign w:val="center"/>
          </w:tcPr>
          <w:p>
            <w:pPr>
              <w:spacing w:line="300" w:lineRule="exact"/>
              <w:jc w:val="center"/>
              <w:rPr>
                <w:rFonts w:ascii="仿宋" w:hAnsi="仿宋" w:eastAsia="仿宋" w:cs="宋体"/>
                <w:color w:val="000000" w:themeColor="text1"/>
                <w:sz w:val="21"/>
                <w:szCs w:val="21"/>
                <w:lang w:eastAsia="zh-CN"/>
              </w:rPr>
            </w:pPr>
            <w:r>
              <w:rPr>
                <w:rFonts w:hint="eastAsia" w:ascii="仿宋" w:hAnsi="仿宋" w:eastAsia="仿宋" w:cs="宋体"/>
                <w:sz w:val="18"/>
                <w:szCs w:val="18"/>
                <w:lang w:eastAsia="zh-CN"/>
              </w:rPr>
              <w:t>10</w:t>
            </w:r>
          </w:p>
        </w:tc>
        <w:tc>
          <w:tcPr>
            <w:tcW w:w="1735" w:type="dxa"/>
            <w:vAlign w:val="center"/>
          </w:tcPr>
          <w:p>
            <w:pPr>
              <w:spacing w:line="300" w:lineRule="exact"/>
              <w:jc w:val="center"/>
              <w:rPr>
                <w:rFonts w:ascii="仿宋" w:hAnsi="仿宋" w:eastAsia="仿宋" w:cs="宋体"/>
                <w:color w:val="000000" w:themeColor="text1"/>
                <w:sz w:val="21"/>
                <w:szCs w:val="21"/>
                <w:lang w:eastAsia="zh-CN"/>
              </w:rPr>
            </w:pPr>
            <w:r>
              <w:rPr>
                <w:rFonts w:hint="eastAsia" w:ascii="仿宋" w:hAnsi="仿宋" w:eastAsia="仿宋" w:cs="宋体"/>
                <w:sz w:val="18"/>
                <w:szCs w:val="18"/>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8" w:hRule="exact"/>
          <w:jc w:val="center"/>
        </w:trPr>
        <w:tc>
          <w:tcPr>
            <w:tcW w:w="1361" w:type="dxa"/>
            <w:vMerge w:val="restart"/>
          </w:tcPr>
          <w:p>
            <w:pPr>
              <w:pStyle w:val="20"/>
              <w:rPr>
                <w:rFonts w:ascii="仿宋" w:hAnsi="仿宋" w:eastAsia="仿宋"/>
                <w:color w:val="000000" w:themeColor="text1"/>
                <w:sz w:val="21"/>
                <w:szCs w:val="21"/>
              </w:rPr>
            </w:pPr>
          </w:p>
          <w:p>
            <w:pPr>
              <w:pStyle w:val="20"/>
              <w:rPr>
                <w:rFonts w:ascii="仿宋" w:hAnsi="仿宋" w:eastAsia="仿宋"/>
                <w:color w:val="000000" w:themeColor="text1"/>
                <w:sz w:val="21"/>
                <w:szCs w:val="21"/>
              </w:rPr>
            </w:pPr>
          </w:p>
          <w:p>
            <w:pPr>
              <w:pStyle w:val="20"/>
              <w:spacing w:before="2"/>
              <w:rPr>
                <w:rFonts w:ascii="仿宋" w:hAnsi="仿宋" w:eastAsia="仿宋"/>
                <w:color w:val="000000" w:themeColor="text1"/>
                <w:sz w:val="21"/>
                <w:szCs w:val="21"/>
              </w:rPr>
            </w:pPr>
          </w:p>
          <w:p>
            <w:pPr>
              <w:pStyle w:val="20"/>
              <w:ind w:left="295" w:right="295"/>
              <w:jc w:val="center"/>
              <w:rPr>
                <w:rFonts w:ascii="仿宋" w:hAnsi="仿宋" w:eastAsia="仿宋"/>
                <w:color w:val="000000" w:themeColor="text1"/>
                <w:sz w:val="21"/>
                <w:szCs w:val="21"/>
              </w:rPr>
            </w:pPr>
            <w:r>
              <w:rPr>
                <w:rFonts w:hint="eastAsia" w:ascii="仿宋" w:hAnsi="仿宋" w:eastAsia="仿宋"/>
                <w:color w:val="000000" w:themeColor="text1"/>
                <w:sz w:val="21"/>
                <w:szCs w:val="21"/>
              </w:rPr>
              <w:t>效益</w:t>
            </w:r>
          </w:p>
        </w:tc>
        <w:tc>
          <w:tcPr>
            <w:tcW w:w="916" w:type="dxa"/>
            <w:gridSpan w:val="2"/>
            <w:vMerge w:val="continue"/>
          </w:tcPr>
          <w:p>
            <w:pPr>
              <w:jc w:val="center"/>
              <w:rPr>
                <w:rFonts w:ascii="仿宋" w:hAnsi="仿宋" w:eastAsia="仿宋" w:cs="宋体"/>
                <w:color w:val="000000" w:themeColor="text1"/>
                <w:sz w:val="21"/>
                <w:szCs w:val="21"/>
                <w:lang w:eastAsia="zh-CN"/>
              </w:rPr>
            </w:pPr>
          </w:p>
        </w:tc>
        <w:tc>
          <w:tcPr>
            <w:tcW w:w="1272" w:type="dxa"/>
            <w:gridSpan w:val="3"/>
          </w:tcPr>
          <w:p>
            <w:pPr>
              <w:pStyle w:val="20"/>
              <w:spacing w:before="6"/>
              <w:ind w:left="272"/>
              <w:rPr>
                <w:rFonts w:ascii="仿宋" w:hAnsi="仿宋" w:eastAsia="仿宋"/>
                <w:color w:val="000000" w:themeColor="text1"/>
                <w:sz w:val="21"/>
                <w:szCs w:val="21"/>
              </w:rPr>
            </w:pPr>
            <w:r>
              <w:rPr>
                <w:rFonts w:hint="eastAsia" w:ascii="仿宋" w:hAnsi="仿宋" w:eastAsia="仿宋"/>
                <w:color w:val="000000" w:themeColor="text1"/>
                <w:sz w:val="21"/>
                <w:szCs w:val="21"/>
              </w:rPr>
              <w:t>经济效益</w:t>
            </w:r>
          </w:p>
        </w:tc>
        <w:tc>
          <w:tcPr>
            <w:tcW w:w="759" w:type="dxa"/>
            <w:tcBorders>
              <w:bottom w:val="single" w:color="auto" w:sz="4" w:space="0"/>
            </w:tcBorders>
            <w:vAlign w:val="center"/>
          </w:tcPr>
          <w:p>
            <w:pPr>
              <w:spacing w:line="300" w:lineRule="exact"/>
              <w:jc w:val="center"/>
              <w:rPr>
                <w:rFonts w:ascii="仿宋" w:hAnsi="仿宋" w:eastAsia="仿宋" w:cs="宋体"/>
                <w:color w:val="000000" w:themeColor="text1"/>
                <w:sz w:val="21"/>
                <w:szCs w:val="21"/>
                <w:lang w:eastAsia="zh-CN"/>
              </w:rPr>
            </w:pPr>
          </w:p>
        </w:tc>
        <w:tc>
          <w:tcPr>
            <w:tcW w:w="1844" w:type="dxa"/>
            <w:gridSpan w:val="3"/>
            <w:tcBorders>
              <w:top w:val="single" w:color="auto" w:sz="4" w:space="0"/>
              <w:bottom w:val="single" w:color="auto" w:sz="4" w:space="0"/>
            </w:tcBorders>
          </w:tcPr>
          <w:p>
            <w:pPr>
              <w:rPr>
                <w:rFonts w:ascii="仿宋" w:hAnsi="仿宋" w:eastAsia="仿宋" w:cs="宋体"/>
                <w:color w:val="000000" w:themeColor="text1"/>
                <w:sz w:val="21"/>
                <w:szCs w:val="21"/>
                <w:lang w:eastAsia="zh-CN"/>
              </w:rPr>
            </w:pPr>
          </w:p>
        </w:tc>
        <w:tc>
          <w:tcPr>
            <w:tcW w:w="793" w:type="dxa"/>
            <w:gridSpan w:val="2"/>
            <w:vAlign w:val="center"/>
          </w:tcPr>
          <w:p>
            <w:pPr>
              <w:spacing w:line="300" w:lineRule="exact"/>
              <w:jc w:val="center"/>
              <w:rPr>
                <w:rFonts w:ascii="仿宋" w:hAnsi="仿宋" w:eastAsia="仿宋" w:cs="宋体"/>
                <w:color w:val="000000" w:themeColor="text1"/>
                <w:sz w:val="21"/>
                <w:szCs w:val="21"/>
                <w:lang w:eastAsia="zh-CN"/>
              </w:rPr>
            </w:pPr>
          </w:p>
        </w:tc>
        <w:tc>
          <w:tcPr>
            <w:tcW w:w="1735" w:type="dxa"/>
            <w:vAlign w:val="center"/>
          </w:tcPr>
          <w:p>
            <w:pPr>
              <w:spacing w:line="300" w:lineRule="exact"/>
              <w:jc w:val="center"/>
              <w:rPr>
                <w:rFonts w:ascii="仿宋" w:hAnsi="仿宋" w:eastAsia="仿宋" w:cs="宋体"/>
                <w:color w:val="000000" w:themeColor="text1"/>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jc w:val="center"/>
        </w:trPr>
        <w:tc>
          <w:tcPr>
            <w:tcW w:w="1361" w:type="dxa"/>
            <w:vMerge w:val="continue"/>
          </w:tcPr>
          <w:p>
            <w:pPr>
              <w:rPr>
                <w:rFonts w:ascii="仿宋" w:hAnsi="仿宋" w:eastAsia="仿宋" w:cs="宋体"/>
                <w:color w:val="000000" w:themeColor="text1"/>
                <w:sz w:val="21"/>
                <w:szCs w:val="21"/>
              </w:rPr>
            </w:pPr>
          </w:p>
        </w:tc>
        <w:tc>
          <w:tcPr>
            <w:tcW w:w="916" w:type="dxa"/>
            <w:gridSpan w:val="2"/>
            <w:vMerge w:val="continue"/>
          </w:tcPr>
          <w:p>
            <w:pPr>
              <w:rPr>
                <w:rFonts w:ascii="仿宋" w:hAnsi="仿宋" w:eastAsia="仿宋" w:cs="宋体"/>
                <w:color w:val="000000" w:themeColor="text1"/>
                <w:sz w:val="21"/>
                <w:szCs w:val="21"/>
              </w:rPr>
            </w:pPr>
          </w:p>
        </w:tc>
        <w:tc>
          <w:tcPr>
            <w:tcW w:w="1272" w:type="dxa"/>
            <w:gridSpan w:val="3"/>
          </w:tcPr>
          <w:p>
            <w:pPr>
              <w:pStyle w:val="20"/>
              <w:spacing w:before="6"/>
              <w:ind w:left="272"/>
              <w:rPr>
                <w:rFonts w:ascii="仿宋" w:hAnsi="仿宋" w:eastAsia="仿宋"/>
                <w:color w:val="000000" w:themeColor="text1"/>
                <w:sz w:val="21"/>
                <w:szCs w:val="21"/>
              </w:rPr>
            </w:pPr>
            <w:r>
              <w:rPr>
                <w:rFonts w:hint="eastAsia" w:ascii="仿宋" w:hAnsi="仿宋" w:eastAsia="仿宋"/>
                <w:color w:val="000000" w:themeColor="text1"/>
                <w:sz w:val="21"/>
                <w:szCs w:val="21"/>
              </w:rPr>
              <w:t>社会效益</w:t>
            </w:r>
          </w:p>
        </w:tc>
        <w:tc>
          <w:tcPr>
            <w:tcW w:w="759" w:type="dxa"/>
            <w:tcBorders>
              <w:top w:val="single" w:color="auto" w:sz="4" w:space="0"/>
            </w:tcBorders>
            <w:vAlign w:val="center"/>
          </w:tcPr>
          <w:p>
            <w:pPr>
              <w:spacing w:line="300" w:lineRule="exact"/>
              <w:jc w:val="center"/>
              <w:rPr>
                <w:rFonts w:ascii="仿宋" w:hAnsi="仿宋" w:eastAsia="仿宋" w:cs="宋体"/>
                <w:color w:val="000000" w:themeColor="text1"/>
                <w:sz w:val="21"/>
                <w:szCs w:val="21"/>
                <w:lang w:eastAsia="zh-CN"/>
              </w:rPr>
            </w:pPr>
            <w:r>
              <w:rPr>
                <w:rFonts w:hint="eastAsia" w:ascii="仿宋" w:hAnsi="仿宋" w:eastAsia="仿宋" w:cs="宋体"/>
                <w:color w:val="000000" w:themeColor="text1"/>
                <w:sz w:val="21"/>
                <w:szCs w:val="21"/>
                <w:lang w:eastAsia="zh-CN"/>
              </w:rPr>
              <w:t>10</w:t>
            </w:r>
          </w:p>
        </w:tc>
        <w:tc>
          <w:tcPr>
            <w:tcW w:w="1844" w:type="dxa"/>
            <w:gridSpan w:val="3"/>
            <w:tcBorders>
              <w:top w:val="single" w:color="auto" w:sz="4" w:space="0"/>
              <w:bottom w:val="single" w:color="auto" w:sz="4" w:space="0"/>
            </w:tcBorders>
          </w:tcPr>
          <w:p>
            <w:pPr>
              <w:rPr>
                <w:rFonts w:ascii="仿宋" w:hAnsi="仿宋" w:eastAsia="仿宋" w:cs="宋体"/>
                <w:color w:val="000000" w:themeColor="text1"/>
                <w:sz w:val="21"/>
                <w:szCs w:val="21"/>
                <w:lang w:eastAsia="zh-CN"/>
              </w:rPr>
            </w:pPr>
            <w:r>
              <w:rPr>
                <w:rFonts w:hint="eastAsia" w:ascii="仿宋" w:hAnsi="仿宋" w:eastAsia="仿宋" w:cs="宋体"/>
                <w:color w:val="000000" w:themeColor="text1"/>
                <w:sz w:val="21"/>
                <w:szCs w:val="21"/>
                <w:lang w:eastAsia="zh-CN"/>
              </w:rPr>
              <w:t>维持社会稳定</w:t>
            </w:r>
          </w:p>
        </w:tc>
        <w:tc>
          <w:tcPr>
            <w:tcW w:w="793" w:type="dxa"/>
            <w:gridSpan w:val="2"/>
            <w:vAlign w:val="center"/>
          </w:tcPr>
          <w:p>
            <w:pPr>
              <w:spacing w:line="300" w:lineRule="exact"/>
              <w:jc w:val="center"/>
              <w:rPr>
                <w:rFonts w:ascii="仿宋" w:hAnsi="仿宋" w:eastAsia="仿宋" w:cs="宋体"/>
                <w:color w:val="000000" w:themeColor="text1"/>
                <w:sz w:val="21"/>
                <w:szCs w:val="21"/>
                <w:lang w:eastAsia="zh-CN"/>
              </w:rPr>
            </w:pPr>
            <w:r>
              <w:rPr>
                <w:rFonts w:hint="eastAsia" w:ascii="仿宋" w:hAnsi="仿宋" w:eastAsia="仿宋" w:cs="宋体"/>
                <w:sz w:val="18"/>
                <w:szCs w:val="18"/>
                <w:lang w:eastAsia="zh-CN"/>
              </w:rPr>
              <w:t>10</w:t>
            </w:r>
          </w:p>
        </w:tc>
        <w:tc>
          <w:tcPr>
            <w:tcW w:w="1735" w:type="dxa"/>
            <w:vAlign w:val="center"/>
          </w:tcPr>
          <w:p>
            <w:pPr>
              <w:spacing w:line="300" w:lineRule="exact"/>
              <w:jc w:val="center"/>
              <w:rPr>
                <w:rFonts w:ascii="仿宋" w:hAnsi="仿宋" w:eastAsia="仿宋" w:cs="宋体"/>
                <w:color w:val="000000" w:themeColor="text1"/>
                <w:sz w:val="21"/>
                <w:szCs w:val="21"/>
                <w:lang w:eastAsia="zh-CN"/>
              </w:rPr>
            </w:pPr>
            <w:r>
              <w:rPr>
                <w:rFonts w:hint="eastAsia" w:ascii="仿宋" w:hAnsi="仿宋" w:eastAsia="仿宋" w:cs="宋体"/>
                <w:sz w:val="18"/>
                <w:szCs w:val="18"/>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jc w:val="center"/>
        </w:trPr>
        <w:tc>
          <w:tcPr>
            <w:tcW w:w="1361" w:type="dxa"/>
            <w:vMerge w:val="continue"/>
          </w:tcPr>
          <w:p>
            <w:pPr>
              <w:rPr>
                <w:rFonts w:ascii="仿宋" w:hAnsi="仿宋" w:eastAsia="仿宋" w:cs="宋体"/>
                <w:color w:val="000000" w:themeColor="text1"/>
                <w:sz w:val="21"/>
                <w:szCs w:val="21"/>
              </w:rPr>
            </w:pPr>
          </w:p>
        </w:tc>
        <w:tc>
          <w:tcPr>
            <w:tcW w:w="916" w:type="dxa"/>
            <w:gridSpan w:val="2"/>
            <w:vMerge w:val="continue"/>
          </w:tcPr>
          <w:p>
            <w:pPr>
              <w:rPr>
                <w:rFonts w:ascii="仿宋" w:hAnsi="仿宋" w:eastAsia="仿宋" w:cs="宋体"/>
                <w:color w:val="000000" w:themeColor="text1"/>
                <w:sz w:val="21"/>
                <w:szCs w:val="21"/>
              </w:rPr>
            </w:pPr>
          </w:p>
        </w:tc>
        <w:tc>
          <w:tcPr>
            <w:tcW w:w="1272" w:type="dxa"/>
            <w:gridSpan w:val="3"/>
          </w:tcPr>
          <w:p>
            <w:pPr>
              <w:pStyle w:val="20"/>
              <w:spacing w:before="6"/>
              <w:ind w:left="272"/>
              <w:rPr>
                <w:rFonts w:ascii="仿宋" w:hAnsi="仿宋" w:eastAsia="仿宋"/>
                <w:color w:val="000000" w:themeColor="text1"/>
                <w:sz w:val="21"/>
                <w:szCs w:val="21"/>
              </w:rPr>
            </w:pPr>
            <w:r>
              <w:rPr>
                <w:rFonts w:hint="eastAsia" w:ascii="仿宋" w:hAnsi="仿宋" w:eastAsia="仿宋"/>
                <w:color w:val="000000" w:themeColor="text1"/>
                <w:sz w:val="21"/>
                <w:szCs w:val="21"/>
              </w:rPr>
              <w:t>环境效益</w:t>
            </w:r>
          </w:p>
        </w:tc>
        <w:tc>
          <w:tcPr>
            <w:tcW w:w="759" w:type="dxa"/>
            <w:vAlign w:val="center"/>
          </w:tcPr>
          <w:p>
            <w:pPr>
              <w:spacing w:line="300" w:lineRule="exact"/>
              <w:jc w:val="both"/>
              <w:rPr>
                <w:rFonts w:ascii="仿宋" w:hAnsi="仿宋" w:eastAsia="仿宋" w:cs="宋体"/>
                <w:color w:val="000000" w:themeColor="text1"/>
                <w:sz w:val="21"/>
                <w:szCs w:val="21"/>
                <w:lang w:eastAsia="zh-CN"/>
              </w:rPr>
            </w:pPr>
          </w:p>
        </w:tc>
        <w:tc>
          <w:tcPr>
            <w:tcW w:w="1844" w:type="dxa"/>
            <w:gridSpan w:val="3"/>
            <w:tcBorders>
              <w:top w:val="single" w:color="auto" w:sz="4" w:space="0"/>
              <w:bottom w:val="single" w:color="auto" w:sz="4" w:space="0"/>
            </w:tcBorders>
          </w:tcPr>
          <w:p>
            <w:pPr>
              <w:rPr>
                <w:rFonts w:ascii="仿宋" w:hAnsi="仿宋" w:eastAsia="仿宋" w:cs="宋体"/>
                <w:color w:val="000000" w:themeColor="text1"/>
                <w:sz w:val="21"/>
                <w:szCs w:val="21"/>
                <w:lang w:eastAsia="zh-CN"/>
              </w:rPr>
            </w:pPr>
            <w:r>
              <w:rPr>
                <w:rFonts w:hint="eastAsia" w:ascii="仿宋" w:hAnsi="仿宋" w:eastAsia="仿宋" w:cs="宋体"/>
                <w:color w:val="000000" w:themeColor="text1"/>
                <w:sz w:val="21"/>
                <w:szCs w:val="21"/>
                <w:lang w:eastAsia="zh-CN"/>
              </w:rPr>
              <w:t>无</w:t>
            </w:r>
          </w:p>
        </w:tc>
        <w:tc>
          <w:tcPr>
            <w:tcW w:w="793" w:type="dxa"/>
            <w:gridSpan w:val="2"/>
            <w:vAlign w:val="center"/>
          </w:tcPr>
          <w:p>
            <w:pPr>
              <w:spacing w:line="300" w:lineRule="exact"/>
              <w:jc w:val="center"/>
              <w:rPr>
                <w:rFonts w:ascii="仿宋" w:hAnsi="仿宋" w:eastAsia="仿宋" w:cs="宋体"/>
                <w:color w:val="000000" w:themeColor="text1"/>
                <w:sz w:val="21"/>
                <w:szCs w:val="21"/>
                <w:lang w:eastAsia="zh-CN"/>
              </w:rPr>
            </w:pPr>
          </w:p>
        </w:tc>
        <w:tc>
          <w:tcPr>
            <w:tcW w:w="1735" w:type="dxa"/>
            <w:vAlign w:val="center"/>
          </w:tcPr>
          <w:p>
            <w:pPr>
              <w:spacing w:line="300" w:lineRule="exact"/>
              <w:jc w:val="center"/>
              <w:rPr>
                <w:rFonts w:ascii="仿宋" w:hAnsi="仿宋" w:eastAsia="仿宋" w:cs="宋体"/>
                <w:color w:val="000000" w:themeColor="text1"/>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jc w:val="center"/>
        </w:trPr>
        <w:tc>
          <w:tcPr>
            <w:tcW w:w="1361" w:type="dxa"/>
            <w:vMerge w:val="continue"/>
          </w:tcPr>
          <w:p>
            <w:pPr>
              <w:rPr>
                <w:rFonts w:ascii="仿宋" w:hAnsi="仿宋" w:eastAsia="仿宋" w:cs="宋体"/>
                <w:color w:val="000000" w:themeColor="text1"/>
                <w:sz w:val="21"/>
                <w:szCs w:val="21"/>
              </w:rPr>
            </w:pPr>
          </w:p>
        </w:tc>
        <w:tc>
          <w:tcPr>
            <w:tcW w:w="916" w:type="dxa"/>
            <w:gridSpan w:val="2"/>
            <w:vMerge w:val="continue"/>
          </w:tcPr>
          <w:p>
            <w:pPr>
              <w:rPr>
                <w:rFonts w:ascii="仿宋" w:hAnsi="仿宋" w:eastAsia="仿宋" w:cs="宋体"/>
                <w:color w:val="000000" w:themeColor="text1"/>
                <w:sz w:val="21"/>
                <w:szCs w:val="21"/>
              </w:rPr>
            </w:pPr>
          </w:p>
        </w:tc>
        <w:tc>
          <w:tcPr>
            <w:tcW w:w="1272" w:type="dxa"/>
            <w:gridSpan w:val="3"/>
          </w:tcPr>
          <w:p>
            <w:pPr>
              <w:pStyle w:val="20"/>
              <w:spacing w:before="5"/>
              <w:ind w:left="180"/>
              <w:rPr>
                <w:rFonts w:ascii="仿宋" w:hAnsi="仿宋" w:eastAsia="仿宋"/>
                <w:color w:val="000000" w:themeColor="text1"/>
                <w:sz w:val="21"/>
                <w:szCs w:val="21"/>
              </w:rPr>
            </w:pPr>
            <w:r>
              <w:rPr>
                <w:rFonts w:hint="eastAsia" w:ascii="仿宋" w:hAnsi="仿宋" w:eastAsia="仿宋"/>
                <w:color w:val="000000" w:themeColor="text1"/>
                <w:sz w:val="21"/>
                <w:szCs w:val="21"/>
              </w:rPr>
              <w:t>可持续影响</w:t>
            </w:r>
          </w:p>
        </w:tc>
        <w:tc>
          <w:tcPr>
            <w:tcW w:w="759" w:type="dxa"/>
            <w:vAlign w:val="center"/>
          </w:tcPr>
          <w:p>
            <w:pPr>
              <w:spacing w:line="280" w:lineRule="exact"/>
              <w:jc w:val="center"/>
              <w:rPr>
                <w:rFonts w:ascii="仿宋" w:hAnsi="仿宋" w:eastAsia="仿宋" w:cs="宋体"/>
                <w:color w:val="000000" w:themeColor="text1"/>
                <w:sz w:val="21"/>
                <w:szCs w:val="21"/>
                <w:lang w:eastAsia="zh-CN"/>
              </w:rPr>
            </w:pPr>
            <w:r>
              <w:rPr>
                <w:rFonts w:hint="eastAsia" w:ascii="仿宋" w:hAnsi="仿宋" w:eastAsia="仿宋" w:cs="宋体"/>
                <w:sz w:val="21"/>
                <w:szCs w:val="21"/>
                <w:lang w:eastAsia="zh-CN"/>
              </w:rPr>
              <w:t>10</w:t>
            </w:r>
          </w:p>
        </w:tc>
        <w:tc>
          <w:tcPr>
            <w:tcW w:w="1844" w:type="dxa"/>
            <w:gridSpan w:val="3"/>
            <w:tcBorders>
              <w:top w:val="single" w:color="auto" w:sz="4" w:space="0"/>
              <w:bottom w:val="single" w:color="auto" w:sz="4" w:space="0"/>
            </w:tcBorders>
          </w:tcPr>
          <w:p>
            <w:pPr>
              <w:rPr>
                <w:rFonts w:ascii="仿宋" w:hAnsi="仿宋" w:eastAsia="仿宋" w:cs="宋体"/>
                <w:color w:val="000000" w:themeColor="text1"/>
                <w:sz w:val="21"/>
                <w:szCs w:val="21"/>
                <w:lang w:eastAsia="zh-CN"/>
              </w:rPr>
            </w:pPr>
            <w:r>
              <w:rPr>
                <w:rFonts w:hint="eastAsia" w:ascii="仿宋" w:hAnsi="仿宋" w:eastAsia="仿宋" w:cs="宋体"/>
                <w:color w:val="000000" w:themeColor="text1"/>
                <w:sz w:val="21"/>
                <w:szCs w:val="21"/>
                <w:lang w:eastAsia="zh-CN"/>
              </w:rPr>
              <w:t>该项目持续开展</w:t>
            </w:r>
          </w:p>
        </w:tc>
        <w:tc>
          <w:tcPr>
            <w:tcW w:w="793" w:type="dxa"/>
            <w:gridSpan w:val="2"/>
            <w:vAlign w:val="center"/>
          </w:tcPr>
          <w:p>
            <w:pPr>
              <w:spacing w:line="300" w:lineRule="exact"/>
              <w:jc w:val="center"/>
              <w:rPr>
                <w:rFonts w:ascii="仿宋" w:hAnsi="仿宋" w:eastAsia="仿宋" w:cs="宋体"/>
                <w:color w:val="000000" w:themeColor="text1"/>
                <w:sz w:val="21"/>
                <w:szCs w:val="21"/>
                <w:lang w:eastAsia="zh-CN"/>
              </w:rPr>
            </w:pPr>
            <w:r>
              <w:rPr>
                <w:rFonts w:hint="eastAsia" w:ascii="仿宋" w:hAnsi="仿宋" w:eastAsia="仿宋" w:cs="宋体"/>
                <w:sz w:val="18"/>
                <w:szCs w:val="18"/>
                <w:lang w:eastAsia="zh-CN"/>
              </w:rPr>
              <w:t>10</w:t>
            </w:r>
          </w:p>
        </w:tc>
        <w:tc>
          <w:tcPr>
            <w:tcW w:w="1735" w:type="dxa"/>
            <w:vAlign w:val="center"/>
          </w:tcPr>
          <w:p>
            <w:pPr>
              <w:spacing w:line="300" w:lineRule="exact"/>
              <w:jc w:val="center"/>
              <w:rPr>
                <w:rFonts w:ascii="仿宋" w:hAnsi="仿宋" w:eastAsia="仿宋" w:cs="宋体"/>
                <w:color w:val="000000" w:themeColor="text1"/>
                <w:sz w:val="21"/>
                <w:szCs w:val="21"/>
                <w:lang w:eastAsia="zh-CN"/>
              </w:rPr>
            </w:pPr>
            <w:r>
              <w:rPr>
                <w:rFonts w:hint="eastAsia" w:ascii="仿宋" w:hAnsi="仿宋" w:eastAsia="仿宋" w:cs="宋体"/>
                <w:sz w:val="18"/>
                <w:szCs w:val="18"/>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exact"/>
          <w:jc w:val="center"/>
        </w:trPr>
        <w:tc>
          <w:tcPr>
            <w:tcW w:w="1361" w:type="dxa"/>
            <w:vMerge w:val="continue"/>
          </w:tcPr>
          <w:p>
            <w:pPr>
              <w:rPr>
                <w:rFonts w:ascii="仿宋" w:hAnsi="仿宋" w:eastAsia="仿宋" w:cs="宋体"/>
                <w:color w:val="000000" w:themeColor="text1"/>
                <w:sz w:val="21"/>
                <w:szCs w:val="21"/>
              </w:rPr>
            </w:pPr>
          </w:p>
        </w:tc>
        <w:tc>
          <w:tcPr>
            <w:tcW w:w="916" w:type="dxa"/>
            <w:gridSpan w:val="2"/>
            <w:vMerge w:val="continue"/>
          </w:tcPr>
          <w:p>
            <w:pPr>
              <w:rPr>
                <w:rFonts w:ascii="仿宋" w:hAnsi="仿宋" w:eastAsia="仿宋" w:cs="宋体"/>
                <w:color w:val="000000" w:themeColor="text1"/>
                <w:sz w:val="21"/>
                <w:szCs w:val="21"/>
              </w:rPr>
            </w:pPr>
          </w:p>
        </w:tc>
        <w:tc>
          <w:tcPr>
            <w:tcW w:w="1272" w:type="dxa"/>
            <w:gridSpan w:val="3"/>
          </w:tcPr>
          <w:p>
            <w:pPr>
              <w:pStyle w:val="20"/>
              <w:spacing w:before="137"/>
              <w:ind w:left="360"/>
              <w:rPr>
                <w:rFonts w:ascii="仿宋" w:hAnsi="仿宋" w:eastAsia="仿宋"/>
                <w:color w:val="000000" w:themeColor="text1"/>
                <w:sz w:val="21"/>
                <w:szCs w:val="21"/>
              </w:rPr>
            </w:pPr>
            <w:r>
              <w:rPr>
                <w:rFonts w:hint="eastAsia" w:ascii="仿宋" w:hAnsi="仿宋" w:eastAsia="仿宋"/>
                <w:color w:val="000000" w:themeColor="text1"/>
                <w:sz w:val="21"/>
                <w:szCs w:val="21"/>
              </w:rPr>
              <w:t>满意度</w:t>
            </w:r>
          </w:p>
        </w:tc>
        <w:tc>
          <w:tcPr>
            <w:tcW w:w="759" w:type="dxa"/>
            <w:vAlign w:val="center"/>
          </w:tcPr>
          <w:p>
            <w:pPr>
              <w:spacing w:line="300" w:lineRule="exact"/>
              <w:jc w:val="center"/>
              <w:rPr>
                <w:rFonts w:ascii="仿宋" w:hAnsi="仿宋" w:eastAsia="仿宋" w:cs="宋体"/>
                <w:color w:val="000000" w:themeColor="text1"/>
                <w:sz w:val="21"/>
                <w:szCs w:val="21"/>
                <w:lang w:eastAsia="zh-CN"/>
              </w:rPr>
            </w:pPr>
            <w:r>
              <w:rPr>
                <w:rFonts w:hint="eastAsia" w:ascii="仿宋" w:hAnsi="仿宋" w:eastAsia="仿宋" w:cs="宋体"/>
                <w:sz w:val="21"/>
                <w:szCs w:val="21"/>
                <w:lang w:eastAsia="zh-CN"/>
              </w:rPr>
              <w:t>10</w:t>
            </w:r>
          </w:p>
        </w:tc>
        <w:tc>
          <w:tcPr>
            <w:tcW w:w="1844" w:type="dxa"/>
            <w:gridSpan w:val="3"/>
            <w:tcBorders>
              <w:top w:val="single" w:color="auto" w:sz="4" w:space="0"/>
            </w:tcBorders>
          </w:tcPr>
          <w:p>
            <w:pPr>
              <w:pStyle w:val="20"/>
              <w:spacing w:line="285" w:lineRule="auto"/>
              <w:ind w:left="648" w:right="86" w:hanging="540"/>
              <w:rPr>
                <w:rFonts w:ascii="仿宋" w:hAnsi="仿宋" w:eastAsia="仿宋"/>
                <w:color w:val="000000" w:themeColor="text1"/>
                <w:sz w:val="21"/>
                <w:szCs w:val="21"/>
              </w:rPr>
            </w:pPr>
            <w:r>
              <w:rPr>
                <w:rFonts w:hint="eastAsia" w:ascii="仿宋" w:hAnsi="仿宋" w:eastAsia="仿宋"/>
                <w:color w:val="000000" w:themeColor="text1"/>
                <w:sz w:val="21"/>
                <w:szCs w:val="21"/>
              </w:rPr>
              <w:t>社会公众满意度</w:t>
            </w:r>
          </w:p>
        </w:tc>
        <w:tc>
          <w:tcPr>
            <w:tcW w:w="793" w:type="dxa"/>
            <w:gridSpan w:val="2"/>
            <w:vAlign w:val="center"/>
          </w:tcPr>
          <w:p>
            <w:pPr>
              <w:spacing w:line="280" w:lineRule="exact"/>
              <w:jc w:val="center"/>
              <w:rPr>
                <w:rFonts w:ascii="仿宋" w:hAnsi="仿宋" w:eastAsia="仿宋" w:cs="宋体"/>
                <w:color w:val="000000" w:themeColor="text1"/>
                <w:sz w:val="21"/>
                <w:szCs w:val="21"/>
                <w:lang w:eastAsia="zh-CN"/>
              </w:rPr>
            </w:pPr>
            <w:r>
              <w:rPr>
                <w:rFonts w:hint="eastAsia" w:ascii="仿宋" w:hAnsi="仿宋" w:eastAsia="仿宋" w:cs="宋体"/>
                <w:sz w:val="18"/>
                <w:szCs w:val="18"/>
                <w:lang w:eastAsia="zh-CN"/>
              </w:rPr>
              <w:t>10</w:t>
            </w:r>
          </w:p>
        </w:tc>
        <w:tc>
          <w:tcPr>
            <w:tcW w:w="1735" w:type="dxa"/>
            <w:vAlign w:val="center"/>
          </w:tcPr>
          <w:p>
            <w:pPr>
              <w:spacing w:line="280" w:lineRule="exact"/>
              <w:jc w:val="center"/>
              <w:rPr>
                <w:rFonts w:ascii="仿宋" w:hAnsi="仿宋" w:eastAsia="仿宋" w:cs="宋体"/>
                <w:color w:val="000000" w:themeColor="text1"/>
                <w:sz w:val="21"/>
                <w:szCs w:val="21"/>
                <w:lang w:eastAsia="zh-CN"/>
              </w:rPr>
            </w:pPr>
            <w:r>
              <w:rPr>
                <w:rFonts w:hint="eastAsia" w:ascii="仿宋" w:hAnsi="仿宋" w:eastAsia="仿宋" w:cs="宋体"/>
                <w:sz w:val="18"/>
                <w:szCs w:val="18"/>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jc w:val="center"/>
        </w:trPr>
        <w:tc>
          <w:tcPr>
            <w:tcW w:w="1361" w:type="dxa"/>
          </w:tcPr>
          <w:p>
            <w:pPr>
              <w:pStyle w:val="20"/>
              <w:spacing w:before="6"/>
              <w:ind w:left="295" w:right="295"/>
              <w:jc w:val="center"/>
              <w:rPr>
                <w:rFonts w:ascii="仿宋" w:hAnsi="仿宋" w:eastAsia="仿宋"/>
                <w:color w:val="000000" w:themeColor="text1"/>
                <w:sz w:val="21"/>
                <w:szCs w:val="21"/>
              </w:rPr>
            </w:pPr>
            <w:r>
              <w:rPr>
                <w:rFonts w:hint="eastAsia" w:ascii="仿宋" w:hAnsi="仿宋" w:eastAsia="仿宋"/>
                <w:color w:val="000000" w:themeColor="text1"/>
                <w:sz w:val="21"/>
                <w:szCs w:val="21"/>
              </w:rPr>
              <w:t>总分</w:t>
            </w:r>
          </w:p>
        </w:tc>
        <w:tc>
          <w:tcPr>
            <w:tcW w:w="916" w:type="dxa"/>
            <w:gridSpan w:val="2"/>
          </w:tcPr>
          <w:p>
            <w:pPr>
              <w:pStyle w:val="20"/>
              <w:spacing w:before="6"/>
              <w:ind w:left="298" w:right="297"/>
              <w:jc w:val="center"/>
              <w:rPr>
                <w:rFonts w:ascii="仿宋" w:hAnsi="仿宋" w:eastAsia="仿宋"/>
                <w:color w:val="000000" w:themeColor="text1"/>
                <w:sz w:val="21"/>
                <w:szCs w:val="21"/>
              </w:rPr>
            </w:pPr>
            <w:r>
              <w:rPr>
                <w:rFonts w:hint="eastAsia" w:ascii="仿宋" w:hAnsi="仿宋" w:eastAsia="仿宋"/>
                <w:color w:val="000000" w:themeColor="text1"/>
                <w:sz w:val="21"/>
                <w:szCs w:val="21"/>
              </w:rPr>
              <w:t>100</w:t>
            </w:r>
          </w:p>
        </w:tc>
        <w:tc>
          <w:tcPr>
            <w:tcW w:w="1272" w:type="dxa"/>
            <w:gridSpan w:val="3"/>
          </w:tcPr>
          <w:p>
            <w:pPr>
              <w:jc w:val="center"/>
              <w:rPr>
                <w:rFonts w:ascii="仿宋" w:hAnsi="仿宋" w:eastAsia="仿宋" w:cs="宋体"/>
                <w:color w:val="000000" w:themeColor="text1"/>
                <w:sz w:val="21"/>
                <w:szCs w:val="21"/>
              </w:rPr>
            </w:pPr>
          </w:p>
        </w:tc>
        <w:tc>
          <w:tcPr>
            <w:tcW w:w="759" w:type="dxa"/>
          </w:tcPr>
          <w:p>
            <w:pPr>
              <w:pStyle w:val="20"/>
              <w:spacing w:before="6"/>
              <w:ind w:left="238"/>
              <w:jc w:val="both"/>
              <w:rPr>
                <w:rFonts w:ascii="仿宋" w:hAnsi="仿宋" w:eastAsia="仿宋"/>
                <w:color w:val="000000" w:themeColor="text1"/>
                <w:sz w:val="21"/>
                <w:szCs w:val="21"/>
              </w:rPr>
            </w:pPr>
            <w:r>
              <w:rPr>
                <w:rFonts w:hint="eastAsia" w:ascii="仿宋" w:hAnsi="仿宋" w:eastAsia="仿宋"/>
                <w:color w:val="000000" w:themeColor="text1"/>
                <w:sz w:val="21"/>
                <w:szCs w:val="21"/>
              </w:rPr>
              <w:t>100</w:t>
            </w:r>
          </w:p>
        </w:tc>
        <w:tc>
          <w:tcPr>
            <w:tcW w:w="1844" w:type="dxa"/>
            <w:gridSpan w:val="3"/>
          </w:tcPr>
          <w:p>
            <w:pPr>
              <w:jc w:val="both"/>
              <w:rPr>
                <w:rFonts w:ascii="仿宋" w:hAnsi="仿宋" w:eastAsia="仿宋" w:cs="宋体"/>
                <w:color w:val="000000" w:themeColor="text1"/>
                <w:sz w:val="21"/>
                <w:szCs w:val="21"/>
              </w:rPr>
            </w:pPr>
          </w:p>
        </w:tc>
        <w:tc>
          <w:tcPr>
            <w:tcW w:w="793" w:type="dxa"/>
            <w:gridSpan w:val="2"/>
            <w:vAlign w:val="center"/>
          </w:tcPr>
          <w:p>
            <w:pPr>
              <w:spacing w:line="300" w:lineRule="exact"/>
              <w:jc w:val="center"/>
              <w:textAlignment w:val="center"/>
              <w:rPr>
                <w:rFonts w:ascii="仿宋" w:hAnsi="仿宋" w:eastAsia="仿宋" w:cs="宋体"/>
                <w:color w:val="000000" w:themeColor="text1"/>
                <w:sz w:val="21"/>
                <w:szCs w:val="21"/>
              </w:rPr>
            </w:pPr>
            <w:r>
              <w:rPr>
                <w:rFonts w:hint="eastAsia" w:ascii="仿宋" w:hAnsi="仿宋" w:eastAsia="仿宋" w:cs="宋体"/>
                <w:color w:val="000000"/>
                <w:sz w:val="18"/>
                <w:szCs w:val="18"/>
              </w:rPr>
              <w:t>100</w:t>
            </w:r>
          </w:p>
        </w:tc>
        <w:tc>
          <w:tcPr>
            <w:tcW w:w="1735" w:type="dxa"/>
            <w:vAlign w:val="center"/>
          </w:tcPr>
          <w:p>
            <w:pPr>
              <w:spacing w:line="300" w:lineRule="exact"/>
              <w:jc w:val="center"/>
              <w:textAlignment w:val="center"/>
              <w:rPr>
                <w:rFonts w:ascii="仿宋" w:hAnsi="仿宋" w:eastAsia="仿宋" w:cs="宋体"/>
                <w:color w:val="000000" w:themeColor="text1"/>
                <w:sz w:val="21"/>
                <w:szCs w:val="21"/>
                <w:lang w:eastAsia="zh-CN"/>
              </w:rPr>
            </w:pPr>
            <w:r>
              <w:rPr>
                <w:rFonts w:hint="eastAsia" w:ascii="仿宋" w:hAnsi="仿宋" w:eastAsia="仿宋" w:cs="宋体"/>
                <w:color w:val="000000"/>
                <w:sz w:val="18"/>
                <w:szCs w:val="18"/>
                <w:lang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exact"/>
          <w:jc w:val="center"/>
        </w:trPr>
        <w:tc>
          <w:tcPr>
            <w:tcW w:w="1361" w:type="dxa"/>
            <w:vMerge w:val="restart"/>
          </w:tcPr>
          <w:p>
            <w:pPr>
              <w:pStyle w:val="20"/>
              <w:rPr>
                <w:rFonts w:ascii="仿宋" w:hAnsi="仿宋" w:eastAsia="仿宋"/>
                <w:color w:val="000000" w:themeColor="text1"/>
                <w:sz w:val="21"/>
                <w:szCs w:val="21"/>
              </w:rPr>
            </w:pPr>
          </w:p>
          <w:p>
            <w:pPr>
              <w:pStyle w:val="20"/>
              <w:ind w:left="307"/>
              <w:rPr>
                <w:rFonts w:ascii="仿宋" w:hAnsi="仿宋" w:eastAsia="仿宋"/>
                <w:color w:val="000000" w:themeColor="text1"/>
                <w:sz w:val="21"/>
                <w:szCs w:val="21"/>
              </w:rPr>
            </w:pPr>
            <w:r>
              <w:rPr>
                <w:rFonts w:hint="eastAsia" w:ascii="仿宋" w:hAnsi="仿宋" w:eastAsia="仿宋"/>
                <w:color w:val="000000" w:themeColor="text1"/>
                <w:sz w:val="21"/>
                <w:szCs w:val="21"/>
              </w:rPr>
              <w:t>评价等次</w:t>
            </w:r>
          </w:p>
        </w:tc>
        <w:tc>
          <w:tcPr>
            <w:tcW w:w="7319" w:type="dxa"/>
            <w:gridSpan w:val="12"/>
          </w:tcPr>
          <w:p>
            <w:pPr>
              <w:pStyle w:val="20"/>
              <w:tabs>
                <w:tab w:val="left" w:pos="2971"/>
                <w:tab w:val="left" w:pos="3959"/>
                <w:tab w:val="left" w:pos="5039"/>
              </w:tabs>
              <w:spacing w:before="30"/>
              <w:ind w:left="1891"/>
              <w:jc w:val="center"/>
              <w:rPr>
                <w:rFonts w:ascii="仿宋" w:hAnsi="仿宋" w:eastAsia="仿宋"/>
                <w:color w:val="000000" w:themeColor="text1"/>
                <w:sz w:val="21"/>
                <w:szCs w:val="21"/>
              </w:rPr>
            </w:pPr>
            <w:r>
              <w:rPr>
                <w:rFonts w:hint="eastAsia" w:ascii="仿宋" w:hAnsi="仿宋" w:eastAsia="仿宋"/>
                <w:color w:val="000000" w:themeColor="text1"/>
                <w:sz w:val="21"/>
                <w:szCs w:val="21"/>
              </w:rPr>
              <w:t>优</w:t>
            </w:r>
            <w:r>
              <w:rPr>
                <w:rFonts w:hint="eastAsia" w:ascii="仿宋" w:hAnsi="仿宋" w:eastAsia="仿宋"/>
                <w:color w:val="000000" w:themeColor="text1"/>
                <w:sz w:val="21"/>
                <w:szCs w:val="21"/>
                <w:lang w:eastAsia="zh-CN"/>
              </w:rPr>
              <w:t>☑</w:t>
            </w:r>
            <w:r>
              <w:rPr>
                <w:rFonts w:hint="eastAsia" w:ascii="仿宋" w:hAnsi="仿宋" w:eastAsia="仿宋"/>
                <w:color w:val="000000" w:themeColor="text1"/>
                <w:sz w:val="21"/>
                <w:szCs w:val="21"/>
              </w:rPr>
              <w:tab/>
            </w:r>
            <w:r>
              <w:rPr>
                <w:rFonts w:hint="eastAsia" w:ascii="仿宋" w:hAnsi="仿宋" w:eastAsia="仿宋"/>
                <w:color w:val="000000" w:themeColor="text1"/>
                <w:sz w:val="21"/>
                <w:szCs w:val="21"/>
              </w:rPr>
              <w:t>良□</w:t>
            </w:r>
            <w:r>
              <w:rPr>
                <w:rFonts w:hint="eastAsia" w:ascii="仿宋" w:hAnsi="仿宋" w:eastAsia="仿宋"/>
                <w:color w:val="000000" w:themeColor="text1"/>
                <w:sz w:val="21"/>
                <w:szCs w:val="21"/>
              </w:rPr>
              <w:tab/>
            </w:r>
            <w:r>
              <w:rPr>
                <w:rFonts w:hint="eastAsia" w:ascii="仿宋" w:hAnsi="仿宋" w:eastAsia="仿宋"/>
                <w:color w:val="000000" w:themeColor="text1"/>
                <w:sz w:val="21"/>
                <w:szCs w:val="21"/>
              </w:rPr>
              <w:t>中□</w:t>
            </w:r>
            <w:r>
              <w:rPr>
                <w:rFonts w:hint="eastAsia" w:ascii="仿宋" w:hAnsi="仿宋" w:eastAsia="仿宋"/>
                <w:color w:val="000000" w:themeColor="text1"/>
                <w:sz w:val="21"/>
                <w:szCs w:val="21"/>
              </w:rPr>
              <w:tab/>
            </w:r>
            <w:r>
              <w:rPr>
                <w:rFonts w:hint="eastAsia" w:ascii="仿宋" w:hAnsi="仿宋" w:eastAsia="仿宋"/>
                <w:color w:val="000000" w:themeColor="text1"/>
                <w:sz w:val="21"/>
                <w:szCs w:val="21"/>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exact"/>
          <w:jc w:val="center"/>
        </w:trPr>
        <w:tc>
          <w:tcPr>
            <w:tcW w:w="1361" w:type="dxa"/>
            <w:vMerge w:val="continue"/>
          </w:tcPr>
          <w:p>
            <w:pPr>
              <w:rPr>
                <w:rFonts w:ascii="仿宋" w:hAnsi="仿宋" w:eastAsia="仿宋" w:cs="宋体"/>
                <w:color w:val="000000" w:themeColor="text1"/>
                <w:sz w:val="21"/>
                <w:szCs w:val="21"/>
              </w:rPr>
            </w:pPr>
          </w:p>
        </w:tc>
        <w:tc>
          <w:tcPr>
            <w:tcW w:w="7319" w:type="dxa"/>
            <w:gridSpan w:val="12"/>
          </w:tcPr>
          <w:p>
            <w:pPr>
              <w:pStyle w:val="20"/>
              <w:spacing w:line="260" w:lineRule="exact"/>
              <w:ind w:left="86" w:right="93"/>
              <w:rPr>
                <w:rFonts w:ascii="仿宋" w:hAnsi="仿宋" w:eastAsia="仿宋"/>
                <w:color w:val="000000" w:themeColor="text1"/>
                <w:sz w:val="21"/>
                <w:szCs w:val="21"/>
                <w:lang w:eastAsia="zh-CN"/>
              </w:rPr>
            </w:pPr>
            <w:r>
              <w:rPr>
                <w:rFonts w:hint="eastAsia" w:ascii="仿宋" w:hAnsi="仿宋" w:eastAsia="仿宋"/>
                <w:color w:val="000000" w:themeColor="text1"/>
                <w:sz w:val="21"/>
                <w:szCs w:val="21"/>
                <w:lang w:eastAsia="zh-CN"/>
              </w:rPr>
              <w:t>90（含）-100</w:t>
            </w:r>
            <w:r>
              <w:rPr>
                <w:rFonts w:hint="eastAsia" w:ascii="仿宋" w:hAnsi="仿宋" w:eastAsia="仿宋"/>
                <w:color w:val="000000" w:themeColor="text1"/>
                <w:spacing w:val="-12"/>
                <w:sz w:val="21"/>
                <w:szCs w:val="21"/>
                <w:lang w:eastAsia="zh-CN"/>
              </w:rPr>
              <w:t xml:space="preserve"> 分为优、</w:t>
            </w:r>
            <w:r>
              <w:rPr>
                <w:rFonts w:hint="eastAsia" w:ascii="仿宋" w:hAnsi="仿宋" w:eastAsia="仿宋"/>
                <w:color w:val="000000" w:themeColor="text1"/>
                <w:sz w:val="21"/>
                <w:szCs w:val="21"/>
                <w:lang w:eastAsia="zh-CN"/>
              </w:rPr>
              <w:t>80（含）-90</w:t>
            </w:r>
            <w:r>
              <w:rPr>
                <w:rFonts w:hint="eastAsia" w:ascii="仿宋" w:hAnsi="仿宋" w:eastAsia="仿宋"/>
                <w:color w:val="000000" w:themeColor="text1"/>
                <w:spacing w:val="-12"/>
                <w:sz w:val="21"/>
                <w:szCs w:val="21"/>
                <w:lang w:eastAsia="zh-CN"/>
              </w:rPr>
              <w:t xml:space="preserve"> 分为良、</w:t>
            </w:r>
            <w:r>
              <w:rPr>
                <w:rFonts w:hint="eastAsia" w:ascii="仿宋" w:hAnsi="仿宋" w:eastAsia="仿宋"/>
                <w:color w:val="000000" w:themeColor="text1"/>
                <w:sz w:val="21"/>
                <w:szCs w:val="21"/>
                <w:lang w:eastAsia="zh-CN"/>
              </w:rPr>
              <w:t>60（含）-80</w:t>
            </w:r>
            <w:r>
              <w:rPr>
                <w:rFonts w:hint="eastAsia" w:ascii="仿宋" w:hAnsi="仿宋" w:eastAsia="仿宋"/>
                <w:color w:val="000000" w:themeColor="text1"/>
                <w:spacing w:val="-12"/>
                <w:sz w:val="21"/>
                <w:szCs w:val="21"/>
                <w:lang w:eastAsia="zh-CN"/>
              </w:rPr>
              <w:t xml:space="preserve"> 分为中、</w:t>
            </w:r>
            <w:r>
              <w:rPr>
                <w:rFonts w:hint="eastAsia" w:ascii="仿宋" w:hAnsi="仿宋" w:eastAsia="仿宋"/>
                <w:color w:val="000000" w:themeColor="text1"/>
                <w:sz w:val="21"/>
                <w:szCs w:val="21"/>
                <w:lang w:eastAsia="zh-CN"/>
              </w:rPr>
              <w:t>60</w:t>
            </w:r>
            <w:r>
              <w:rPr>
                <w:rFonts w:hint="eastAsia" w:ascii="仿宋" w:hAnsi="仿宋" w:eastAsia="仿宋"/>
                <w:color w:val="000000" w:themeColor="text1"/>
                <w:spacing w:val="-15"/>
                <w:sz w:val="21"/>
                <w:szCs w:val="21"/>
                <w:lang w:eastAsia="zh-CN"/>
              </w:rPr>
              <w:t xml:space="preserve"> 分以下</w:t>
            </w:r>
            <w:r>
              <w:rPr>
                <w:rFonts w:hint="eastAsia" w:ascii="仿宋" w:hAnsi="仿宋" w:eastAsia="仿宋"/>
                <w:color w:val="000000" w:themeColor="text1"/>
                <w:spacing w:val="-1"/>
                <w:w w:val="95"/>
                <w:sz w:val="21"/>
                <w:szCs w:val="21"/>
                <w:lang w:eastAsia="zh-CN"/>
              </w:rPr>
              <w:t>为差</w:t>
            </w:r>
          </w:p>
        </w:tc>
      </w:tr>
    </w:tbl>
    <w:p>
      <w:pPr>
        <w:pStyle w:val="2"/>
        <w:ind w:left="0" w:firstLine="3344" w:firstLineChars="800"/>
        <w:jc w:val="both"/>
        <w:rPr>
          <w:rFonts w:ascii="仿宋" w:hAnsi="仿宋" w:eastAsia="仿宋" w:cstheme="minorEastAsia"/>
          <w:color w:val="000000" w:themeColor="text1"/>
          <w:sz w:val="21"/>
        </w:rPr>
        <w:sectPr>
          <w:pgSz w:w="11910" w:h="16840"/>
          <w:pgMar w:top="1580" w:right="1560" w:bottom="1140" w:left="1440" w:header="720" w:footer="720" w:gutter="0"/>
          <w:cols w:space="720" w:num="1"/>
        </w:sectPr>
      </w:pPr>
      <w:r>
        <w:rPr>
          <w:rFonts w:hint="eastAsia" w:ascii="仿宋" w:hAnsi="仿宋" w:eastAsia="仿宋" w:cstheme="minorEastAsia"/>
          <w:color w:val="000000" w:themeColor="text1"/>
          <w:w w:val="95"/>
          <w:lang w:eastAsia="zh-CN"/>
        </w:rPr>
        <w:t>部门</w:t>
      </w:r>
      <w:r>
        <w:rPr>
          <w:rFonts w:hint="eastAsia" w:ascii="仿宋" w:hAnsi="仿宋" w:eastAsia="仿宋" w:cstheme="minorEastAsia"/>
          <w:color w:val="000000" w:themeColor="text1"/>
          <w:w w:val="95"/>
        </w:rPr>
        <w:t>评价</w:t>
      </w:r>
    </w:p>
    <w:p>
      <w:pPr>
        <w:rPr>
          <w:rFonts w:hint="eastAsia" w:ascii="仿宋_GB2312" w:hAnsi="仿宋_GB2312" w:eastAsia="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altName w:val="黑体"/>
    <w:panose1 w:val="020B0502040204020203"/>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C53AB"/>
    <w:multiLevelType w:val="singleLevel"/>
    <w:tmpl w:val="8C9C53AB"/>
    <w:lvl w:ilvl="0" w:tentative="0">
      <w:start w:val="3"/>
      <w:numFmt w:val="chineseCounting"/>
      <w:suff w:val="nothing"/>
      <w:lvlText w:val="%1、"/>
      <w:lvlJc w:val="left"/>
      <w:rPr>
        <w:rFonts w:hint="eastAsia"/>
      </w:rPr>
    </w:lvl>
  </w:abstractNum>
  <w:abstractNum w:abstractNumId="1">
    <w:nsid w:val="AF3E7D7D"/>
    <w:multiLevelType w:val="singleLevel"/>
    <w:tmpl w:val="AF3E7D7D"/>
    <w:lvl w:ilvl="0" w:tentative="0">
      <w:start w:val="6"/>
      <w:numFmt w:val="chineseCounting"/>
      <w:suff w:val="nothing"/>
      <w:lvlText w:val="%1、"/>
      <w:lvlJc w:val="left"/>
      <w:rPr>
        <w:rFonts w:hint="eastAsia"/>
      </w:rPr>
    </w:lvl>
  </w:abstractNum>
  <w:abstractNum w:abstractNumId="2">
    <w:nsid w:val="D837B6BE"/>
    <w:multiLevelType w:val="singleLevel"/>
    <w:tmpl w:val="D837B6BE"/>
    <w:lvl w:ilvl="0" w:tentative="0">
      <w:start w:val="1"/>
      <w:numFmt w:val="chineseCounting"/>
      <w:suff w:val="nothing"/>
      <w:lvlText w:val="%1、"/>
      <w:lvlJc w:val="left"/>
      <w:rPr>
        <w:rFonts w:hint="eastAsia"/>
      </w:rPr>
    </w:lvl>
  </w:abstractNum>
  <w:abstractNum w:abstractNumId="3">
    <w:nsid w:val="1316F416"/>
    <w:multiLevelType w:val="singleLevel"/>
    <w:tmpl w:val="1316F416"/>
    <w:lvl w:ilvl="0" w:tentative="0">
      <w:start w:val="2"/>
      <w:numFmt w:val="chineseCounting"/>
      <w:suff w:val="nothing"/>
      <w:lvlText w:val="（%1）"/>
      <w:lvlJc w:val="left"/>
      <w:rPr>
        <w:rFonts w:hint="eastAsia"/>
      </w:rPr>
    </w:lvl>
  </w:abstractNum>
  <w:abstractNum w:abstractNumId="4">
    <w:nsid w:val="3C404670"/>
    <w:multiLevelType w:val="singleLevel"/>
    <w:tmpl w:val="3C404670"/>
    <w:lvl w:ilvl="0" w:tentative="0">
      <w:start w:val="2"/>
      <w:numFmt w:val="chineseCounting"/>
      <w:suff w:val="space"/>
      <w:lvlText w:val="(%1)"/>
      <w:lvlJc w:val="left"/>
      <w:rPr>
        <w:rFonts w:hint="eastAsia"/>
      </w:rPr>
    </w:lvl>
  </w:abstractNum>
  <w:abstractNum w:abstractNumId="5">
    <w:nsid w:val="6128BC52"/>
    <w:multiLevelType w:val="singleLevel"/>
    <w:tmpl w:val="6128BC52"/>
    <w:lvl w:ilvl="0" w:tentative="0">
      <w:start w:val="1"/>
      <w:numFmt w:val="decimal"/>
      <w:suff w:val="nothing"/>
      <w:lvlText w:val="（%1）"/>
      <w:lvlJc w:val="left"/>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0NDMyNjZlYjNmNDNhNmZiMzhhZWE4ZGI4OGE5ZTEifQ=="/>
  </w:docVars>
  <w:rsids>
    <w:rsidRoot w:val="00000000"/>
    <w:rsid w:val="1A512FD2"/>
    <w:rsid w:val="20510A75"/>
    <w:rsid w:val="21B60E1B"/>
    <w:rsid w:val="328B36AE"/>
    <w:rsid w:val="41EE0F66"/>
    <w:rsid w:val="52E81CBE"/>
    <w:rsid w:val="5A617616"/>
    <w:rsid w:val="61646484"/>
    <w:rsid w:val="6B98520E"/>
    <w:rsid w:val="7C9A4C83"/>
    <w:rsid w:val="7D6154A3"/>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left="128"/>
      <w:outlineLvl w:val="0"/>
    </w:pPr>
    <w:rPr>
      <w:rFonts w:ascii="方正小标宋简体" w:hAnsi="方正小标宋简体" w:eastAsia="方正小标宋简体" w:cs="方正小标宋简体"/>
      <w:sz w:val="44"/>
      <w:szCs w:val="44"/>
    </w:rPr>
  </w:style>
  <w:style w:type="paragraph" w:styleId="3">
    <w:name w:val="heading 2"/>
    <w:basedOn w:val="1"/>
    <w:next w:val="1"/>
    <w:qFormat/>
    <w:uiPriority w:val="1"/>
    <w:pPr>
      <w:spacing w:before="43"/>
      <w:ind w:left="747"/>
      <w:outlineLvl w:val="1"/>
    </w:pPr>
    <w:rPr>
      <w:rFonts w:ascii="楷体" w:hAnsi="楷体" w:eastAsia="楷体" w:cs="楷体"/>
      <w:b/>
      <w:bCs/>
      <w:sz w:val="32"/>
      <w:szCs w:val="32"/>
    </w:rPr>
  </w:style>
  <w:style w:type="character" w:default="1" w:styleId="8">
    <w:name w:val="Default Paragraph Font"/>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仿宋_GB2312" w:hAnsi="仿宋_GB2312" w:eastAsia="仿宋_GB2312" w:cs="仿宋_GB2312"/>
      <w:sz w:val="32"/>
      <w:szCs w:val="32"/>
    </w:rPr>
  </w:style>
  <w:style w:type="paragraph" w:styleId="5">
    <w:name w:val="Normal (Web)"/>
    <w:basedOn w:val="1"/>
    <w:qFormat/>
    <w:uiPriority w:val="0"/>
    <w:rPr>
      <w:rFonts w:cs="Times New Roman"/>
      <w:sz w:val="24"/>
      <w:lang w:eastAsia="zh-CN"/>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默认段落字体1"/>
    <w:qFormat/>
    <w:uiPriority w:val="0"/>
  </w:style>
  <w:style w:type="table" w:customStyle="1" w:styleId="10">
    <w:name w:val="普通表格1"/>
    <w:semiHidden/>
    <w:qFormat/>
    <w:uiPriority w:val="0"/>
    <w:tblPr>
      <w:tblCellMar>
        <w:top w:w="0" w:type="dxa"/>
        <w:left w:w="108" w:type="dxa"/>
        <w:bottom w:w="0" w:type="dxa"/>
        <w:right w:w="108" w:type="dxa"/>
      </w:tblCellMar>
    </w:tblPr>
  </w:style>
  <w:style w:type="character" w:customStyle="1" w:styleId="11">
    <w:name w:val="页眉 Char"/>
    <w:link w:val="12"/>
    <w:qFormat/>
    <w:uiPriority w:val="0"/>
    <w:rPr>
      <w:sz w:val="18"/>
      <w:szCs w:val="18"/>
    </w:rPr>
  </w:style>
  <w:style w:type="paragraph" w:customStyle="1" w:styleId="12">
    <w:name w:val="页眉1"/>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脚 Char"/>
    <w:link w:val="14"/>
    <w:qFormat/>
    <w:uiPriority w:val="0"/>
    <w:rPr>
      <w:sz w:val="18"/>
      <w:szCs w:val="18"/>
    </w:rPr>
  </w:style>
  <w:style w:type="paragraph" w:customStyle="1" w:styleId="14">
    <w:name w:val="页脚1"/>
    <w:basedOn w:val="1"/>
    <w:link w:val="13"/>
    <w:qFormat/>
    <w:uiPriority w:val="0"/>
    <w:pPr>
      <w:tabs>
        <w:tab w:val="center" w:pos="4153"/>
        <w:tab w:val="right" w:pos="8306"/>
      </w:tabs>
      <w:snapToGrid w:val="0"/>
      <w:jc w:val="left"/>
    </w:pPr>
    <w:rPr>
      <w:sz w:val="18"/>
      <w:szCs w:val="18"/>
    </w:rPr>
  </w:style>
  <w:style w:type="character" w:customStyle="1" w:styleId="15">
    <w:name w:val="批注框文本 Char"/>
    <w:link w:val="16"/>
    <w:qFormat/>
    <w:uiPriority w:val="0"/>
    <w:rPr>
      <w:sz w:val="18"/>
      <w:szCs w:val="18"/>
    </w:rPr>
  </w:style>
  <w:style w:type="paragraph" w:customStyle="1" w:styleId="16">
    <w:name w:val="批注框文本1"/>
    <w:basedOn w:val="1"/>
    <w:link w:val="15"/>
    <w:qFormat/>
    <w:uiPriority w:val="0"/>
    <w:rPr>
      <w:sz w:val="18"/>
      <w:szCs w:val="18"/>
    </w:rPr>
  </w:style>
  <w:style w:type="paragraph" w:customStyle="1" w:styleId="17">
    <w:name w:val="批注文字1"/>
    <w:basedOn w:val="1"/>
    <w:qFormat/>
    <w:uiPriority w:val="0"/>
    <w:pPr>
      <w:jc w:val="left"/>
    </w:pPr>
  </w:style>
  <w:style w:type="paragraph" w:customStyle="1" w:styleId="18">
    <w:name w:val="p0"/>
    <w:basedOn w:val="1"/>
    <w:qFormat/>
    <w:uiPriority w:val="0"/>
    <w:pPr>
      <w:widowControl/>
    </w:pPr>
    <w:rPr>
      <w:kern w:val="0"/>
      <w:szCs w:val="21"/>
    </w:rPr>
  </w:style>
  <w:style w:type="table" w:customStyle="1" w:styleId="19">
    <w:name w:val="网格型1"/>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63</Pages>
  <Words>26990</Words>
  <Characters>29677</Characters>
  <Lines>119</Lines>
  <Paragraphs>33</Paragraphs>
  <TotalTime>1</TotalTime>
  <ScaleCrop>false</ScaleCrop>
  <LinksUpToDate>false</LinksUpToDate>
  <CharactersWithSpaces>30259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李嘉玉</dc:creator>
  <cp:lastModifiedBy>Administrator</cp:lastModifiedBy>
  <cp:lastPrinted>2024-05-22T07:51:00Z</cp:lastPrinted>
  <dcterms:modified xsi:type="dcterms:W3CDTF">2024-09-20T05:37:18Z</dcterms:modified>
  <dc:title>李嘉玉</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BE487CEA8EE442EA84C45187837E29D8</vt:lpwstr>
  </property>
</Properties>
</file>