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景德镇市昌江区应急管理局部门</w:t>
      </w: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2</w:t>
      </w:r>
      <w:r>
        <w:rPr>
          <w:rFonts w:hint="eastAsia" w:ascii="宋体" w:hAnsi="宋体" w:eastAsia="宋体" w:cs="宋体"/>
          <w:b/>
          <w:bCs/>
          <w:color w:val="auto"/>
          <w:sz w:val="44"/>
          <w:szCs w:val="44"/>
        </w:rPr>
        <w:t>年度部门决算</w:t>
      </w:r>
    </w:p>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目    录</w:t>
      </w:r>
    </w:p>
    <w:p>
      <w:pPr>
        <w:keepNext w:val="0"/>
        <w:keepLines w:val="0"/>
        <w:pageBreakBefore w:val="0"/>
        <w:widowControl/>
        <w:kinsoku/>
        <w:wordWrap/>
        <w:overflowPunct/>
        <w:topLinePunct w:val="0"/>
        <w:autoSpaceDE/>
        <w:autoSpaceDN/>
        <w:bidi w:val="0"/>
        <w:adjustRightInd/>
        <w:snapToGrid/>
        <w:spacing w:line="240" w:lineRule="auto"/>
        <w:ind w:right="0" w:firstLine="64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第一部分  景德镇市昌江区应急管理局部门概况</w:t>
      </w:r>
    </w:p>
    <w:p>
      <w:pPr>
        <w:keepNext w:val="0"/>
        <w:keepLines w:val="0"/>
        <w:pageBreakBefore w:val="0"/>
        <w:widowControl/>
        <w:kinsoku/>
        <w:wordWrap/>
        <w:overflowPunct/>
        <w:topLinePunct w:val="0"/>
        <w:autoSpaceDE/>
        <w:autoSpaceDN/>
        <w:bidi w:val="0"/>
        <w:adjustRightInd/>
        <w:snapToGrid/>
        <w:spacing w:line="240" w:lineRule="auto"/>
        <w:ind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一、部门主要职责</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二、部门基本情况</w:t>
      </w:r>
    </w:p>
    <w:p>
      <w:pPr>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第二部分  202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年度部门决算表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一、收入支出决算总表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二、收入决算表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七、</w:t>
      </w:r>
      <w:r>
        <w:rPr>
          <w:rFonts w:hint="eastAsia" w:ascii="仿宋" w:hAnsi="仿宋" w:eastAsia="仿宋" w:cs="仿宋"/>
          <w:color w:val="auto"/>
          <w:kern w:val="0"/>
          <w:sz w:val="32"/>
          <w:szCs w:val="32"/>
        </w:rPr>
        <w:t>政府性基金预算财政拨款收入支出决算表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八、国有资本经营预算财政拨款支出决算表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九、</w:t>
      </w:r>
      <w:r>
        <w:rPr>
          <w:rFonts w:hint="eastAsia" w:ascii="仿宋" w:hAnsi="仿宋" w:eastAsia="仿宋" w:cs="仿宋"/>
          <w:color w:val="auto"/>
          <w:kern w:val="0"/>
          <w:sz w:val="32"/>
          <w:szCs w:val="32"/>
        </w:rPr>
        <w:t>财政拨款“三公”经费支出决算表</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i w:val="0"/>
          <w:iCs w:val="0"/>
          <w:color w:val="auto"/>
          <w:kern w:val="0"/>
          <w:sz w:val="32"/>
          <w:szCs w:val="32"/>
        </w:rPr>
      </w:pPr>
      <w:r>
        <w:rPr>
          <w:rFonts w:hint="eastAsia" w:ascii="仿宋" w:hAnsi="仿宋" w:eastAsia="仿宋" w:cs="仿宋"/>
          <w:i w:val="0"/>
          <w:iCs w:val="0"/>
          <w:color w:val="auto"/>
          <w:kern w:val="0"/>
          <w:sz w:val="32"/>
          <w:szCs w:val="32"/>
          <w:lang w:val="en-US" w:eastAsia="zh-CN"/>
        </w:rPr>
        <w:t>十</w:t>
      </w:r>
      <w:r>
        <w:rPr>
          <w:rFonts w:hint="eastAsia" w:ascii="仿宋" w:hAnsi="仿宋" w:eastAsia="仿宋" w:cs="仿宋"/>
          <w:i w:val="0"/>
          <w:iCs w:val="0"/>
          <w:color w:val="auto"/>
          <w:kern w:val="0"/>
          <w:sz w:val="32"/>
          <w:szCs w:val="32"/>
        </w:rPr>
        <w:t>、国有资产占用情况表</w:t>
      </w:r>
    </w:p>
    <w:p>
      <w:pPr>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bCs/>
          <w:i w:val="0"/>
          <w:iCs w:val="0"/>
          <w:color w:val="auto"/>
          <w:sz w:val="32"/>
          <w:szCs w:val="32"/>
        </w:rPr>
      </w:pPr>
      <w:r>
        <w:rPr>
          <w:rFonts w:hint="eastAsia" w:ascii="仿宋" w:hAnsi="仿宋" w:eastAsia="仿宋" w:cs="仿宋"/>
          <w:b/>
          <w:bCs/>
          <w:i w:val="0"/>
          <w:iCs w:val="0"/>
          <w:color w:val="auto"/>
          <w:sz w:val="32"/>
          <w:szCs w:val="32"/>
        </w:rPr>
        <w:t>第三部分  202</w:t>
      </w:r>
      <w:r>
        <w:rPr>
          <w:rFonts w:hint="eastAsia" w:ascii="仿宋" w:hAnsi="仿宋" w:eastAsia="仿宋" w:cs="仿宋"/>
          <w:b/>
          <w:bCs/>
          <w:i w:val="0"/>
          <w:iCs w:val="0"/>
          <w:color w:val="auto"/>
          <w:sz w:val="32"/>
          <w:szCs w:val="32"/>
          <w:lang w:val="en-US" w:eastAsia="zh-CN"/>
        </w:rPr>
        <w:t>2</w:t>
      </w:r>
      <w:r>
        <w:rPr>
          <w:rFonts w:hint="eastAsia" w:ascii="仿宋" w:hAnsi="仿宋" w:eastAsia="仿宋" w:cs="仿宋"/>
          <w:b/>
          <w:bCs/>
          <w:i w:val="0"/>
          <w:iCs w:val="0"/>
          <w:color w:val="auto"/>
          <w:sz w:val="32"/>
          <w:szCs w:val="32"/>
        </w:rPr>
        <w:t>年度部门决算情况说明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一、收入决算情况说明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二、支出决算情况说明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七、政府采购支出情况说明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八、国有资产占用情况说明</w:t>
      </w:r>
    </w:p>
    <w:p>
      <w:pPr>
        <w:keepNext w:val="0"/>
        <w:keepLines w:val="0"/>
        <w:pageBreakBefore w:val="0"/>
        <w:widowControl/>
        <w:kinsoku/>
        <w:wordWrap/>
        <w:overflowPunct/>
        <w:topLinePunct w:val="0"/>
        <w:autoSpaceDE/>
        <w:autoSpaceDN/>
        <w:bidi w:val="0"/>
        <w:adjustRightInd/>
        <w:snapToGrid/>
        <w:spacing w:line="240" w:lineRule="auto"/>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九、预算绩效情况说明</w:t>
      </w:r>
    </w:p>
    <w:p>
      <w:pPr>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pPr>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第五部分  附件</w:t>
      </w:r>
    </w:p>
    <w:p>
      <w:pPr>
        <w:keepNext w:val="0"/>
        <w:keepLines w:val="0"/>
        <w:pageBreakBefore w:val="0"/>
        <w:kinsoku/>
        <w:wordWrap/>
        <w:overflowPunct/>
        <w:topLinePunct w:val="0"/>
        <w:autoSpaceDE/>
        <w:autoSpaceDN/>
        <w:bidi w:val="0"/>
        <w:adjustRightInd/>
        <w:snapToGrid/>
        <w:spacing w:line="240" w:lineRule="auto"/>
        <w:ind w:right="0" w:firstLine="63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第一部分  景德镇市昌江区应急管理局部门概况</w:t>
      </w:r>
    </w:p>
    <w:p>
      <w:pPr>
        <w:keepNext w:val="0"/>
        <w:keepLines w:val="0"/>
        <w:pageBreakBefore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一、部门主要职能</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负责应急管理工作，指导各乡（镇）街道各部门应对安全生产类、自然灾害类等突发事件和综合防灾减灾救灾工作。负责安全生产综合监督管理和工矿商贸行业安全生产监督管理工作。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贯彻执行国家应急管理、安全生产等法律法规，拟定全区应急管理、安全生产等政策规定，组织编制区应急体系建设、安全生产和综合防灾减灾规划，组织制定相关规程和标准并监督实施。</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指导应急预案体系建设，落实、完善事故灾难和自然灾害分级应对制度，组织编制区总体应急预案和安全生产类、自然灾害类专项预案，综合协调应急预案衔接工作，组织开展预案演练，推动应急避难设施建设。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牵头建立全区统一的应急管理信息系统，负责信息传输渠道的规划和布局，建立监测预警和灾情报告制度，健全自然灾害信息资源获取和共享机制，依法依规统一发布灾情。</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组织指导协调安全生产类、自然灾害类等突发事件应急救援，承担区应对重大灾害指挥部工作，综合研判突发事件发展态势并提出应对建议，协助区委、区政府指定的负责同志组织重大灾害应急处置工作。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统一协调指挥各类应急专业队伍，建立应急协调联动机制，推进指挥平台对接，衔接解放军和武警部队参与应急救援工作。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统筹应急救援力量建设，负责消防、森林火灾扑救、抗洪抢险、地震和地质灾害救援、生产安全事故救援等专业应急救援力量建设，按规定权限协调管理区综合性应急救援队伍，指导乡（镇）、街道办事处及社会应急救援力量建设。</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负责消防管理工作，指导消防监督、火灾预防、火灾扑救等工作。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指导协调森林火灾、水旱灾害、地震和地质灾害等防治工作，负责自然灾害综合监测预警工作，指导开展自然灾害综合风险评估工作。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组织协调灾害救助工作，组织指导灾情核查、损失评估、救灾捐赠工作，按权限管理、分配救灾款物并监督使用。</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依法行使安全生产综合监督管理职权，指导协调、监督检查区政府有关部门和各乡镇政府（办事处）安全生产工作，分析和预测全区安全生产形势，发布安全生产信息，组织开展安全生产督查、考核工作。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按照分级、属地原则，依法监督检查工矿商贸生产经营单位贯彻执行安全生产法律法规情况及其安全生产条件和有关设备（特种设备除外）、材料、劳动防护用品的安全生产管理工作。负责监督管理辖区内非煤矿山企业安全生产工作。依法组织并指导监督实施安全生产准入制度。负责危险化学品安全监督管理综合工作和烟花爆竹安全生产监督管理工作。依法组织指导并监督职责范围内生产经营单位主要负责人、安全生产管理人员的安全生产知识和管理能力考核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依法依规组织安全生产事故调查处理，监督事故查处和责任追究落实情况。组织开展自然灾害类突发事件的调查评估工作。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开展应急管理方面的对外交流与合作，组织参与安全生产类、自然灾害类等突发事件的对外救援工作。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制定应急物资储备和应急救援装备规划并组织实施，会同相关部门建立健全应急物资信息平台和调拨制度，在救灾时统一调度。</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负责应急管理、安全生产宣传教育和培训工作，组织指导应急管理、安全生产的科学技术研究、推广应用和信息化建设工作。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承担防震减灾监管职能。</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完成区委、区政府交办的其他任务。</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转变职能。区应急管理局应加强、优化、统筹全区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有关职责分工。</w:t>
      </w:r>
    </w:p>
    <w:p>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与昌江自然资源分局、区农业农村水利局、区林业局等部门在自然灾害防救方面的职责分工</w:t>
      </w:r>
    </w:p>
    <w:p>
      <w:pPr>
        <w:keepNext w:val="0"/>
        <w:keepLines w:val="0"/>
        <w:pageBreakBefore w:val="0"/>
        <w:kinsoku/>
        <w:wordWrap/>
        <w:overflowPunct/>
        <w:topLinePunct w:val="0"/>
        <w:autoSpaceDE/>
        <w:autoSpaceDN/>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二、部门基本情况</w:t>
      </w:r>
    </w:p>
    <w:p>
      <w:pPr>
        <w:keepNext w:val="0"/>
        <w:keepLines w:val="0"/>
        <w:pageBreakBefore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纳入本套部门决算汇编范围的单位共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个，包括：景德镇市昌江区应急管理局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内设机构2个,包括办公室和应急指挥中心</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年年末实有人数</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人，其中在职人员</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人，离休人员</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人，退休人员</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不含</w:t>
      </w:r>
      <w:r>
        <w:rPr>
          <w:rFonts w:hint="eastAsia" w:ascii="仿宋" w:hAnsi="仿宋" w:eastAsia="仿宋" w:cs="仿宋"/>
          <w:color w:val="auto"/>
          <w:sz w:val="32"/>
          <w:szCs w:val="32"/>
        </w:rPr>
        <w:t>由养老保险基金发放养老金的离退休人员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；年末其他人员</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人；年末学生人数</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由养老保险基金发放养老金的离退休人员</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keepNext w:val="0"/>
        <w:keepLines w:val="0"/>
        <w:pageBreakBefore w:val="0"/>
        <w:numPr>
          <w:ilvl w:val="0"/>
          <w:numId w:val="1"/>
        </w:numPr>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 202</w:t>
      </w:r>
      <w:r>
        <w:rPr>
          <w:rFonts w:hint="eastAsia" w:ascii="宋体" w:hAnsi="宋体" w:eastAsia="宋体" w:cs="宋体"/>
          <w:b/>
          <w:bCs w:val="0"/>
          <w:color w:val="auto"/>
          <w:sz w:val="32"/>
          <w:szCs w:val="32"/>
          <w:lang w:val="en-US" w:eastAsia="zh-CN"/>
        </w:rPr>
        <w:t>2</w:t>
      </w:r>
      <w:r>
        <w:rPr>
          <w:rFonts w:hint="eastAsia" w:ascii="宋体" w:hAnsi="宋体" w:eastAsia="宋体" w:cs="宋体"/>
          <w:b/>
          <w:bCs w:val="0"/>
          <w:color w:val="auto"/>
          <w:sz w:val="32"/>
          <w:szCs w:val="32"/>
        </w:rPr>
        <w:t>年度部门决算表</w:t>
      </w:r>
    </w:p>
    <w:p>
      <w:pPr>
        <w:pStyle w:val="2"/>
        <w:numPr>
          <w:ilvl w:val="0"/>
          <w:numId w:val="0"/>
        </w:numPr>
        <w:rPr>
          <w:rFonts w:hint="eastAsia"/>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drawing>
          <wp:inline distT="0" distB="0" distL="114300" distR="114300">
            <wp:extent cx="5219700" cy="7200265"/>
            <wp:effectExtent l="0" t="0" r="0" b="635"/>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6"/>
                    <a:stretch>
                      <a:fillRect/>
                    </a:stretch>
                  </pic:blipFill>
                  <pic:spPr>
                    <a:xfrm>
                      <a:off x="0" y="0"/>
                      <a:ext cx="5219700" cy="72002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5760085"/>
            <wp:effectExtent l="0" t="0" r="0" b="12065"/>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7"/>
                    <a:stretch>
                      <a:fillRect/>
                    </a:stretch>
                  </pic:blipFill>
                  <pic:spPr>
                    <a:xfrm>
                      <a:off x="0" y="0"/>
                      <a:ext cx="5219700" cy="5760085"/>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5760085"/>
            <wp:effectExtent l="0" t="0" r="0" b="1206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a:stretch>
                      <a:fillRect/>
                    </a:stretch>
                  </pic:blipFill>
                  <pic:spPr>
                    <a:xfrm>
                      <a:off x="0" y="0"/>
                      <a:ext cx="5219700" cy="5760085"/>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6840220"/>
            <wp:effectExtent l="0" t="0" r="0" b="17780"/>
            <wp:docPr id="14" name="图片 1"/>
            <wp:cNvGraphicFramePr/>
            <a:graphic xmlns:a="http://schemas.openxmlformats.org/drawingml/2006/main">
              <a:graphicData uri="http://schemas.openxmlformats.org/drawingml/2006/picture">
                <pic:pic xmlns:pic="http://schemas.openxmlformats.org/drawingml/2006/picture">
                  <pic:nvPicPr>
                    <pic:cNvPr id="14" name="图片 1"/>
                    <pic:cNvPicPr/>
                  </pic:nvPicPr>
                  <pic:blipFill>
                    <a:blip r:embed="rId9"/>
                    <a:stretch>
                      <a:fillRect/>
                    </a:stretch>
                  </pic:blipFill>
                  <pic:spPr>
                    <a:xfrm>
                      <a:off x="0" y="0"/>
                      <a:ext cx="5219700" cy="6840220"/>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6480175"/>
            <wp:effectExtent l="0" t="0" r="0" b="15875"/>
            <wp:docPr id="15" name="图片 1"/>
            <wp:cNvGraphicFramePr/>
            <a:graphic xmlns:a="http://schemas.openxmlformats.org/drawingml/2006/main">
              <a:graphicData uri="http://schemas.openxmlformats.org/drawingml/2006/picture">
                <pic:pic xmlns:pic="http://schemas.openxmlformats.org/drawingml/2006/picture">
                  <pic:nvPicPr>
                    <pic:cNvPr id="15" name="图片 1"/>
                    <pic:cNvPicPr/>
                  </pic:nvPicPr>
                  <pic:blipFill>
                    <a:blip r:embed="rId10"/>
                    <a:stretch>
                      <a:fillRect/>
                    </a:stretch>
                  </pic:blipFill>
                  <pic:spPr>
                    <a:xfrm>
                      <a:off x="0" y="0"/>
                      <a:ext cx="5219700" cy="6480175"/>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7560310"/>
            <wp:effectExtent l="0" t="0" r="0" b="2540"/>
            <wp:docPr id="16" name="图片 1"/>
            <wp:cNvGraphicFramePr/>
            <a:graphic xmlns:a="http://schemas.openxmlformats.org/drawingml/2006/main">
              <a:graphicData uri="http://schemas.openxmlformats.org/drawingml/2006/picture">
                <pic:pic xmlns:pic="http://schemas.openxmlformats.org/drawingml/2006/picture">
                  <pic:nvPicPr>
                    <pic:cNvPr id="16" name="图片 1"/>
                    <pic:cNvPicPr/>
                  </pic:nvPicPr>
                  <pic:blipFill>
                    <a:blip r:embed="rId11"/>
                    <a:stretch>
                      <a:fillRect/>
                    </a:stretch>
                  </pic:blipFill>
                  <pic:spPr>
                    <a:xfrm>
                      <a:off x="0" y="0"/>
                      <a:ext cx="5219700" cy="75603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2879725"/>
            <wp:effectExtent l="0" t="0" r="0" b="15875"/>
            <wp:docPr id="17" name="图片 1"/>
            <wp:cNvGraphicFramePr/>
            <a:graphic xmlns:a="http://schemas.openxmlformats.org/drawingml/2006/main">
              <a:graphicData uri="http://schemas.openxmlformats.org/drawingml/2006/picture">
                <pic:pic xmlns:pic="http://schemas.openxmlformats.org/drawingml/2006/picture">
                  <pic:nvPicPr>
                    <pic:cNvPr id="17" name="图片 1"/>
                    <pic:cNvPicPr/>
                  </pic:nvPicPr>
                  <pic:blipFill>
                    <a:blip r:embed="rId12"/>
                    <a:stretch>
                      <a:fillRect/>
                    </a:stretch>
                  </pic:blipFill>
                  <pic:spPr>
                    <a:xfrm>
                      <a:off x="0" y="0"/>
                      <a:ext cx="5219700" cy="2879725"/>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3239770"/>
            <wp:effectExtent l="0" t="0" r="0" b="17780"/>
            <wp:docPr id="18" name="图片 1"/>
            <wp:cNvGraphicFramePr/>
            <a:graphic xmlns:a="http://schemas.openxmlformats.org/drawingml/2006/main">
              <a:graphicData uri="http://schemas.openxmlformats.org/drawingml/2006/picture">
                <pic:pic xmlns:pic="http://schemas.openxmlformats.org/drawingml/2006/picture">
                  <pic:nvPicPr>
                    <pic:cNvPr id="18" name="图片 1"/>
                    <pic:cNvPicPr/>
                  </pic:nvPicPr>
                  <pic:blipFill>
                    <a:blip r:embed="rId13"/>
                    <a:stretch>
                      <a:fillRect/>
                    </a:stretch>
                  </pic:blipFill>
                  <pic:spPr>
                    <a:xfrm>
                      <a:off x="0" y="0"/>
                      <a:ext cx="5219700" cy="3239770"/>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drawing>
          <wp:inline distT="0" distB="0" distL="114300" distR="114300">
            <wp:extent cx="5219700" cy="5400040"/>
            <wp:effectExtent l="0" t="0" r="0" b="10160"/>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4"/>
                    <a:stretch>
                      <a:fillRect/>
                    </a:stretch>
                  </pic:blipFill>
                  <pic:spPr>
                    <a:xfrm>
                      <a:off x="0" y="0"/>
                      <a:ext cx="5219700" cy="5400040"/>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rPr>
          <w:rFonts w:hint="eastAsia" w:ascii="仿宋" w:hAnsi="仿宋" w:eastAsia="仿宋" w:cs="仿宋"/>
          <w:color w:val="auto"/>
          <w:sz w:val="32"/>
          <w:szCs w:val="32"/>
        </w:rPr>
      </w:pPr>
    </w:p>
    <w:p>
      <w:pPr>
        <w:pStyle w:val="2"/>
        <w:keepNext w:val="0"/>
        <w:keepLines w:val="0"/>
        <w:pageBreakBefore w:val="0"/>
        <w:kinsoku/>
        <w:wordWrap/>
        <w:overflowPunct/>
        <w:topLinePunct w:val="0"/>
        <w:bidi w:val="0"/>
        <w:adjustRightInd/>
        <w:snapToGrid/>
        <w:ind w:right="0"/>
        <w:rPr>
          <w:rFonts w:hint="eastAsia"/>
        </w:rPr>
      </w:pPr>
    </w:p>
    <w:p>
      <w:pPr>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 w:hAnsi="仿宋" w:eastAsia="仿宋" w:cs="仿宋"/>
          <w:b/>
          <w:bCs w:val="0"/>
          <w:color w:val="auto"/>
          <w:sz w:val="32"/>
          <w:szCs w:val="32"/>
        </w:rPr>
      </w:pPr>
      <w:r>
        <w:rPr>
          <w:rFonts w:hint="eastAsia" w:ascii="仿宋" w:hAnsi="仿宋" w:eastAsia="仿宋" w:cs="仿宋"/>
          <w:color w:val="auto"/>
          <w:sz w:val="32"/>
          <w:szCs w:val="32"/>
        </w:rPr>
        <w:drawing>
          <wp:inline distT="0" distB="0" distL="114300" distR="114300">
            <wp:extent cx="5219700" cy="2879725"/>
            <wp:effectExtent l="0" t="0" r="0" b="15875"/>
            <wp:docPr id="20" name="图片 1"/>
            <wp:cNvGraphicFramePr/>
            <a:graphic xmlns:a="http://schemas.openxmlformats.org/drawingml/2006/main">
              <a:graphicData uri="http://schemas.openxmlformats.org/drawingml/2006/picture">
                <pic:pic xmlns:pic="http://schemas.openxmlformats.org/drawingml/2006/picture">
                  <pic:nvPicPr>
                    <pic:cNvPr id="20" name="图片 1"/>
                    <pic:cNvPicPr/>
                  </pic:nvPicPr>
                  <pic:blipFill>
                    <a:blip r:embed="rId15"/>
                    <a:stretch>
                      <a:fillRect/>
                    </a:stretch>
                  </pic:blipFill>
                  <pic:spPr>
                    <a:xfrm>
                      <a:off x="0" y="0"/>
                      <a:ext cx="5219700" cy="2879725"/>
                    </a:xfrm>
                    <a:prstGeom prst="rect">
                      <a:avLst/>
                    </a:prstGeom>
                    <a:noFill/>
                    <a:ln w="9525">
                      <a:noFill/>
                    </a:ln>
                  </pic:spPr>
                </pic:pic>
              </a:graphicData>
            </a:graphic>
          </wp:inline>
        </w:drawing>
      </w:r>
    </w:p>
    <w:p>
      <w:pPr>
        <w:keepNext w:val="0"/>
        <w:keepLines w:val="0"/>
        <w:pageBreakBefore w:val="0"/>
        <w:widowControl/>
        <w:kinsoku/>
        <w:wordWrap/>
        <w:overflowPunct/>
        <w:topLinePunct w:val="0"/>
        <w:bidi w:val="0"/>
        <w:adjustRightInd/>
        <w:snapToGrid/>
        <w:spacing w:line="240" w:lineRule="auto"/>
        <w:ind w:right="0"/>
        <w:jc w:val="center"/>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第三部分  202</w:t>
      </w:r>
      <w:r>
        <w:rPr>
          <w:rFonts w:hint="eastAsia" w:ascii="宋体" w:hAnsi="宋体" w:eastAsia="宋体" w:cs="宋体"/>
          <w:b/>
          <w:bCs w:val="0"/>
          <w:color w:val="auto"/>
          <w:sz w:val="32"/>
          <w:szCs w:val="32"/>
          <w:lang w:val="en-US" w:eastAsia="zh-CN"/>
        </w:rPr>
        <w:t>2</w:t>
      </w:r>
      <w:r>
        <w:rPr>
          <w:rFonts w:hint="eastAsia" w:ascii="宋体" w:hAnsi="宋体" w:eastAsia="宋体" w:cs="宋体"/>
          <w:b/>
          <w:bCs w:val="0"/>
          <w:color w:val="auto"/>
          <w:sz w:val="32"/>
          <w:szCs w:val="32"/>
        </w:rPr>
        <w:t>年度部门决算情况说明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一、收入决算情况说明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年度收入总计</w:t>
      </w:r>
      <w:r>
        <w:rPr>
          <w:rFonts w:hint="eastAsia" w:ascii="仿宋" w:hAnsi="仿宋" w:eastAsia="仿宋" w:cs="仿宋"/>
          <w:color w:val="auto"/>
          <w:sz w:val="32"/>
          <w:szCs w:val="32"/>
          <w:lang w:val="en-US" w:eastAsia="zh-CN"/>
        </w:rPr>
        <w:t>926.73</w:t>
      </w:r>
      <w:r>
        <w:rPr>
          <w:rFonts w:hint="eastAsia" w:ascii="仿宋" w:hAnsi="仿宋" w:eastAsia="仿宋" w:cs="仿宋"/>
          <w:color w:val="auto"/>
          <w:sz w:val="32"/>
          <w:szCs w:val="32"/>
        </w:rPr>
        <w:t>万元，其中年初结转和结余</w:t>
      </w:r>
      <w:r>
        <w:rPr>
          <w:rFonts w:hint="eastAsia" w:ascii="仿宋" w:hAnsi="仿宋" w:eastAsia="仿宋" w:cs="仿宋"/>
          <w:color w:val="auto"/>
          <w:sz w:val="32"/>
          <w:szCs w:val="32"/>
          <w:lang w:val="en-US" w:eastAsia="zh-CN"/>
        </w:rPr>
        <w:t>1.75</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0.01</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0.01</w:t>
      </w:r>
      <w:r>
        <w:rPr>
          <w:rFonts w:hint="eastAsia" w:ascii="仿宋" w:hAnsi="仿宋" w:eastAsia="仿宋" w:cs="仿宋"/>
          <w:color w:val="auto"/>
          <w:sz w:val="32"/>
          <w:szCs w:val="32"/>
        </w:rPr>
        <w:t>%；本年收入合计</w:t>
      </w:r>
      <w:r>
        <w:rPr>
          <w:rFonts w:hint="eastAsia" w:ascii="仿宋" w:hAnsi="仿宋" w:eastAsia="仿宋" w:cs="仿宋"/>
          <w:color w:val="auto"/>
          <w:sz w:val="32"/>
          <w:szCs w:val="32"/>
          <w:lang w:val="en-US" w:eastAsia="zh-CN"/>
        </w:rPr>
        <w:t>924.98</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50.53</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5.18</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工资改革压降奖励性支出</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本年收入的具体构成为：财政拨款收入</w:t>
      </w:r>
      <w:r>
        <w:rPr>
          <w:rFonts w:hint="eastAsia" w:ascii="仿宋" w:hAnsi="仿宋" w:eastAsia="仿宋" w:cs="仿宋"/>
          <w:color w:val="auto"/>
          <w:sz w:val="32"/>
          <w:szCs w:val="32"/>
          <w:lang w:val="en-US" w:eastAsia="zh-CN"/>
        </w:rPr>
        <w:t>924.96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99.99</w:t>
      </w:r>
      <w:r>
        <w:rPr>
          <w:rFonts w:hint="eastAsia" w:ascii="仿宋" w:hAnsi="仿宋" w:eastAsia="仿宋" w:cs="仿宋"/>
          <w:color w:val="auto"/>
          <w:sz w:val="32"/>
          <w:szCs w:val="32"/>
        </w:rPr>
        <w:t>%；事业收入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%；经营收入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%；其他收入</w:t>
      </w:r>
      <w:r>
        <w:rPr>
          <w:rFonts w:hint="eastAsia" w:ascii="仿宋" w:hAnsi="仿宋" w:eastAsia="仿宋" w:cs="仿宋"/>
          <w:color w:val="auto"/>
          <w:sz w:val="32"/>
          <w:szCs w:val="32"/>
          <w:lang w:val="en-US" w:eastAsia="zh-CN"/>
        </w:rPr>
        <w:t>0.02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0.01</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二、支出决算情况说明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年度支出总计</w:t>
      </w:r>
      <w:r>
        <w:rPr>
          <w:rFonts w:hint="eastAsia" w:ascii="仿宋" w:hAnsi="仿宋" w:eastAsia="仿宋" w:cs="仿宋"/>
          <w:color w:val="auto"/>
          <w:sz w:val="32"/>
          <w:szCs w:val="32"/>
          <w:lang w:val="en-US" w:eastAsia="zh-CN"/>
        </w:rPr>
        <w:t>926.73</w:t>
      </w:r>
      <w:r>
        <w:rPr>
          <w:rFonts w:hint="eastAsia" w:ascii="仿宋" w:hAnsi="仿宋" w:eastAsia="仿宋" w:cs="仿宋"/>
          <w:color w:val="auto"/>
          <w:sz w:val="32"/>
          <w:szCs w:val="32"/>
        </w:rPr>
        <w:t>万元，其中本年支出合计</w:t>
      </w:r>
      <w:r>
        <w:rPr>
          <w:rFonts w:hint="eastAsia" w:ascii="仿宋" w:hAnsi="仿宋" w:eastAsia="仿宋" w:cs="仿宋"/>
          <w:color w:val="auto"/>
          <w:sz w:val="32"/>
          <w:szCs w:val="32"/>
          <w:lang w:val="en-US" w:eastAsia="zh-CN"/>
        </w:rPr>
        <w:t>925.02</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50.48</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5.17</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工资改革压降奖励性支出</w:t>
      </w:r>
      <w:r>
        <w:rPr>
          <w:rFonts w:hint="eastAsia" w:ascii="仿宋" w:hAnsi="仿宋" w:eastAsia="仿宋" w:cs="仿宋"/>
          <w:color w:val="auto"/>
          <w:sz w:val="32"/>
          <w:szCs w:val="32"/>
        </w:rPr>
        <w:t>；年末结转和结余</w:t>
      </w:r>
      <w:r>
        <w:rPr>
          <w:rFonts w:hint="eastAsia" w:ascii="仿宋" w:hAnsi="仿宋" w:eastAsia="仿宋" w:cs="仿宋"/>
          <w:color w:val="auto"/>
          <w:sz w:val="32"/>
          <w:szCs w:val="32"/>
          <w:lang w:val="en-US" w:eastAsia="zh-CN"/>
        </w:rPr>
        <w:t>1.71</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0.04</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2.29</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压降结存资金</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本年支出的具体构成为：基本支出</w:t>
      </w:r>
      <w:r>
        <w:rPr>
          <w:rFonts w:hint="eastAsia" w:ascii="仿宋" w:hAnsi="仿宋" w:eastAsia="仿宋" w:cs="仿宋"/>
          <w:color w:val="auto"/>
          <w:sz w:val="32"/>
          <w:szCs w:val="32"/>
          <w:lang w:val="en-US" w:eastAsia="zh-CN"/>
        </w:rPr>
        <w:t>239.46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25.89</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685.56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74.11</w:t>
      </w:r>
      <w:r>
        <w:rPr>
          <w:rFonts w:hint="eastAsia" w:ascii="仿宋" w:hAnsi="仿宋" w:eastAsia="仿宋" w:cs="仿宋"/>
          <w:color w:val="auto"/>
          <w:sz w:val="32"/>
          <w:szCs w:val="32"/>
        </w:rPr>
        <w:t>%；经营支出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 %；其他支出（对附属单位补助支出、上缴上级支出）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三、财政拨款支出决算情况说明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年度财政拨款本年支出年初预算数为</w:t>
      </w:r>
      <w:r>
        <w:rPr>
          <w:rFonts w:hint="eastAsia" w:ascii="仿宋" w:hAnsi="仿宋" w:eastAsia="仿宋" w:cs="仿宋"/>
          <w:color w:val="auto"/>
          <w:sz w:val="32"/>
          <w:szCs w:val="32"/>
          <w:lang w:val="en-US" w:eastAsia="zh-CN"/>
        </w:rPr>
        <w:t>317.27</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925.02</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291.56</w:t>
      </w:r>
      <w:r>
        <w:rPr>
          <w:rFonts w:hint="eastAsia" w:ascii="仿宋" w:hAnsi="仿宋" w:eastAsia="仿宋" w:cs="仿宋"/>
          <w:color w:val="auto"/>
          <w:sz w:val="32"/>
          <w:szCs w:val="32"/>
        </w:rPr>
        <w:t>%。其中：</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社会保障和就业支出</w:t>
      </w:r>
      <w:r>
        <w:rPr>
          <w:rFonts w:hint="eastAsia" w:ascii="仿宋" w:hAnsi="仿宋" w:eastAsia="仿宋" w:cs="仿宋"/>
          <w:color w:val="auto"/>
          <w:sz w:val="32"/>
          <w:szCs w:val="32"/>
        </w:rPr>
        <w:t>年初预算数为</w:t>
      </w:r>
      <w:r>
        <w:rPr>
          <w:rFonts w:hint="eastAsia" w:ascii="仿宋" w:hAnsi="仿宋" w:eastAsia="仿宋" w:cs="仿宋"/>
          <w:color w:val="auto"/>
          <w:sz w:val="32"/>
          <w:szCs w:val="32"/>
          <w:lang w:val="en-US" w:eastAsia="zh-CN"/>
        </w:rPr>
        <w:t>9.31</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8.26</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88.72</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人员调离及缴费基数调整</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卫生健康支出</w:t>
      </w:r>
      <w:r>
        <w:rPr>
          <w:rFonts w:hint="eastAsia" w:ascii="仿宋" w:hAnsi="仿宋" w:eastAsia="仿宋" w:cs="仿宋"/>
          <w:color w:val="auto"/>
          <w:sz w:val="32"/>
          <w:szCs w:val="32"/>
        </w:rPr>
        <w:t>年初预算数为</w:t>
      </w:r>
      <w:r>
        <w:rPr>
          <w:rFonts w:hint="eastAsia" w:ascii="仿宋" w:hAnsi="仿宋" w:eastAsia="仿宋" w:cs="仿宋"/>
          <w:color w:val="auto"/>
          <w:sz w:val="32"/>
          <w:szCs w:val="32"/>
          <w:lang w:val="en-US" w:eastAsia="zh-CN"/>
        </w:rPr>
        <w:t>4.88</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3.08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63.11</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人员调离及缴费基数调整</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住房保障支出</w:t>
      </w:r>
      <w:r>
        <w:rPr>
          <w:rFonts w:hint="eastAsia" w:ascii="仿宋" w:hAnsi="仿宋" w:eastAsia="仿宋" w:cs="仿宋"/>
          <w:color w:val="auto"/>
          <w:sz w:val="32"/>
          <w:szCs w:val="32"/>
        </w:rPr>
        <w:t>年初预算数为</w:t>
      </w:r>
      <w:r>
        <w:rPr>
          <w:rFonts w:hint="eastAsia" w:ascii="仿宋" w:hAnsi="仿宋" w:eastAsia="仿宋" w:cs="仿宋"/>
          <w:color w:val="auto"/>
          <w:sz w:val="32"/>
          <w:szCs w:val="32"/>
          <w:lang w:val="en-US" w:eastAsia="zh-CN"/>
        </w:rPr>
        <w:t>10.44</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10.44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加快预算执行</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四、一般公共预算财政拨款基本支出决算情况说明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年度一般公共预算财政拨款基本支出</w:t>
      </w:r>
      <w:r>
        <w:rPr>
          <w:rFonts w:hint="eastAsia" w:ascii="仿宋" w:hAnsi="仿宋" w:eastAsia="仿宋" w:cs="仿宋"/>
          <w:color w:val="auto"/>
          <w:sz w:val="32"/>
          <w:szCs w:val="32"/>
          <w:lang w:val="en-US" w:eastAsia="zh-CN"/>
        </w:rPr>
        <w:t>239.46</w:t>
      </w:r>
      <w:r>
        <w:rPr>
          <w:rFonts w:hint="eastAsia" w:ascii="仿宋" w:hAnsi="仿宋" w:eastAsia="仿宋" w:cs="仿宋"/>
          <w:color w:val="auto"/>
          <w:sz w:val="32"/>
          <w:szCs w:val="32"/>
        </w:rPr>
        <w:t>万元，其中：</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工资福利支出</w:t>
      </w:r>
      <w:r>
        <w:rPr>
          <w:rFonts w:hint="eastAsia" w:ascii="仿宋" w:hAnsi="仿宋" w:eastAsia="仿宋" w:cs="仿宋"/>
          <w:color w:val="auto"/>
          <w:sz w:val="32"/>
          <w:szCs w:val="32"/>
          <w:lang w:val="en-US" w:eastAsia="zh-CN"/>
        </w:rPr>
        <w:t>207.86</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8.17</w:t>
      </w:r>
      <w:r>
        <w:rPr>
          <w:rFonts w:hint="eastAsia" w:ascii="仿宋" w:hAnsi="仿宋" w:eastAsia="仿宋" w:cs="仿宋"/>
          <w:color w:val="auto"/>
          <w:sz w:val="32"/>
          <w:szCs w:val="32"/>
        </w:rPr>
        <w:t xml:space="preserve"> 万元，增长</w:t>
      </w:r>
      <w:r>
        <w:rPr>
          <w:rFonts w:hint="eastAsia" w:ascii="仿宋" w:hAnsi="仿宋" w:eastAsia="仿宋" w:cs="仿宋"/>
          <w:color w:val="auto"/>
          <w:sz w:val="32"/>
          <w:szCs w:val="32"/>
          <w:lang w:val="en-US" w:eastAsia="zh-CN"/>
        </w:rPr>
        <w:t>4.09</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工资改革发放绩效工资，人员工资年度调整</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商品和服务支出 </w:t>
      </w:r>
      <w:r>
        <w:rPr>
          <w:rFonts w:hint="eastAsia" w:ascii="仿宋" w:hAnsi="仿宋" w:eastAsia="仿宋" w:cs="仿宋"/>
          <w:color w:val="auto"/>
          <w:sz w:val="32"/>
          <w:szCs w:val="32"/>
          <w:lang w:val="en-US" w:eastAsia="zh-CN"/>
        </w:rPr>
        <w:t>25.28</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6.49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34.54</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购买专用车辆后维护费增加</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对个人和家庭补助支出</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43.53</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93.96</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奖励支出改革，压降奖励支出</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资本性支出</w:t>
      </w:r>
      <w:r>
        <w:rPr>
          <w:rFonts w:hint="eastAsia" w:ascii="仿宋" w:hAnsi="仿宋" w:eastAsia="仿宋" w:cs="仿宋"/>
          <w:color w:val="auto"/>
          <w:sz w:val="32"/>
          <w:szCs w:val="32"/>
          <w:lang w:val="en-US" w:eastAsia="zh-CN"/>
        </w:rPr>
        <w:t>3.52</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3.52</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购买应急车辆购置税等费用</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五、财政拨款“三公”经费支出决算情况说明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年度财政拨款“三公”经费支出</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预算数为</w:t>
      </w:r>
      <w:r>
        <w:rPr>
          <w:rFonts w:hint="eastAsia" w:ascii="仿宋" w:hAnsi="仿宋" w:eastAsia="仿宋" w:cs="仿宋"/>
          <w:b w:val="0"/>
          <w:bCs w:val="0"/>
          <w:color w:val="auto"/>
          <w:sz w:val="32"/>
          <w:szCs w:val="32"/>
          <w:lang w:val="en-US" w:eastAsia="zh-CN"/>
        </w:rPr>
        <w:t>58.71</w:t>
      </w:r>
      <w:r>
        <w:rPr>
          <w:rFonts w:hint="eastAsia" w:ascii="仿宋" w:hAnsi="仿宋" w:eastAsia="仿宋" w:cs="仿宋"/>
          <w:b w:val="0"/>
          <w:bCs w:val="0"/>
          <w:color w:val="auto"/>
          <w:sz w:val="32"/>
          <w:szCs w:val="32"/>
        </w:rPr>
        <w:t xml:space="preserve"> 万元，决算数为</w:t>
      </w:r>
      <w:r>
        <w:rPr>
          <w:rFonts w:hint="eastAsia" w:ascii="仿宋" w:hAnsi="仿宋" w:eastAsia="仿宋" w:cs="仿宋"/>
          <w:b w:val="0"/>
          <w:bCs w:val="0"/>
          <w:color w:val="auto"/>
          <w:sz w:val="32"/>
          <w:szCs w:val="32"/>
          <w:lang w:val="en-US" w:eastAsia="zh-CN"/>
        </w:rPr>
        <w:t>58.71</w:t>
      </w:r>
      <w:r>
        <w:rPr>
          <w:rFonts w:hint="eastAsia" w:ascii="仿宋" w:hAnsi="仿宋" w:eastAsia="仿宋" w:cs="仿宋"/>
          <w:b w:val="0"/>
          <w:bCs w:val="0"/>
          <w:color w:val="auto"/>
          <w:sz w:val="32"/>
          <w:szCs w:val="32"/>
        </w:rPr>
        <w:t>万元，完成</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预算的</w:t>
      </w:r>
      <w:r>
        <w:rPr>
          <w:rFonts w:hint="eastAsia" w:ascii="仿宋" w:hAnsi="仿宋" w:eastAsia="仿宋" w:cs="仿宋"/>
          <w:b w:val="0"/>
          <w:bCs w:val="0"/>
          <w:color w:val="auto"/>
          <w:sz w:val="32"/>
          <w:szCs w:val="32"/>
          <w:lang w:val="en-US" w:eastAsia="zh-CN"/>
        </w:rPr>
        <w:t>100</w:t>
      </w:r>
      <w:r>
        <w:rPr>
          <w:rFonts w:hint="eastAsia" w:ascii="仿宋" w:hAnsi="仿宋" w:eastAsia="仿宋" w:cs="仿宋"/>
          <w:b w:val="0"/>
          <w:bCs w:val="0"/>
          <w:color w:val="auto"/>
          <w:sz w:val="32"/>
          <w:szCs w:val="32"/>
        </w:rPr>
        <w:t>%，决算数较20</w:t>
      </w:r>
      <w:r>
        <w:rPr>
          <w:rFonts w:hint="eastAsia" w:ascii="仿宋" w:hAnsi="仿宋" w:eastAsia="仿宋" w:cs="仿宋"/>
          <w:b w:val="0"/>
          <w:bCs w:val="0"/>
          <w:color w:val="auto"/>
          <w:sz w:val="32"/>
          <w:szCs w:val="32"/>
          <w:lang w:val="en-US" w:eastAsia="zh-CN"/>
        </w:rPr>
        <w:t>21</w:t>
      </w:r>
      <w:r>
        <w:rPr>
          <w:rFonts w:hint="eastAsia" w:ascii="仿宋" w:hAnsi="仿宋" w:eastAsia="仿宋" w:cs="仿宋"/>
          <w:b w:val="0"/>
          <w:bCs w:val="0"/>
          <w:color w:val="auto"/>
          <w:sz w:val="32"/>
          <w:szCs w:val="32"/>
        </w:rPr>
        <w:t>年增加</w:t>
      </w:r>
      <w:r>
        <w:rPr>
          <w:rFonts w:hint="eastAsia" w:ascii="仿宋" w:hAnsi="仿宋" w:eastAsia="仿宋" w:cs="仿宋"/>
          <w:b w:val="0"/>
          <w:bCs w:val="0"/>
          <w:color w:val="auto"/>
          <w:sz w:val="32"/>
          <w:szCs w:val="32"/>
          <w:lang w:val="en-US" w:eastAsia="zh-CN"/>
        </w:rPr>
        <w:t>25.25</w:t>
      </w:r>
      <w:r>
        <w:rPr>
          <w:rFonts w:hint="eastAsia" w:ascii="仿宋" w:hAnsi="仿宋" w:eastAsia="仿宋" w:cs="仿宋"/>
          <w:b w:val="0"/>
          <w:bCs w:val="0"/>
          <w:color w:val="auto"/>
          <w:sz w:val="32"/>
          <w:szCs w:val="32"/>
        </w:rPr>
        <w:t>万元，增长</w:t>
      </w:r>
      <w:r>
        <w:rPr>
          <w:rFonts w:hint="eastAsia" w:ascii="仿宋" w:hAnsi="仿宋" w:eastAsia="仿宋" w:cs="仿宋"/>
          <w:b w:val="0"/>
          <w:bCs w:val="0"/>
          <w:color w:val="auto"/>
          <w:sz w:val="32"/>
          <w:szCs w:val="32"/>
          <w:lang w:val="en-US" w:eastAsia="zh-CN"/>
        </w:rPr>
        <w:t>76.89</w:t>
      </w:r>
      <w:r>
        <w:rPr>
          <w:rFonts w:hint="eastAsia" w:ascii="仿宋" w:hAnsi="仿宋" w:eastAsia="仿宋" w:cs="仿宋"/>
          <w:b w:val="0"/>
          <w:bCs w:val="0"/>
          <w:color w:val="auto"/>
          <w:sz w:val="32"/>
          <w:szCs w:val="32"/>
        </w:rPr>
        <w:t>%，其中：</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因公出国（境）支出</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万元，决算数为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万元，完成</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预算的</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%，决算数较20</w:t>
      </w:r>
      <w:r>
        <w:rPr>
          <w:rFonts w:hint="eastAsia" w:ascii="仿宋" w:hAnsi="仿宋" w:eastAsia="仿宋" w:cs="仿宋"/>
          <w:b w:val="0"/>
          <w:bCs w:val="0"/>
          <w:color w:val="auto"/>
          <w:sz w:val="32"/>
          <w:szCs w:val="32"/>
          <w:lang w:val="en-US" w:eastAsia="zh-CN"/>
        </w:rPr>
        <w:t>21</w:t>
      </w:r>
      <w:r>
        <w:rPr>
          <w:rFonts w:hint="eastAsia" w:ascii="仿宋" w:hAnsi="仿宋" w:eastAsia="仿宋" w:cs="仿宋"/>
          <w:b w:val="0"/>
          <w:bCs w:val="0"/>
          <w:color w:val="auto"/>
          <w:sz w:val="32"/>
          <w:szCs w:val="32"/>
        </w:rPr>
        <w:t>年增加（减少）  万元，增长（下降）</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主要原因是本部门2022年无出国出境计划</w:t>
      </w:r>
      <w:r>
        <w:rPr>
          <w:rFonts w:hint="eastAsia" w:ascii="仿宋" w:hAnsi="仿宋" w:eastAsia="仿宋" w:cs="仿宋"/>
          <w:b w:val="0"/>
          <w:bCs w:val="0"/>
          <w:color w:val="auto"/>
          <w:sz w:val="32"/>
          <w:szCs w:val="32"/>
        </w:rPr>
        <w:t>。决算数较</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预算数增加（减少）的主要原因是：</w:t>
      </w:r>
      <w:r>
        <w:rPr>
          <w:rFonts w:hint="eastAsia" w:ascii="仿宋" w:hAnsi="仿宋" w:eastAsia="仿宋" w:cs="仿宋"/>
          <w:b w:val="0"/>
          <w:bCs w:val="0"/>
          <w:color w:val="auto"/>
          <w:sz w:val="32"/>
          <w:szCs w:val="32"/>
          <w:lang w:val="en-US" w:eastAsia="zh-CN"/>
        </w:rPr>
        <w:t>本部门2022年无出国出境计划</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全年安排因公出国（境）团组0个，累计0人次，主要为：本部门2022年无出国出境计划</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公务接待费支出</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预算数为</w:t>
      </w:r>
      <w:r>
        <w:rPr>
          <w:rFonts w:hint="eastAsia" w:ascii="仿宋" w:hAnsi="仿宋" w:eastAsia="仿宋" w:cs="仿宋"/>
          <w:b w:val="0"/>
          <w:bCs w:val="0"/>
          <w:color w:val="auto"/>
          <w:sz w:val="32"/>
          <w:szCs w:val="32"/>
          <w:lang w:val="en-US" w:eastAsia="zh-CN"/>
        </w:rPr>
        <w:t>0.17</w:t>
      </w:r>
      <w:r>
        <w:rPr>
          <w:rFonts w:hint="eastAsia" w:ascii="仿宋" w:hAnsi="仿宋" w:eastAsia="仿宋" w:cs="仿宋"/>
          <w:b w:val="0"/>
          <w:bCs w:val="0"/>
          <w:color w:val="auto"/>
          <w:sz w:val="32"/>
          <w:szCs w:val="32"/>
        </w:rPr>
        <w:t>万元，决算数为</w:t>
      </w:r>
      <w:r>
        <w:rPr>
          <w:rFonts w:hint="eastAsia" w:ascii="仿宋" w:hAnsi="仿宋" w:eastAsia="仿宋" w:cs="仿宋"/>
          <w:b w:val="0"/>
          <w:bCs w:val="0"/>
          <w:color w:val="auto"/>
          <w:sz w:val="32"/>
          <w:szCs w:val="32"/>
          <w:lang w:val="en-US" w:eastAsia="zh-CN"/>
        </w:rPr>
        <w:t>0.17</w:t>
      </w:r>
      <w:r>
        <w:rPr>
          <w:rFonts w:hint="eastAsia" w:ascii="仿宋" w:hAnsi="仿宋" w:eastAsia="仿宋" w:cs="仿宋"/>
          <w:b w:val="0"/>
          <w:bCs w:val="0"/>
          <w:color w:val="auto"/>
          <w:sz w:val="32"/>
          <w:szCs w:val="32"/>
        </w:rPr>
        <w:t>万元，完成</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预算的</w:t>
      </w:r>
      <w:r>
        <w:rPr>
          <w:rFonts w:hint="eastAsia" w:ascii="仿宋" w:hAnsi="仿宋" w:eastAsia="仿宋" w:cs="仿宋"/>
          <w:b w:val="0"/>
          <w:bCs w:val="0"/>
          <w:color w:val="auto"/>
          <w:sz w:val="32"/>
          <w:szCs w:val="32"/>
          <w:lang w:val="en-US" w:eastAsia="zh-CN"/>
        </w:rPr>
        <w:t>100</w:t>
      </w:r>
      <w:r>
        <w:rPr>
          <w:rFonts w:hint="eastAsia" w:ascii="仿宋" w:hAnsi="仿宋" w:eastAsia="仿宋" w:cs="仿宋"/>
          <w:b w:val="0"/>
          <w:bCs w:val="0"/>
          <w:color w:val="auto"/>
          <w:sz w:val="32"/>
          <w:szCs w:val="32"/>
        </w:rPr>
        <w:t>%，决算数较20</w:t>
      </w:r>
      <w:r>
        <w:rPr>
          <w:rFonts w:hint="eastAsia" w:ascii="仿宋" w:hAnsi="仿宋" w:eastAsia="仿宋" w:cs="仿宋"/>
          <w:b w:val="0"/>
          <w:bCs w:val="0"/>
          <w:color w:val="auto"/>
          <w:sz w:val="32"/>
          <w:szCs w:val="32"/>
          <w:lang w:val="en-US" w:eastAsia="zh-CN"/>
        </w:rPr>
        <w:t>21</w:t>
      </w:r>
      <w:r>
        <w:rPr>
          <w:rFonts w:hint="eastAsia" w:ascii="仿宋" w:hAnsi="仿宋" w:eastAsia="仿宋" w:cs="仿宋"/>
          <w:b w:val="0"/>
          <w:bCs w:val="0"/>
          <w:color w:val="auto"/>
          <w:sz w:val="32"/>
          <w:szCs w:val="32"/>
        </w:rPr>
        <w:t>年减少</w:t>
      </w:r>
      <w:r>
        <w:rPr>
          <w:rFonts w:hint="eastAsia" w:ascii="仿宋" w:hAnsi="仿宋" w:eastAsia="仿宋" w:cs="仿宋"/>
          <w:b w:val="0"/>
          <w:bCs w:val="0"/>
          <w:color w:val="auto"/>
          <w:sz w:val="32"/>
          <w:szCs w:val="32"/>
          <w:lang w:val="en-US" w:eastAsia="zh-CN"/>
        </w:rPr>
        <w:t>0.34</w:t>
      </w:r>
      <w:r>
        <w:rPr>
          <w:rFonts w:hint="eastAsia" w:ascii="仿宋" w:hAnsi="仿宋" w:eastAsia="仿宋" w:cs="仿宋"/>
          <w:b w:val="0"/>
          <w:bCs w:val="0"/>
          <w:color w:val="auto"/>
          <w:sz w:val="32"/>
          <w:szCs w:val="32"/>
        </w:rPr>
        <w:t>万元，下降</w:t>
      </w:r>
      <w:r>
        <w:rPr>
          <w:rFonts w:hint="eastAsia" w:ascii="仿宋" w:hAnsi="仿宋" w:eastAsia="仿宋" w:cs="仿宋"/>
          <w:b w:val="0"/>
          <w:bCs w:val="0"/>
          <w:color w:val="auto"/>
          <w:sz w:val="32"/>
          <w:szCs w:val="32"/>
          <w:lang w:val="en-US" w:eastAsia="zh-CN"/>
        </w:rPr>
        <w:t>66.67</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主要原因是</w:t>
      </w:r>
      <w:r>
        <w:rPr>
          <w:rFonts w:hint="eastAsia" w:ascii="仿宋" w:hAnsi="仿宋" w:eastAsia="仿宋" w:cs="仿宋"/>
          <w:b w:val="0"/>
          <w:bCs w:val="0"/>
          <w:color w:val="auto"/>
          <w:sz w:val="32"/>
          <w:szCs w:val="32"/>
        </w:rPr>
        <w:t>落实过紧日子要求压减</w:t>
      </w:r>
      <w:r>
        <w:rPr>
          <w:rFonts w:hint="eastAsia" w:ascii="仿宋" w:hAnsi="仿宋" w:eastAsia="仿宋" w:cs="仿宋"/>
          <w:b w:val="0"/>
          <w:bCs w:val="0"/>
          <w:color w:val="auto"/>
          <w:sz w:val="32"/>
          <w:szCs w:val="32"/>
          <w:lang w:val="en-US" w:eastAsia="zh-CN"/>
        </w:rPr>
        <w:t>一般性</w:t>
      </w:r>
      <w:r>
        <w:rPr>
          <w:rFonts w:hint="eastAsia" w:ascii="仿宋" w:hAnsi="仿宋" w:eastAsia="仿宋" w:cs="仿宋"/>
          <w:b w:val="0"/>
          <w:bCs w:val="0"/>
          <w:color w:val="auto"/>
          <w:sz w:val="32"/>
          <w:szCs w:val="32"/>
        </w:rPr>
        <w:t>支出。决算数较</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预算数减少的主要原因是：落实过紧日子要求压减</w:t>
      </w:r>
      <w:r>
        <w:rPr>
          <w:rFonts w:hint="eastAsia" w:ascii="仿宋" w:hAnsi="仿宋" w:eastAsia="仿宋" w:cs="仿宋"/>
          <w:b w:val="0"/>
          <w:bCs w:val="0"/>
          <w:color w:val="auto"/>
          <w:sz w:val="32"/>
          <w:szCs w:val="32"/>
          <w:lang w:val="en-US" w:eastAsia="zh-CN"/>
        </w:rPr>
        <w:t>一般性</w:t>
      </w:r>
      <w:r>
        <w:rPr>
          <w:rFonts w:hint="eastAsia" w:ascii="仿宋" w:hAnsi="仿宋" w:eastAsia="仿宋" w:cs="仿宋"/>
          <w:b w:val="0"/>
          <w:bCs w:val="0"/>
          <w:color w:val="auto"/>
          <w:sz w:val="32"/>
          <w:szCs w:val="32"/>
        </w:rPr>
        <w:t>支出。</w:t>
      </w:r>
      <w:r>
        <w:rPr>
          <w:rFonts w:hint="eastAsia" w:ascii="仿宋" w:hAnsi="仿宋" w:eastAsia="仿宋" w:cs="仿宋"/>
          <w:b w:val="0"/>
          <w:bCs w:val="0"/>
          <w:color w:val="auto"/>
          <w:sz w:val="32"/>
          <w:szCs w:val="32"/>
          <w:lang w:val="en-US" w:eastAsia="zh-CN"/>
        </w:rPr>
        <w:t>全年国内公务接待3批，累计接待15人次，其中外事接待0批，累计接待0人次，主要为：本部门无外事接待</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公务用车购置及运行维护费支出</w:t>
      </w:r>
      <w:r>
        <w:rPr>
          <w:rFonts w:hint="eastAsia" w:ascii="仿宋" w:hAnsi="仿宋" w:eastAsia="仿宋" w:cs="仿宋"/>
          <w:b w:val="0"/>
          <w:bCs w:val="0"/>
          <w:color w:val="auto"/>
          <w:sz w:val="32"/>
          <w:szCs w:val="32"/>
          <w:lang w:val="en-US" w:eastAsia="zh-CN"/>
        </w:rPr>
        <w:t>58.54</w:t>
      </w:r>
      <w:r>
        <w:rPr>
          <w:rFonts w:hint="eastAsia" w:ascii="仿宋" w:hAnsi="仿宋" w:eastAsia="仿宋" w:cs="仿宋"/>
          <w:b w:val="0"/>
          <w:bCs w:val="0"/>
          <w:color w:val="auto"/>
          <w:sz w:val="32"/>
          <w:szCs w:val="32"/>
        </w:rPr>
        <w:t>万元，其中公务用车购置</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预算数为</w:t>
      </w:r>
      <w:r>
        <w:rPr>
          <w:rFonts w:hint="eastAsia" w:ascii="仿宋" w:hAnsi="仿宋" w:eastAsia="仿宋" w:cs="仿宋"/>
          <w:b w:val="0"/>
          <w:bCs w:val="0"/>
          <w:color w:val="auto"/>
          <w:sz w:val="32"/>
          <w:szCs w:val="32"/>
          <w:lang w:val="en-US" w:eastAsia="zh-CN"/>
        </w:rPr>
        <w:t>43.32</w:t>
      </w:r>
      <w:r>
        <w:rPr>
          <w:rFonts w:hint="eastAsia" w:ascii="仿宋" w:hAnsi="仿宋" w:eastAsia="仿宋" w:cs="仿宋"/>
          <w:b w:val="0"/>
          <w:bCs w:val="0"/>
          <w:color w:val="auto"/>
          <w:sz w:val="32"/>
          <w:szCs w:val="32"/>
        </w:rPr>
        <w:t>万元，决算数为</w:t>
      </w:r>
      <w:r>
        <w:rPr>
          <w:rFonts w:hint="eastAsia" w:ascii="仿宋" w:hAnsi="仿宋" w:eastAsia="仿宋" w:cs="仿宋"/>
          <w:b w:val="0"/>
          <w:bCs w:val="0"/>
          <w:color w:val="auto"/>
          <w:sz w:val="32"/>
          <w:szCs w:val="32"/>
          <w:lang w:val="en-US" w:eastAsia="zh-CN"/>
        </w:rPr>
        <w:t>43.32</w:t>
      </w:r>
      <w:r>
        <w:rPr>
          <w:rFonts w:hint="eastAsia" w:ascii="仿宋" w:hAnsi="仿宋" w:eastAsia="仿宋" w:cs="仿宋"/>
          <w:b w:val="0"/>
          <w:bCs w:val="0"/>
          <w:color w:val="auto"/>
          <w:sz w:val="32"/>
          <w:szCs w:val="32"/>
        </w:rPr>
        <w:t>万元，完成</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预算的</w:t>
      </w:r>
      <w:r>
        <w:rPr>
          <w:rFonts w:hint="eastAsia" w:ascii="仿宋" w:hAnsi="仿宋" w:eastAsia="仿宋" w:cs="仿宋"/>
          <w:b w:val="0"/>
          <w:bCs w:val="0"/>
          <w:color w:val="auto"/>
          <w:sz w:val="32"/>
          <w:szCs w:val="32"/>
          <w:lang w:val="en-US" w:eastAsia="zh-CN"/>
        </w:rPr>
        <w:t>100</w:t>
      </w:r>
      <w:r>
        <w:rPr>
          <w:rFonts w:hint="eastAsia" w:ascii="仿宋" w:hAnsi="仿宋" w:eastAsia="仿宋" w:cs="仿宋"/>
          <w:b w:val="0"/>
          <w:bCs w:val="0"/>
          <w:color w:val="auto"/>
          <w:sz w:val="32"/>
          <w:szCs w:val="32"/>
        </w:rPr>
        <w:t>%，决算数较20</w:t>
      </w:r>
      <w:r>
        <w:rPr>
          <w:rFonts w:hint="eastAsia" w:ascii="仿宋" w:hAnsi="仿宋" w:eastAsia="仿宋" w:cs="仿宋"/>
          <w:b w:val="0"/>
          <w:bCs w:val="0"/>
          <w:color w:val="auto"/>
          <w:sz w:val="32"/>
          <w:szCs w:val="32"/>
          <w:lang w:val="en-US" w:eastAsia="zh-CN"/>
        </w:rPr>
        <w:t>21</w:t>
      </w:r>
      <w:r>
        <w:rPr>
          <w:rFonts w:hint="eastAsia" w:ascii="仿宋" w:hAnsi="仿宋" w:eastAsia="仿宋" w:cs="仿宋"/>
          <w:b w:val="0"/>
          <w:bCs w:val="0"/>
          <w:color w:val="auto"/>
          <w:sz w:val="32"/>
          <w:szCs w:val="32"/>
        </w:rPr>
        <w:t>年增加</w:t>
      </w:r>
      <w:r>
        <w:rPr>
          <w:rFonts w:hint="eastAsia" w:ascii="仿宋" w:hAnsi="仿宋" w:eastAsia="仿宋" w:cs="仿宋"/>
          <w:b w:val="0"/>
          <w:bCs w:val="0"/>
          <w:color w:val="auto"/>
          <w:sz w:val="32"/>
          <w:szCs w:val="32"/>
          <w:lang w:val="en-US" w:eastAsia="zh-CN"/>
        </w:rPr>
        <w:t>18.52</w:t>
      </w:r>
      <w:r>
        <w:rPr>
          <w:rFonts w:hint="eastAsia" w:ascii="仿宋" w:hAnsi="仿宋" w:eastAsia="仿宋" w:cs="仿宋"/>
          <w:b w:val="0"/>
          <w:bCs w:val="0"/>
          <w:color w:val="auto"/>
          <w:sz w:val="32"/>
          <w:szCs w:val="32"/>
        </w:rPr>
        <w:t>万元，增长</w:t>
      </w:r>
      <w:r>
        <w:rPr>
          <w:rFonts w:hint="eastAsia" w:ascii="仿宋" w:hAnsi="仿宋" w:eastAsia="仿宋" w:cs="仿宋"/>
          <w:b w:val="0"/>
          <w:bCs w:val="0"/>
          <w:color w:val="auto"/>
          <w:sz w:val="32"/>
          <w:szCs w:val="32"/>
          <w:lang w:val="en-US" w:eastAsia="zh-CN"/>
        </w:rPr>
        <w:t>74.68</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主要原因是按照应急要求配备应急车辆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全年购置公务用车1辆</w:t>
      </w:r>
      <w:r>
        <w:rPr>
          <w:rFonts w:hint="eastAsia" w:ascii="仿宋" w:hAnsi="仿宋" w:eastAsia="仿宋" w:cs="仿宋"/>
          <w:b w:val="0"/>
          <w:bCs w:val="0"/>
          <w:color w:val="auto"/>
          <w:sz w:val="32"/>
          <w:szCs w:val="32"/>
        </w:rPr>
        <w:t>。决算数较</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预算数增加（减少）的主要原因是：</w:t>
      </w:r>
      <w:r>
        <w:rPr>
          <w:rFonts w:hint="eastAsia" w:ascii="仿宋" w:hAnsi="仿宋" w:eastAsia="仿宋" w:cs="仿宋"/>
          <w:b w:val="0"/>
          <w:bCs w:val="0"/>
          <w:color w:val="auto"/>
          <w:sz w:val="32"/>
          <w:szCs w:val="32"/>
          <w:lang w:val="en-US" w:eastAsia="zh-CN"/>
        </w:rPr>
        <w:t>按照应急要求配备应急车辆</w:t>
      </w:r>
      <w:r>
        <w:rPr>
          <w:rFonts w:hint="eastAsia" w:ascii="仿宋" w:hAnsi="仿宋" w:eastAsia="仿宋" w:cs="仿宋"/>
          <w:b w:val="0"/>
          <w:bCs w:val="0"/>
          <w:color w:val="auto"/>
          <w:sz w:val="32"/>
          <w:szCs w:val="32"/>
        </w:rPr>
        <w:t>；公务用车运行维护费支出</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预算数为</w:t>
      </w:r>
      <w:r>
        <w:rPr>
          <w:rFonts w:hint="eastAsia" w:ascii="仿宋" w:hAnsi="仿宋" w:eastAsia="仿宋" w:cs="仿宋"/>
          <w:b w:val="0"/>
          <w:bCs w:val="0"/>
          <w:color w:val="auto"/>
          <w:sz w:val="32"/>
          <w:szCs w:val="32"/>
          <w:lang w:val="en-US" w:eastAsia="zh-CN"/>
        </w:rPr>
        <w:t>15.22</w:t>
      </w:r>
      <w:r>
        <w:rPr>
          <w:rFonts w:hint="eastAsia" w:ascii="仿宋" w:hAnsi="仿宋" w:eastAsia="仿宋" w:cs="仿宋"/>
          <w:b w:val="0"/>
          <w:bCs w:val="0"/>
          <w:color w:val="auto"/>
          <w:sz w:val="32"/>
          <w:szCs w:val="32"/>
        </w:rPr>
        <w:t>万元，决算数为</w:t>
      </w:r>
      <w:r>
        <w:rPr>
          <w:rFonts w:hint="eastAsia" w:ascii="仿宋" w:hAnsi="仿宋" w:eastAsia="仿宋" w:cs="仿宋"/>
          <w:b w:val="0"/>
          <w:bCs w:val="0"/>
          <w:color w:val="auto"/>
          <w:sz w:val="32"/>
          <w:szCs w:val="32"/>
          <w:lang w:val="en-US" w:eastAsia="zh-CN"/>
        </w:rPr>
        <w:t>15.22</w:t>
      </w:r>
      <w:r>
        <w:rPr>
          <w:rFonts w:hint="eastAsia" w:ascii="仿宋" w:hAnsi="仿宋" w:eastAsia="仿宋" w:cs="仿宋"/>
          <w:b w:val="0"/>
          <w:bCs w:val="0"/>
          <w:color w:val="auto"/>
          <w:sz w:val="32"/>
          <w:szCs w:val="32"/>
        </w:rPr>
        <w:t>万元，完成</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预算的</w:t>
      </w:r>
      <w:r>
        <w:rPr>
          <w:rFonts w:hint="eastAsia" w:ascii="仿宋" w:hAnsi="仿宋" w:eastAsia="仿宋" w:cs="仿宋"/>
          <w:b w:val="0"/>
          <w:bCs w:val="0"/>
          <w:color w:val="auto"/>
          <w:sz w:val="32"/>
          <w:szCs w:val="32"/>
          <w:lang w:val="en-US" w:eastAsia="zh-CN"/>
        </w:rPr>
        <w:t>100</w:t>
      </w:r>
      <w:r>
        <w:rPr>
          <w:rFonts w:hint="eastAsia" w:ascii="仿宋" w:hAnsi="仿宋" w:eastAsia="仿宋" w:cs="仿宋"/>
          <w:b w:val="0"/>
          <w:bCs w:val="0"/>
          <w:color w:val="auto"/>
          <w:sz w:val="32"/>
          <w:szCs w:val="32"/>
        </w:rPr>
        <w:t>%，决算数较20</w:t>
      </w:r>
      <w:r>
        <w:rPr>
          <w:rFonts w:hint="eastAsia" w:ascii="仿宋" w:hAnsi="仿宋" w:eastAsia="仿宋" w:cs="仿宋"/>
          <w:b w:val="0"/>
          <w:bCs w:val="0"/>
          <w:color w:val="auto"/>
          <w:sz w:val="32"/>
          <w:szCs w:val="32"/>
          <w:lang w:val="en-US" w:eastAsia="zh-CN"/>
        </w:rPr>
        <w:t>21</w:t>
      </w:r>
      <w:r>
        <w:rPr>
          <w:rFonts w:hint="eastAsia" w:ascii="仿宋" w:hAnsi="仿宋" w:eastAsia="仿宋" w:cs="仿宋"/>
          <w:b w:val="0"/>
          <w:bCs w:val="0"/>
          <w:color w:val="auto"/>
          <w:sz w:val="32"/>
          <w:szCs w:val="32"/>
        </w:rPr>
        <w:t>年增加</w:t>
      </w:r>
      <w:r>
        <w:rPr>
          <w:rFonts w:hint="eastAsia" w:ascii="仿宋" w:hAnsi="仿宋" w:eastAsia="仿宋" w:cs="仿宋"/>
          <w:b w:val="0"/>
          <w:bCs w:val="0"/>
          <w:color w:val="auto"/>
          <w:sz w:val="32"/>
          <w:szCs w:val="32"/>
          <w:lang w:val="en-US" w:eastAsia="zh-CN"/>
        </w:rPr>
        <w:t>7.34</w:t>
      </w:r>
      <w:r>
        <w:rPr>
          <w:rFonts w:hint="eastAsia" w:ascii="仿宋" w:hAnsi="仿宋" w:eastAsia="仿宋" w:cs="仿宋"/>
          <w:b w:val="0"/>
          <w:bCs w:val="0"/>
          <w:color w:val="auto"/>
          <w:sz w:val="32"/>
          <w:szCs w:val="32"/>
        </w:rPr>
        <w:t>万元，增长</w:t>
      </w:r>
      <w:r>
        <w:rPr>
          <w:rFonts w:hint="eastAsia" w:ascii="仿宋" w:hAnsi="仿宋" w:eastAsia="仿宋" w:cs="仿宋"/>
          <w:b w:val="0"/>
          <w:bCs w:val="0"/>
          <w:color w:val="auto"/>
          <w:sz w:val="32"/>
          <w:szCs w:val="32"/>
          <w:lang w:val="en-US" w:eastAsia="zh-CN"/>
        </w:rPr>
        <w:t>93.15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主要原因是新增车辆的维护支出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年末公务用车保有5辆</w:t>
      </w:r>
      <w:r>
        <w:rPr>
          <w:rFonts w:hint="eastAsia" w:ascii="仿宋" w:hAnsi="仿宋" w:eastAsia="仿宋" w:cs="仿宋"/>
          <w:b w:val="0"/>
          <w:bCs w:val="0"/>
          <w:color w:val="auto"/>
          <w:sz w:val="32"/>
          <w:szCs w:val="32"/>
        </w:rPr>
        <w:t>。决算数较</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rPr>
        <w:t>预算数增加（减少）的主要原因是：</w:t>
      </w:r>
      <w:r>
        <w:rPr>
          <w:rFonts w:hint="eastAsia" w:ascii="仿宋" w:hAnsi="仿宋" w:eastAsia="仿宋" w:cs="仿宋"/>
          <w:b w:val="0"/>
          <w:bCs w:val="0"/>
          <w:color w:val="auto"/>
          <w:sz w:val="32"/>
          <w:szCs w:val="32"/>
          <w:lang w:val="en-US" w:eastAsia="zh-CN"/>
        </w:rPr>
        <w:t>按照应急要求配备应急车辆</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六、机关运行经费支出情况说明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本部门202</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年度机关运行经费支出</w:t>
      </w:r>
      <w:r>
        <w:rPr>
          <w:rFonts w:hint="eastAsia" w:ascii="仿宋" w:hAnsi="仿宋" w:eastAsia="仿宋" w:cs="仿宋"/>
          <w:b w:val="0"/>
          <w:bCs w:val="0"/>
          <w:color w:val="auto"/>
          <w:sz w:val="32"/>
          <w:szCs w:val="32"/>
          <w:lang w:val="en-US" w:eastAsia="zh-CN"/>
        </w:rPr>
        <w:t>28.8</w:t>
      </w:r>
      <w:r>
        <w:rPr>
          <w:rFonts w:hint="eastAsia" w:ascii="仿宋" w:hAnsi="仿宋" w:eastAsia="仿宋" w:cs="仿宋"/>
          <w:b w:val="0"/>
          <w:bCs w:val="0"/>
          <w:color w:val="auto"/>
          <w:sz w:val="32"/>
          <w:szCs w:val="32"/>
        </w:rPr>
        <w:t>万元（与部门决算中行政单位和参照公务员法管理事业单位财政拨款基本支出中公用经费之和一致），较</w:t>
      </w:r>
      <w:r>
        <w:rPr>
          <w:rFonts w:hint="eastAsia" w:ascii="仿宋" w:hAnsi="仿宋" w:eastAsia="仿宋" w:cs="仿宋"/>
          <w:b w:val="0"/>
          <w:bCs w:val="0"/>
          <w:color w:val="auto"/>
          <w:sz w:val="32"/>
          <w:szCs w:val="32"/>
          <w:lang w:val="en-US" w:eastAsia="zh-CN"/>
        </w:rPr>
        <w:t>上年决算数</w:t>
      </w:r>
      <w:r>
        <w:rPr>
          <w:rFonts w:hint="eastAsia" w:ascii="仿宋" w:hAnsi="仿宋" w:eastAsia="仿宋" w:cs="仿宋"/>
          <w:b w:val="0"/>
          <w:bCs w:val="0"/>
          <w:color w:val="auto"/>
          <w:sz w:val="32"/>
          <w:szCs w:val="32"/>
        </w:rPr>
        <w:t>增加</w:t>
      </w:r>
      <w:r>
        <w:rPr>
          <w:rFonts w:hint="eastAsia" w:ascii="仿宋" w:hAnsi="仿宋" w:eastAsia="仿宋" w:cs="仿宋"/>
          <w:b w:val="0"/>
          <w:bCs w:val="0"/>
          <w:color w:val="auto"/>
          <w:sz w:val="32"/>
          <w:szCs w:val="32"/>
          <w:lang w:val="en-US" w:eastAsia="zh-CN"/>
        </w:rPr>
        <w:t>10.1</w:t>
      </w:r>
      <w:r>
        <w:rPr>
          <w:rFonts w:hint="eastAsia" w:ascii="仿宋" w:hAnsi="仿宋" w:eastAsia="仿宋" w:cs="仿宋"/>
          <w:b w:val="0"/>
          <w:bCs w:val="0"/>
          <w:color w:val="auto"/>
          <w:sz w:val="32"/>
          <w:szCs w:val="32"/>
        </w:rPr>
        <w:t>万元，增长</w:t>
      </w:r>
      <w:r>
        <w:rPr>
          <w:rFonts w:hint="eastAsia" w:ascii="仿宋" w:hAnsi="仿宋" w:eastAsia="仿宋" w:cs="仿宋"/>
          <w:b w:val="0"/>
          <w:bCs w:val="0"/>
          <w:color w:val="auto"/>
          <w:sz w:val="32"/>
          <w:szCs w:val="32"/>
          <w:lang w:val="en-US" w:eastAsia="zh-CN"/>
        </w:rPr>
        <w:t>53.27</w:t>
      </w:r>
      <w:r>
        <w:rPr>
          <w:rFonts w:hint="eastAsia" w:ascii="仿宋" w:hAnsi="仿宋" w:eastAsia="仿宋" w:cs="仿宋"/>
          <w:b w:val="0"/>
          <w:bCs w:val="0"/>
          <w:color w:val="auto"/>
          <w:sz w:val="32"/>
          <w:szCs w:val="32"/>
        </w:rPr>
        <w:t>%，主要原因是：资产运行维护支出增加</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七、政府采购支出情况说明</w:t>
      </w:r>
    </w:p>
    <w:p>
      <w:pPr>
        <w:pStyle w:val="10"/>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本部门202</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年度政府采购支出总额</w:t>
      </w:r>
      <w:r>
        <w:rPr>
          <w:rFonts w:hint="eastAsia" w:ascii="仿宋" w:hAnsi="仿宋" w:eastAsia="仿宋" w:cs="仿宋"/>
          <w:b w:val="0"/>
          <w:bCs w:val="0"/>
          <w:color w:val="auto"/>
          <w:sz w:val="32"/>
          <w:szCs w:val="32"/>
          <w:lang w:val="en-US" w:eastAsia="zh-CN"/>
        </w:rPr>
        <w:t>373.63</w:t>
      </w:r>
      <w:r>
        <w:rPr>
          <w:rFonts w:hint="eastAsia" w:ascii="仿宋" w:hAnsi="仿宋" w:eastAsia="仿宋" w:cs="仿宋"/>
          <w:b w:val="0"/>
          <w:bCs w:val="0"/>
          <w:color w:val="auto"/>
          <w:sz w:val="32"/>
          <w:szCs w:val="32"/>
        </w:rPr>
        <w:t>万元，其中：政府采购货物支出</w:t>
      </w:r>
      <w:r>
        <w:rPr>
          <w:rFonts w:hint="eastAsia" w:ascii="仿宋" w:hAnsi="仿宋" w:eastAsia="仿宋" w:cs="仿宋"/>
          <w:b w:val="0"/>
          <w:bCs w:val="0"/>
          <w:color w:val="auto"/>
          <w:sz w:val="32"/>
          <w:szCs w:val="32"/>
          <w:lang w:val="en-US" w:eastAsia="zh-CN"/>
        </w:rPr>
        <w:t>357.12</w:t>
      </w:r>
      <w:r>
        <w:rPr>
          <w:rFonts w:hint="eastAsia" w:ascii="仿宋" w:hAnsi="仿宋" w:eastAsia="仿宋" w:cs="仿宋"/>
          <w:b w:val="0"/>
          <w:bCs w:val="0"/>
          <w:color w:val="auto"/>
          <w:sz w:val="32"/>
          <w:szCs w:val="32"/>
        </w:rPr>
        <w:t xml:space="preserve">万元、政府采购工程支出 </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万元、政府采购服务支出</w:t>
      </w:r>
      <w:r>
        <w:rPr>
          <w:rFonts w:hint="eastAsia" w:ascii="仿宋" w:hAnsi="仿宋" w:eastAsia="仿宋" w:cs="仿宋"/>
          <w:b w:val="0"/>
          <w:bCs w:val="0"/>
          <w:color w:val="auto"/>
          <w:sz w:val="32"/>
          <w:szCs w:val="32"/>
          <w:lang w:val="en-US" w:eastAsia="zh-CN"/>
        </w:rPr>
        <w:t>16.51</w:t>
      </w:r>
      <w:r>
        <w:rPr>
          <w:rFonts w:hint="eastAsia" w:ascii="仿宋" w:hAnsi="仿宋" w:eastAsia="仿宋" w:cs="仿宋"/>
          <w:b w:val="0"/>
          <w:bCs w:val="0"/>
          <w:color w:val="auto"/>
          <w:sz w:val="32"/>
          <w:szCs w:val="32"/>
        </w:rPr>
        <w:t>万元。授予中小企业合同金额</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 xml:space="preserve">万元，占政府采购支出总额的 </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%，其中：授予小微企业合同金额</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万元，占授予中小企业合同金额的</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；货物采购授予中小企业合同金额占货物支出金额的 0%，工程采购授予中小企业合同金额占工程支出金额的0 %，服务采购授予中小企业合同金额占服务支出金额的0%。</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八、国有资产占用情况说明</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截止202</w:t>
      </w: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年12月31日，本部门国有资产占用情况见</w:t>
      </w:r>
      <w:r>
        <w:rPr>
          <w:rFonts w:hint="eastAsia" w:ascii="仿宋" w:hAnsi="仿宋" w:eastAsia="仿宋" w:cs="仿宋"/>
          <w:b w:val="0"/>
          <w:bCs w:val="0"/>
          <w:color w:val="auto"/>
          <w:kern w:val="0"/>
          <w:sz w:val="32"/>
          <w:szCs w:val="32"/>
          <w:lang w:val="en-US" w:eastAsia="zh-CN"/>
        </w:rPr>
        <w:t>公开10</w:t>
      </w:r>
      <w:r>
        <w:rPr>
          <w:rFonts w:hint="eastAsia" w:ascii="仿宋" w:hAnsi="仿宋" w:eastAsia="仿宋" w:cs="仿宋"/>
          <w:b w:val="0"/>
          <w:bCs w:val="0"/>
          <w:color w:val="auto"/>
          <w:kern w:val="0"/>
          <w:sz w:val="32"/>
          <w:szCs w:val="32"/>
        </w:rPr>
        <w:t>表《国有资产占用情况表》。其中车辆中的其他用车主要是</w:t>
      </w:r>
      <w:r>
        <w:rPr>
          <w:rFonts w:hint="eastAsia" w:ascii="仿宋" w:hAnsi="仿宋" w:eastAsia="仿宋" w:cs="仿宋"/>
          <w:b w:val="0"/>
          <w:bCs w:val="0"/>
          <w:color w:val="auto"/>
          <w:kern w:val="0"/>
          <w:sz w:val="32"/>
          <w:szCs w:val="32"/>
          <w:lang w:val="en-US" w:eastAsia="zh-CN"/>
        </w:rPr>
        <w:t>本部门无其他用车</w:t>
      </w:r>
      <w:r>
        <w:rPr>
          <w:rFonts w:hint="eastAsia" w:ascii="仿宋" w:hAnsi="仿宋" w:eastAsia="仿宋" w:cs="仿宋"/>
          <w:b w:val="0"/>
          <w:bCs w:val="0"/>
          <w:color w:val="auto"/>
          <w:kern w:val="0"/>
          <w:sz w:val="32"/>
          <w:szCs w:val="32"/>
        </w:rPr>
        <w:t>。</w:t>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九、预算绩效</w:t>
      </w:r>
      <w:r>
        <w:rPr>
          <w:rFonts w:hint="eastAsia" w:ascii="黑体" w:hAnsi="黑体" w:eastAsia="黑体" w:cs="黑体"/>
          <w:b w:val="0"/>
          <w:bCs w:val="0"/>
          <w:color w:val="auto"/>
          <w:sz w:val="32"/>
          <w:szCs w:val="32"/>
          <w:lang w:val="en-US" w:eastAsia="zh-CN"/>
        </w:rPr>
        <w:t>评价</w:t>
      </w:r>
      <w:r>
        <w:rPr>
          <w:rFonts w:hint="eastAsia" w:ascii="黑体" w:hAnsi="黑体" w:eastAsia="黑体" w:cs="黑体"/>
          <w:b w:val="0"/>
          <w:bCs w:val="0"/>
          <w:color w:val="auto"/>
          <w:sz w:val="32"/>
          <w:szCs w:val="32"/>
        </w:rPr>
        <w:t>情况说明</w:t>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绩效</w:t>
      </w:r>
      <w:r>
        <w:rPr>
          <w:rFonts w:hint="eastAsia" w:ascii="仿宋" w:hAnsi="仿宋" w:eastAsia="仿宋" w:cs="仿宋"/>
          <w:b w:val="0"/>
          <w:bCs w:val="0"/>
          <w:color w:val="auto"/>
          <w:kern w:val="0"/>
          <w:sz w:val="32"/>
          <w:szCs w:val="32"/>
          <w:lang w:val="en-US" w:eastAsia="zh-CN"/>
        </w:rPr>
        <w:t>评价</w:t>
      </w:r>
      <w:r>
        <w:rPr>
          <w:rFonts w:hint="eastAsia" w:ascii="仿宋" w:hAnsi="仿宋" w:eastAsia="仿宋" w:cs="仿宋"/>
          <w:b w:val="0"/>
          <w:bCs w:val="0"/>
          <w:color w:val="auto"/>
          <w:kern w:val="0"/>
          <w:sz w:val="32"/>
          <w:szCs w:val="32"/>
        </w:rPr>
        <w:t>工作开展情况。</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根据预算绩效管理要求，我部门组织对</w:t>
      </w:r>
      <w:r>
        <w:rPr>
          <w:rFonts w:hint="eastAsia" w:ascii="仿宋" w:hAnsi="仿宋" w:eastAsia="仿宋" w:cs="仿宋"/>
          <w:b w:val="0"/>
          <w:bCs w:val="0"/>
          <w:color w:val="auto"/>
          <w:kern w:val="0"/>
          <w:sz w:val="32"/>
          <w:szCs w:val="32"/>
          <w:lang w:val="en-US" w:eastAsia="zh-CN"/>
        </w:rPr>
        <w:t>纳入</w:t>
      </w:r>
      <w:r>
        <w:rPr>
          <w:rFonts w:hint="eastAsia" w:ascii="仿宋" w:hAnsi="仿宋" w:eastAsia="仿宋" w:cs="仿宋"/>
          <w:b w:val="0"/>
          <w:bCs w:val="0"/>
          <w:color w:val="auto"/>
          <w:kern w:val="0"/>
          <w:sz w:val="32"/>
          <w:szCs w:val="32"/>
        </w:rPr>
        <w:t>202</w:t>
      </w: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年度</w:t>
      </w:r>
      <w:r>
        <w:rPr>
          <w:rFonts w:hint="eastAsia" w:ascii="仿宋" w:hAnsi="仿宋" w:eastAsia="仿宋" w:cs="仿宋"/>
          <w:b w:val="0"/>
          <w:bCs w:val="0"/>
          <w:color w:val="auto"/>
          <w:kern w:val="0"/>
          <w:sz w:val="32"/>
          <w:szCs w:val="32"/>
          <w:lang w:val="en-US" w:eastAsia="zh-CN"/>
        </w:rPr>
        <w:t>部门预算范围的二级项目19个</w:t>
      </w:r>
      <w:r>
        <w:rPr>
          <w:rFonts w:hint="eastAsia" w:ascii="仿宋" w:hAnsi="仿宋" w:eastAsia="仿宋" w:cs="仿宋"/>
          <w:b w:val="0"/>
          <w:bCs w:val="0"/>
          <w:color w:val="auto"/>
          <w:kern w:val="0"/>
          <w:sz w:val="32"/>
          <w:szCs w:val="32"/>
        </w:rPr>
        <w:t>全面开展绩效自评，共涉及资金</w:t>
      </w:r>
      <w:r>
        <w:rPr>
          <w:rFonts w:hint="eastAsia" w:ascii="仿宋" w:hAnsi="仿宋" w:eastAsia="仿宋" w:cs="仿宋"/>
          <w:b w:val="0"/>
          <w:bCs w:val="0"/>
          <w:color w:val="auto"/>
          <w:kern w:val="0"/>
          <w:sz w:val="32"/>
          <w:szCs w:val="32"/>
          <w:lang w:val="en-US" w:eastAsia="zh-CN"/>
        </w:rPr>
        <w:t>685.56</w:t>
      </w:r>
      <w:r>
        <w:rPr>
          <w:rFonts w:hint="eastAsia" w:ascii="仿宋" w:hAnsi="仿宋" w:eastAsia="仿宋" w:cs="仿宋"/>
          <w:b w:val="0"/>
          <w:bCs w:val="0"/>
          <w:color w:val="auto"/>
          <w:kern w:val="0"/>
          <w:sz w:val="32"/>
          <w:szCs w:val="32"/>
        </w:rPr>
        <w:t>万元，占项目支出总额的</w:t>
      </w:r>
      <w:r>
        <w:rPr>
          <w:rFonts w:hint="eastAsia" w:ascii="仿宋" w:hAnsi="仿宋" w:eastAsia="仿宋" w:cs="仿宋"/>
          <w:b w:val="0"/>
          <w:bCs w:val="0"/>
          <w:color w:val="auto"/>
          <w:kern w:val="0"/>
          <w:sz w:val="32"/>
          <w:szCs w:val="32"/>
          <w:lang w:val="en-US" w:eastAsia="zh-CN"/>
        </w:rPr>
        <w:t>100</w:t>
      </w:r>
      <w:r>
        <w:rPr>
          <w:rFonts w:hint="eastAsia" w:ascii="仿宋" w:hAnsi="仿宋" w:eastAsia="仿宋" w:cs="仿宋"/>
          <w:b w:val="0"/>
          <w:bCs w:val="0"/>
          <w:color w:val="auto"/>
          <w:kern w:val="0"/>
          <w:sz w:val="32"/>
          <w:szCs w:val="32"/>
        </w:rPr>
        <w:t xml:space="preserve">%。    </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组织对“专业森林消防大队营房改造项目”等</w:t>
      </w: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个项目开展了部门评价，涉及一般公共预算支出</w:t>
      </w:r>
      <w:r>
        <w:rPr>
          <w:rFonts w:hint="eastAsia" w:ascii="仿宋" w:hAnsi="仿宋" w:eastAsia="仿宋" w:cs="仿宋"/>
          <w:b w:val="0"/>
          <w:bCs w:val="0"/>
          <w:color w:val="auto"/>
          <w:kern w:val="0"/>
          <w:sz w:val="32"/>
          <w:szCs w:val="32"/>
          <w:lang w:val="en-US" w:eastAsia="zh-CN"/>
        </w:rPr>
        <w:t>61.59</w:t>
      </w:r>
      <w:r>
        <w:rPr>
          <w:rFonts w:hint="eastAsia" w:ascii="仿宋" w:hAnsi="仿宋" w:eastAsia="仿宋" w:cs="仿宋"/>
          <w:b w:val="0"/>
          <w:bCs w:val="0"/>
          <w:color w:val="auto"/>
          <w:kern w:val="0"/>
          <w:sz w:val="32"/>
          <w:szCs w:val="32"/>
        </w:rPr>
        <w:t>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政府性基金预算支出0万元，国有资本预算支出0万元</w:t>
      </w:r>
      <w:r>
        <w:rPr>
          <w:rFonts w:hint="eastAsia" w:ascii="仿宋" w:hAnsi="仿宋" w:eastAsia="仿宋" w:cs="仿宋"/>
          <w:b w:val="0"/>
          <w:bCs w:val="0"/>
          <w:color w:val="auto"/>
          <w:kern w:val="0"/>
          <w:sz w:val="32"/>
          <w:szCs w:val="32"/>
        </w:rPr>
        <w:t>。从评价情况来看，</w:t>
      </w:r>
      <w:r>
        <w:rPr>
          <w:rFonts w:hint="eastAsia" w:ascii="仿宋" w:hAnsi="仿宋" w:eastAsia="仿宋" w:cs="仿宋"/>
          <w:color w:val="auto"/>
          <w:sz w:val="32"/>
          <w:szCs w:val="32"/>
        </w:rPr>
        <w:t>项目总体执行情况良好，基本达到预期目标</w:t>
      </w:r>
      <w:r>
        <w:rPr>
          <w:rFonts w:hint="eastAsia" w:ascii="仿宋" w:hAnsi="仿宋" w:eastAsia="仿宋" w:cs="仿宋"/>
          <w:color w:val="auto"/>
          <w:sz w:val="32"/>
          <w:szCs w:val="32"/>
          <w:lang w:val="en-US" w:eastAsia="zh-CN"/>
        </w:rPr>
        <w:t>,项目建设达到营房建设要求，项目评价为优</w:t>
      </w:r>
      <w:r>
        <w:rPr>
          <w:rFonts w:hint="eastAsia" w:ascii="仿宋" w:hAnsi="仿宋" w:eastAsia="仿宋" w:cs="仿宋"/>
          <w:b w:val="0"/>
          <w:bCs w:val="0"/>
          <w:color w:val="auto"/>
          <w:kern w:val="0"/>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组织开展</w:t>
      </w:r>
      <w:r>
        <w:rPr>
          <w:rFonts w:hint="eastAsia" w:ascii="仿宋" w:hAnsi="仿宋" w:eastAsia="仿宋" w:cs="仿宋"/>
          <w:b w:val="0"/>
          <w:bCs w:val="0"/>
          <w:color w:val="auto"/>
          <w:kern w:val="0"/>
          <w:sz w:val="32"/>
          <w:szCs w:val="32"/>
          <w:lang w:val="en-US" w:eastAsia="zh-CN"/>
        </w:rPr>
        <w:t>部门整体支出绩效评价</w:t>
      </w:r>
      <w:r>
        <w:rPr>
          <w:rFonts w:hint="eastAsia" w:ascii="仿宋" w:hAnsi="仿宋" w:eastAsia="仿宋" w:cs="仿宋"/>
          <w:b w:val="0"/>
          <w:bCs w:val="0"/>
          <w:color w:val="auto"/>
          <w:kern w:val="0"/>
          <w:sz w:val="32"/>
          <w:szCs w:val="32"/>
        </w:rPr>
        <w:t>，涉及一般公共预算支出  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政府性基金预算支出925.02万元</w:t>
      </w:r>
      <w:r>
        <w:rPr>
          <w:rFonts w:hint="eastAsia" w:ascii="仿宋" w:hAnsi="仿宋" w:eastAsia="仿宋" w:cs="仿宋"/>
          <w:b w:val="0"/>
          <w:bCs w:val="0"/>
          <w:color w:val="auto"/>
          <w:kern w:val="0"/>
          <w:sz w:val="32"/>
          <w:szCs w:val="32"/>
        </w:rPr>
        <w:t>。从评价情况来看，</w:t>
      </w:r>
      <w:r>
        <w:rPr>
          <w:rFonts w:hint="eastAsia" w:ascii="仿宋" w:hAnsi="仿宋" w:eastAsia="仿宋" w:cs="仿宋"/>
          <w:color w:val="auto"/>
          <w:sz w:val="32"/>
          <w:szCs w:val="32"/>
        </w:rPr>
        <w:t>预算执行力度较好，基本完成年初设定目标。</w:t>
      </w:r>
      <w:r>
        <w:rPr>
          <w:rFonts w:hint="eastAsia" w:ascii="仿宋" w:hAnsi="仿宋" w:eastAsia="仿宋" w:cs="仿宋"/>
          <w:color w:val="auto"/>
          <w:sz w:val="32"/>
          <w:szCs w:val="32"/>
          <w:lang w:eastAsia="zh-CN"/>
        </w:rPr>
        <w:t>完成风险普查工作，完成各项救灾减灾工作，完成年度安全生产工作等</w:t>
      </w:r>
      <w:r>
        <w:rPr>
          <w:rFonts w:hint="eastAsia" w:ascii="仿宋" w:hAnsi="仿宋" w:eastAsia="仿宋" w:cs="仿宋"/>
          <w:b w:val="0"/>
          <w:bCs w:val="0"/>
          <w:color w:val="auto"/>
          <w:kern w:val="0"/>
          <w:sz w:val="32"/>
          <w:szCs w:val="32"/>
        </w:rPr>
        <w:t>。</w:t>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部门决算中项目绩效自评</w:t>
      </w:r>
      <w:r>
        <w:rPr>
          <w:rFonts w:hint="eastAsia" w:ascii="仿宋" w:hAnsi="仿宋" w:eastAsia="仿宋" w:cs="仿宋"/>
          <w:b w:val="0"/>
          <w:bCs w:val="0"/>
          <w:color w:val="auto"/>
          <w:kern w:val="0"/>
          <w:sz w:val="32"/>
          <w:szCs w:val="32"/>
          <w:lang w:val="en-US" w:eastAsia="zh-CN"/>
        </w:rPr>
        <w:t>结果</w:t>
      </w:r>
      <w:r>
        <w:rPr>
          <w:rFonts w:hint="eastAsia" w:ascii="仿宋" w:hAnsi="仿宋" w:eastAsia="仿宋" w:cs="仿宋"/>
          <w:b w:val="0"/>
          <w:bCs w:val="0"/>
          <w:color w:val="auto"/>
          <w:kern w:val="0"/>
          <w:sz w:val="32"/>
          <w:szCs w:val="32"/>
        </w:rPr>
        <w:t>。</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本部门项目绩效目标情况</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本部门项目绩效目标按照单位工作职责，依据单位年度工作计划确定需要实施的项目，并通过前期调研等活动确定项目合理需要实现的预期目标，做到目标清晰明了可实现。</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单位自评工作开展情况</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本部门</w:t>
      </w:r>
      <w:r>
        <w:rPr>
          <w:rFonts w:hint="eastAsia" w:ascii="仿宋" w:hAnsi="仿宋" w:eastAsia="仿宋" w:cs="仿宋"/>
          <w:color w:val="auto"/>
          <w:sz w:val="32"/>
          <w:szCs w:val="32"/>
          <w:lang w:val="en-US" w:eastAsia="zh-CN"/>
        </w:rPr>
        <w:t>按照《昌江区财政局关于开展单位自评及跟踪监控的通知》昌绩字【2023】2号文件要求开展年度绩效评价工作，</w:t>
      </w:r>
      <w:r>
        <w:rPr>
          <w:rFonts w:hint="eastAsia" w:ascii="仿宋" w:hAnsi="仿宋" w:eastAsia="仿宋" w:cs="仿宋"/>
          <w:color w:val="auto"/>
          <w:sz w:val="32"/>
          <w:szCs w:val="32"/>
          <w:lang w:eastAsia="zh-CN"/>
        </w:rPr>
        <w:t>项目自评以各单位自评和部门重点评价的工作格局，各项目自评以各项目实施主体和项目负责科室对应进行自评，并将自评结果汇总至财务办公室统一上报；</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部门重点评价为部门选取一个项目作为部门重点评价项目，组织人员按照评价文件要求进行项目评价，评价结果为优秀。</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综合评价结论</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通过单位以及部门自评，本部门各项目实施效果较好，总体实</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lang w:eastAsia="zh-CN"/>
        </w:rPr>
        <w:t>预期目标。</w:t>
      </w:r>
      <w:r>
        <w:rPr>
          <w:rFonts w:hint="eastAsia" w:ascii="仿宋" w:hAnsi="仿宋" w:eastAsia="仿宋" w:cs="仿宋"/>
          <w:color w:val="auto"/>
          <w:sz w:val="32"/>
          <w:szCs w:val="32"/>
          <w:lang w:val="en-US" w:eastAsia="zh-CN"/>
        </w:rPr>
        <w:t>单位总体评价和项目自评，项目重点评价均为优秀</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绩效目标完成情况总体分析</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本部门各项目绩效目标完成较好，</w:t>
      </w:r>
      <w:r>
        <w:rPr>
          <w:rFonts w:hint="eastAsia" w:ascii="仿宋" w:hAnsi="仿宋" w:eastAsia="仿宋" w:cs="仿宋"/>
          <w:color w:val="auto"/>
          <w:sz w:val="32"/>
          <w:szCs w:val="32"/>
          <w:lang w:val="en-US" w:eastAsia="zh-CN"/>
        </w:rPr>
        <w:t>应急体系初步完成建设，各项物资储备充足，人员储备充足，人员业务素质提升较快，满足各项应急需求</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偏离绩效目标的原因和改进措施</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本部门绩效目标基本实现，部分项目执行率较低，主要是项目周期跨年，项目资金一次性拨付到位，整改措施：下一年对跨年项目按照年度需求申请资金。</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绩效自评结果拟应用和公开情况</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本部门拟将绩效自评结果应用与下年项目申报，并随决算公开一并公开。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附件：</w:t>
      </w:r>
      <w:r>
        <w:rPr>
          <w:rFonts w:hint="eastAsia" w:ascii="仿宋" w:hAnsi="仿宋" w:eastAsia="仿宋" w:cs="仿宋"/>
          <w:color w:val="auto"/>
          <w:sz w:val="32"/>
          <w:szCs w:val="32"/>
          <w:lang w:val="en-US" w:eastAsia="zh-CN"/>
        </w:rPr>
        <w:t xml:space="preserve">项目自评表 </w:t>
      </w:r>
    </w:p>
    <w:tbl>
      <w:tblPr>
        <w:tblStyle w:val="11"/>
        <w:tblpPr w:leftFromText="180" w:rightFromText="180" w:vertAnchor="text" w:horzAnchor="page" w:tblpXSpec="center" w:tblpY="573"/>
        <w:tblOverlap w:val="never"/>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390"/>
        <w:gridCol w:w="899"/>
        <w:gridCol w:w="772"/>
        <w:gridCol w:w="517"/>
        <w:gridCol w:w="977"/>
        <w:gridCol w:w="314"/>
        <w:gridCol w:w="1180"/>
        <w:gridCol w:w="351"/>
        <w:gridCol w:w="1145"/>
        <w:gridCol w:w="196"/>
        <w:gridCol w:w="650"/>
        <w:gridCol w:w="790"/>
        <w:gridCol w:w="360"/>
        <w:gridCol w:w="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项目</w:t>
            </w:r>
            <w:r>
              <w:rPr>
                <w:rFonts w:hint="eastAsia" w:ascii="仿宋" w:hAnsi="仿宋" w:eastAsia="仿宋" w:cs="仿宋"/>
                <w:b/>
                <w:bCs/>
                <w:color w:val="auto"/>
                <w:spacing w:val="-2"/>
                <w:sz w:val="24"/>
                <w:szCs w:val="24"/>
              </w:rPr>
              <w:t>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1"/>
                <w:sz w:val="24"/>
                <w:szCs w:val="24"/>
              </w:rPr>
              <w:t>(2022 年度</w:t>
            </w:r>
            <w:r>
              <w:rPr>
                <w:rFonts w:hint="eastAsia" w:ascii="仿宋" w:hAnsi="仿宋" w:eastAsia="仿宋" w:cs="仿宋"/>
                <w:color w:val="auto"/>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项</w:t>
            </w:r>
            <w:r>
              <w:rPr>
                <w:rFonts w:hint="eastAsia" w:ascii="仿宋" w:hAnsi="仿宋" w:eastAsia="仿宋" w:cs="仿宋"/>
                <w:b/>
                <w:bCs/>
                <w:color w:val="auto"/>
                <w:spacing w:val="-2"/>
                <w:sz w:val="24"/>
                <w:szCs w:val="24"/>
              </w:rPr>
              <w:t>目名称</w:t>
            </w:r>
          </w:p>
        </w:tc>
        <w:tc>
          <w:tcPr>
            <w:tcW w:w="7479" w:type="dxa"/>
            <w:gridSpan w:val="11"/>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昌江区专业森林消防大队营房改造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主管部门</w:t>
            </w:r>
          </w:p>
        </w:tc>
        <w:tc>
          <w:tcPr>
            <w:tcW w:w="3339"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景德镇市昌江区应急管理</w:t>
            </w:r>
            <w:r>
              <w:rPr>
                <w:rFonts w:hint="eastAsia" w:ascii="仿宋" w:hAnsi="仿宋" w:eastAsia="仿宋" w:cs="仿宋"/>
                <w:color w:val="auto"/>
                <w:sz w:val="24"/>
                <w:szCs w:val="24"/>
              </w:rPr>
              <w:t>局</w:t>
            </w:r>
          </w:p>
        </w:tc>
        <w:tc>
          <w:tcPr>
            <w:tcW w:w="114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实</w:t>
            </w:r>
            <w:r>
              <w:rPr>
                <w:rFonts w:hint="eastAsia" w:ascii="仿宋" w:hAnsi="仿宋" w:eastAsia="仿宋" w:cs="仿宋"/>
                <w:b/>
                <w:bCs/>
                <w:color w:val="auto"/>
                <w:spacing w:val="-2"/>
                <w:sz w:val="24"/>
                <w:szCs w:val="24"/>
              </w:rPr>
              <w:t>施单位</w:t>
            </w:r>
          </w:p>
        </w:tc>
        <w:tc>
          <w:tcPr>
            <w:tcW w:w="29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景德镇市昌江区应急管理</w:t>
            </w:r>
            <w:r>
              <w:rPr>
                <w:rFonts w:hint="eastAsia" w:ascii="仿宋" w:hAnsi="仿宋" w:eastAsia="仿宋" w:cs="仿宋"/>
                <w:color w:val="auto"/>
                <w:sz w:val="24"/>
                <w:szCs w:val="24"/>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资</w:t>
            </w:r>
            <w:r>
              <w:rPr>
                <w:rFonts w:hint="eastAsia" w:ascii="仿宋" w:hAnsi="仿宋" w:eastAsia="仿宋" w:cs="仿宋"/>
                <w:b/>
                <w:bCs/>
                <w:color w:val="auto"/>
                <w:spacing w:val="-3"/>
                <w:sz w:val="24"/>
                <w:szCs w:val="24"/>
              </w:rPr>
              <w:t>金</w:t>
            </w:r>
            <w:r>
              <w:rPr>
                <w:rFonts w:hint="eastAsia" w:ascii="仿宋" w:hAnsi="仿宋" w:eastAsia="仿宋" w:cs="仿宋"/>
                <w:b/>
                <w:bCs/>
                <w:color w:val="auto"/>
                <w:spacing w:val="-2"/>
                <w:sz w:val="24"/>
                <w:szCs w:val="24"/>
              </w:rPr>
              <w:t>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年初预</w:t>
            </w:r>
            <w:r>
              <w:rPr>
                <w:rFonts w:hint="eastAsia" w:ascii="仿宋" w:hAnsi="仿宋" w:eastAsia="仿宋" w:cs="仿宋"/>
                <w:b/>
                <w:bCs/>
                <w:color w:val="auto"/>
                <w:spacing w:val="-1"/>
                <w:sz w:val="24"/>
                <w:szCs w:val="24"/>
              </w:rPr>
              <w:t>算数</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全年</w:t>
            </w:r>
            <w:r>
              <w:rPr>
                <w:rFonts w:hint="eastAsia" w:ascii="仿宋" w:hAnsi="仿宋" w:eastAsia="仿宋" w:cs="仿宋"/>
                <w:b/>
                <w:bCs/>
                <w:color w:val="auto"/>
                <w:spacing w:val="-1"/>
                <w:sz w:val="24"/>
                <w:szCs w:val="24"/>
              </w:rPr>
              <w:t>预算数</w:t>
            </w:r>
          </w:p>
        </w:tc>
        <w:tc>
          <w:tcPr>
            <w:tcW w:w="149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全年</w:t>
            </w:r>
            <w:r>
              <w:rPr>
                <w:rFonts w:hint="eastAsia" w:ascii="仿宋" w:hAnsi="仿宋" w:eastAsia="仿宋" w:cs="仿宋"/>
                <w:b/>
                <w:bCs/>
                <w:color w:val="auto"/>
                <w:spacing w:val="-1"/>
                <w:sz w:val="24"/>
                <w:szCs w:val="24"/>
              </w:rPr>
              <w:t>执行数</w:t>
            </w:r>
          </w:p>
        </w:tc>
        <w:tc>
          <w:tcPr>
            <w:tcW w:w="84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分值</w:t>
            </w:r>
          </w:p>
        </w:tc>
        <w:tc>
          <w:tcPr>
            <w:tcW w:w="115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执行率</w:t>
            </w:r>
            <w:r>
              <w:rPr>
                <w:rFonts w:hint="eastAsia" w:ascii="仿宋" w:hAnsi="仿宋" w:eastAsia="仿宋" w:cs="仿宋"/>
                <w:b/>
                <w:bCs/>
                <w:color w:val="auto"/>
                <w:spacing w:val="-1"/>
                <w:sz w:val="24"/>
                <w:szCs w:val="24"/>
              </w:rPr>
              <w:t>(%)</w:t>
            </w:r>
          </w:p>
        </w:tc>
        <w:tc>
          <w:tcPr>
            <w:tcW w:w="99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得</w:t>
            </w:r>
            <w:r>
              <w:rPr>
                <w:rFonts w:hint="eastAsia" w:ascii="仿宋" w:hAnsi="仿宋" w:eastAsia="仿宋" w:cs="仿宋"/>
                <w:b/>
                <w:bCs/>
                <w:color w:val="auto"/>
                <w:spacing w:val="-2"/>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13"/>
                <w:sz w:val="24"/>
                <w:szCs w:val="24"/>
              </w:rPr>
            </w:pPr>
            <w:r>
              <w:rPr>
                <w:rFonts w:hint="eastAsia" w:ascii="仿宋" w:hAnsi="仿宋" w:eastAsia="仿宋" w:cs="仿宋"/>
                <w:b/>
                <w:bCs/>
                <w:color w:val="auto"/>
                <w:spacing w:val="13"/>
                <w:sz w:val="24"/>
                <w:szCs w:val="24"/>
              </w:rPr>
              <w:t>项目</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13"/>
                <w:sz w:val="24"/>
                <w:szCs w:val="24"/>
              </w:rPr>
            </w:pPr>
            <w:r>
              <w:rPr>
                <w:rFonts w:hint="eastAsia" w:ascii="仿宋" w:hAnsi="仿宋" w:eastAsia="仿宋" w:cs="仿宋"/>
                <w:b/>
                <w:bCs/>
                <w:color w:val="auto"/>
                <w:spacing w:val="13"/>
                <w:sz w:val="24"/>
                <w:szCs w:val="24"/>
              </w:rPr>
              <w:t>资金</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13"/>
                <w:sz w:val="24"/>
                <w:szCs w:val="24"/>
              </w:rPr>
              <w:t>(万元)</w:t>
            </w: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年</w:t>
            </w:r>
            <w:r>
              <w:rPr>
                <w:rFonts w:hint="eastAsia" w:ascii="仿宋" w:hAnsi="仿宋" w:eastAsia="仿宋" w:cs="仿宋"/>
                <w:b/>
                <w:bCs/>
                <w:color w:val="auto"/>
                <w:spacing w:val="-3"/>
                <w:sz w:val="24"/>
                <w:szCs w:val="24"/>
              </w:rPr>
              <w:t>度资</w:t>
            </w:r>
            <w:r>
              <w:rPr>
                <w:rFonts w:hint="eastAsia" w:ascii="仿宋" w:hAnsi="仿宋" w:eastAsia="仿宋" w:cs="仿宋"/>
                <w:b/>
                <w:bCs/>
                <w:color w:val="auto"/>
                <w:spacing w:val="-5"/>
                <w:sz w:val="24"/>
                <w:szCs w:val="24"/>
              </w:rPr>
              <w:t>金</w:t>
            </w:r>
            <w:r>
              <w:rPr>
                <w:rFonts w:hint="eastAsia" w:ascii="仿宋" w:hAnsi="仿宋" w:eastAsia="仿宋" w:cs="仿宋"/>
                <w:b/>
                <w:bCs/>
                <w:color w:val="auto"/>
                <w:spacing w:val="-3"/>
                <w:sz w:val="24"/>
                <w:szCs w:val="24"/>
              </w:rPr>
              <w:t>总额</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6</w:t>
            </w:r>
            <w:r>
              <w:rPr>
                <w:rFonts w:hint="eastAsia" w:ascii="仿宋" w:hAnsi="仿宋" w:eastAsia="仿宋" w:cs="仿宋"/>
                <w:color w:val="auto"/>
                <w:spacing w:val="-1"/>
                <w:sz w:val="24"/>
                <w:szCs w:val="24"/>
              </w:rPr>
              <w:t>1.596707</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61</w:t>
            </w:r>
            <w:r>
              <w:rPr>
                <w:rFonts w:hint="eastAsia" w:ascii="仿宋" w:hAnsi="仿宋" w:eastAsia="仿宋" w:cs="仿宋"/>
                <w:color w:val="auto"/>
                <w:spacing w:val="-1"/>
                <w:sz w:val="24"/>
                <w:szCs w:val="24"/>
              </w:rPr>
              <w:t>.5967</w:t>
            </w:r>
          </w:p>
        </w:tc>
        <w:tc>
          <w:tcPr>
            <w:tcW w:w="149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61</w:t>
            </w:r>
            <w:r>
              <w:rPr>
                <w:rFonts w:hint="eastAsia" w:ascii="仿宋" w:hAnsi="仿宋" w:eastAsia="仿宋" w:cs="仿宋"/>
                <w:color w:val="auto"/>
                <w:spacing w:val="-1"/>
                <w:sz w:val="24"/>
                <w:szCs w:val="24"/>
              </w:rPr>
              <w:t>.5967</w:t>
            </w:r>
          </w:p>
        </w:tc>
        <w:tc>
          <w:tcPr>
            <w:tcW w:w="84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115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99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其中：财政拨款</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61.596707</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61.5967</w:t>
            </w:r>
          </w:p>
        </w:tc>
        <w:tc>
          <w:tcPr>
            <w:tcW w:w="149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61.5967</w:t>
            </w:r>
          </w:p>
        </w:tc>
        <w:tc>
          <w:tcPr>
            <w:tcW w:w="84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15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c>
          <w:tcPr>
            <w:tcW w:w="99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其他资金</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49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49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4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15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9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偏差原因及整改措</w:t>
            </w:r>
            <w:r>
              <w:rPr>
                <w:rFonts w:hint="eastAsia" w:ascii="仿宋" w:hAnsi="仿宋" w:eastAsia="仿宋" w:cs="仿宋"/>
                <w:b/>
                <w:bCs/>
                <w:color w:val="auto"/>
                <w:sz w:val="24"/>
                <w:szCs w:val="24"/>
              </w:rPr>
              <w:t>施</w:t>
            </w:r>
          </w:p>
        </w:tc>
        <w:tc>
          <w:tcPr>
            <w:tcW w:w="7479" w:type="dxa"/>
            <w:gridSpan w:val="11"/>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年度</w:t>
            </w:r>
            <w:r>
              <w:rPr>
                <w:rFonts w:hint="eastAsia" w:ascii="仿宋" w:hAnsi="仿宋" w:eastAsia="仿宋" w:cs="仿宋"/>
                <w:b/>
                <w:bCs/>
                <w:color w:val="auto"/>
                <w:spacing w:val="-1"/>
                <w:sz w:val="24"/>
                <w:szCs w:val="24"/>
              </w:rPr>
              <w:t>总体目标</w:t>
            </w:r>
          </w:p>
        </w:tc>
        <w:tc>
          <w:tcPr>
            <w:tcW w:w="4484"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预期目标</w:t>
            </w:r>
          </w:p>
        </w:tc>
        <w:tc>
          <w:tcPr>
            <w:tcW w:w="29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完成实</w:t>
            </w:r>
            <w:r>
              <w:rPr>
                <w:rFonts w:hint="eastAsia" w:ascii="仿宋" w:hAnsi="仿宋" w:eastAsia="仿宋" w:cs="仿宋"/>
                <w:b/>
                <w:bCs/>
                <w:color w:val="auto"/>
                <w:spacing w:val="-1"/>
                <w:sz w:val="24"/>
                <w:szCs w:val="24"/>
              </w:rPr>
              <w:t>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2726" w:type="dxa"/>
            <w:gridSpan w:val="4"/>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4484"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营房建设达标，提高昌江区专业森</w:t>
            </w:r>
            <w:r>
              <w:rPr>
                <w:rFonts w:hint="eastAsia" w:ascii="仿宋" w:hAnsi="仿宋" w:eastAsia="仿宋" w:cs="仿宋"/>
                <w:color w:val="auto"/>
                <w:sz w:val="24"/>
                <w:szCs w:val="24"/>
              </w:rPr>
              <w:t xml:space="preserve">林消防队员 </w:t>
            </w:r>
            <w:r>
              <w:rPr>
                <w:rFonts w:hint="eastAsia" w:ascii="仿宋" w:hAnsi="仿宋" w:eastAsia="仿宋" w:cs="仿宋"/>
                <w:color w:val="auto"/>
                <w:spacing w:val="-11"/>
                <w:sz w:val="24"/>
                <w:szCs w:val="24"/>
              </w:rPr>
              <w:t>日</w:t>
            </w:r>
            <w:r>
              <w:rPr>
                <w:rFonts w:hint="eastAsia" w:ascii="仿宋" w:hAnsi="仿宋" w:eastAsia="仿宋" w:cs="仿宋"/>
                <w:color w:val="auto"/>
                <w:spacing w:val="-9"/>
                <w:sz w:val="24"/>
                <w:szCs w:val="24"/>
              </w:rPr>
              <w:t>常生活水平。</w:t>
            </w:r>
          </w:p>
        </w:tc>
        <w:tc>
          <w:tcPr>
            <w:tcW w:w="29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营</w:t>
            </w:r>
            <w:r>
              <w:rPr>
                <w:rFonts w:hint="eastAsia" w:ascii="仿宋" w:hAnsi="仿宋" w:eastAsia="仿宋" w:cs="仿宋"/>
                <w:color w:val="auto"/>
                <w:spacing w:val="-1"/>
                <w:sz w:val="24"/>
                <w:szCs w:val="24"/>
              </w:rPr>
              <w:t>房建设达标，提高昌江区专业</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森林消防队</w:t>
            </w:r>
            <w:r>
              <w:rPr>
                <w:rFonts w:hint="eastAsia" w:ascii="仿宋" w:hAnsi="仿宋" w:eastAsia="仿宋" w:cs="仿宋"/>
                <w:color w:val="auto"/>
                <w:spacing w:val="-2"/>
                <w:sz w:val="24"/>
                <w:szCs w:val="24"/>
              </w:rPr>
              <w:t>员日常生活水平。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绩</w:t>
            </w:r>
            <w:r>
              <w:rPr>
                <w:rFonts w:hint="eastAsia" w:ascii="仿宋" w:hAnsi="仿宋" w:eastAsia="仿宋" w:cs="仿宋"/>
                <w:b/>
                <w:bCs/>
                <w:color w:val="auto"/>
                <w:spacing w:val="-2"/>
                <w:sz w:val="24"/>
                <w:szCs w:val="24"/>
              </w:rPr>
              <w:t>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一</w:t>
            </w:r>
            <w:r>
              <w:rPr>
                <w:rFonts w:hint="eastAsia" w:ascii="仿宋" w:hAnsi="仿宋" w:eastAsia="仿宋" w:cs="仿宋"/>
                <w:b/>
                <w:bCs/>
                <w:color w:val="auto"/>
                <w:spacing w:val="-2"/>
                <w:sz w:val="24"/>
                <w:szCs w:val="24"/>
              </w:rPr>
              <w:t>级指标</w:t>
            </w: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二</w:t>
            </w:r>
            <w:r>
              <w:rPr>
                <w:rFonts w:hint="eastAsia" w:ascii="仿宋" w:hAnsi="仿宋" w:eastAsia="仿宋" w:cs="仿宋"/>
                <w:b/>
                <w:bCs/>
                <w:color w:val="auto"/>
                <w:spacing w:val="-2"/>
                <w:sz w:val="24"/>
                <w:szCs w:val="24"/>
              </w:rPr>
              <w:t>级指标</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三级指</w:t>
            </w:r>
            <w:r>
              <w:rPr>
                <w:rFonts w:hint="eastAsia" w:ascii="仿宋" w:hAnsi="仿宋" w:eastAsia="仿宋" w:cs="仿宋"/>
                <w:b/>
                <w:bCs/>
                <w:color w:val="auto"/>
                <w:spacing w:val="-1"/>
                <w:sz w:val="24"/>
                <w:szCs w:val="24"/>
              </w:rPr>
              <w:t>标</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年度指标</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5"/>
                <w:sz w:val="24"/>
                <w:szCs w:val="24"/>
              </w:rPr>
              <w:t>实</w:t>
            </w:r>
            <w:r>
              <w:rPr>
                <w:rFonts w:hint="eastAsia" w:ascii="仿宋" w:hAnsi="仿宋" w:eastAsia="仿宋" w:cs="仿宋"/>
                <w:b/>
                <w:bCs/>
                <w:color w:val="auto"/>
                <w:spacing w:val="-3"/>
                <w:sz w:val="24"/>
                <w:szCs w:val="24"/>
              </w:rPr>
              <w:t>际</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完成</w:t>
            </w:r>
            <w:r>
              <w:rPr>
                <w:rFonts w:hint="eastAsia" w:ascii="仿宋" w:hAnsi="仿宋" w:eastAsia="仿宋" w:cs="仿宋"/>
                <w:b/>
                <w:bCs/>
                <w:color w:val="auto"/>
                <w:sz w:val="24"/>
                <w:szCs w:val="24"/>
              </w:rPr>
              <w:t>值</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分值</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得</w:t>
            </w:r>
            <w:r>
              <w:rPr>
                <w:rFonts w:hint="eastAsia" w:ascii="仿宋" w:hAnsi="仿宋" w:eastAsia="仿宋" w:cs="仿宋"/>
                <w:b/>
                <w:bCs/>
                <w:color w:val="auto"/>
                <w:spacing w:val="-2"/>
                <w:sz w:val="24"/>
                <w:szCs w:val="24"/>
              </w:rPr>
              <w:t>分</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执行率</w:t>
            </w:r>
            <w:r>
              <w:rPr>
                <w:rFonts w:hint="eastAsia" w:ascii="仿宋" w:hAnsi="仿宋" w:eastAsia="仿宋" w:cs="仿宋"/>
                <w:b/>
                <w:bCs/>
                <w:color w:val="auto"/>
                <w:spacing w:val="-1"/>
                <w:sz w:val="24"/>
                <w:szCs w:val="24"/>
              </w:rPr>
              <w:t>偏</w:t>
            </w:r>
            <w:r>
              <w:rPr>
                <w:rFonts w:hint="eastAsia" w:ascii="仿宋" w:hAnsi="仿宋" w:eastAsia="仿宋" w:cs="仿宋"/>
                <w:b/>
                <w:bCs/>
                <w:color w:val="auto"/>
                <w:spacing w:val="-3"/>
                <w:sz w:val="24"/>
                <w:szCs w:val="24"/>
              </w:rPr>
              <w:t>差</w:t>
            </w:r>
            <w:r>
              <w:rPr>
                <w:rFonts w:hint="eastAsia" w:ascii="仿宋" w:hAnsi="仿宋" w:eastAsia="仿宋" w:cs="仿宋"/>
                <w:b/>
                <w:bCs/>
                <w:color w:val="auto"/>
                <w:spacing w:val="-2"/>
                <w:sz w:val="24"/>
                <w:szCs w:val="24"/>
              </w:rPr>
              <w:t>原因分析及改进</w:t>
            </w:r>
            <w:r>
              <w:rPr>
                <w:rFonts w:hint="eastAsia" w:ascii="仿宋" w:hAnsi="仿宋" w:eastAsia="仿宋" w:cs="仿宋"/>
                <w:b/>
                <w:bCs/>
                <w:color w:val="auto"/>
                <w:spacing w:val="-3"/>
                <w:sz w:val="24"/>
                <w:szCs w:val="24"/>
              </w:rPr>
              <w:t>措</w:t>
            </w:r>
            <w:r>
              <w:rPr>
                <w:rFonts w:hint="eastAsia" w:ascii="仿宋" w:hAnsi="仿宋" w:eastAsia="仿宋" w:cs="仿宋"/>
                <w:b/>
                <w:bCs/>
                <w:color w:val="auto"/>
                <w:spacing w:val="-2"/>
                <w:sz w:val="24"/>
                <w:szCs w:val="24"/>
              </w:rPr>
              <w:t>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绩</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效</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目</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标</w:t>
            </w:r>
          </w:p>
        </w:tc>
        <w:tc>
          <w:tcPr>
            <w:tcW w:w="1289" w:type="dxa"/>
            <w:gridSpan w:val="2"/>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产出指</w:t>
            </w:r>
            <w:r>
              <w:rPr>
                <w:rFonts w:hint="eastAsia" w:ascii="仿宋" w:hAnsi="仿宋" w:eastAsia="仿宋" w:cs="仿宋"/>
                <w:b/>
                <w:bCs/>
                <w:color w:val="auto"/>
                <w:spacing w:val="-1"/>
                <w:sz w:val="24"/>
                <w:szCs w:val="24"/>
              </w:rPr>
              <w:t>标</w:t>
            </w: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数</w:t>
            </w:r>
            <w:r>
              <w:rPr>
                <w:rFonts w:hint="eastAsia" w:ascii="仿宋" w:hAnsi="仿宋" w:eastAsia="仿宋" w:cs="仿宋"/>
                <w:b/>
                <w:bCs/>
                <w:color w:val="auto"/>
                <w:spacing w:val="-2"/>
                <w:sz w:val="24"/>
                <w:szCs w:val="24"/>
              </w:rPr>
              <w:t>量</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t>改造营房</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数</w:t>
            </w:r>
            <w:r>
              <w:rPr>
                <w:rFonts w:hint="eastAsia" w:ascii="仿宋" w:hAnsi="仿宋" w:eastAsia="仿宋" w:cs="仿宋"/>
                <w:b/>
                <w:bCs/>
                <w:color w:val="auto"/>
                <w:spacing w:val="-2"/>
                <w:sz w:val="24"/>
                <w:szCs w:val="24"/>
              </w:rPr>
              <w:t>量</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3"/>
                <w:sz w:val="24"/>
                <w:szCs w:val="24"/>
              </w:rPr>
              <w:t>=</w:t>
            </w:r>
            <w:r>
              <w:rPr>
                <w:rFonts w:hint="eastAsia" w:ascii="仿宋" w:hAnsi="仿宋" w:eastAsia="仿宋" w:cs="仿宋"/>
                <w:color w:val="auto"/>
                <w:spacing w:val="-11"/>
                <w:sz w:val="24"/>
                <w:szCs w:val="24"/>
              </w:rPr>
              <w:t>1 次</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质</w:t>
            </w:r>
            <w:r>
              <w:rPr>
                <w:rFonts w:hint="eastAsia" w:ascii="仿宋" w:hAnsi="仿宋" w:eastAsia="仿宋" w:cs="仿宋"/>
                <w:b/>
                <w:bCs/>
                <w:color w:val="auto"/>
                <w:spacing w:val="-2"/>
                <w:sz w:val="24"/>
                <w:szCs w:val="24"/>
              </w:rPr>
              <w:t>量</w:t>
            </w:r>
          </w:p>
        </w:tc>
        <w:tc>
          <w:tcPr>
            <w:tcW w:w="1291" w:type="dxa"/>
            <w:gridSpan w:val="2"/>
            <w:tcBorders>
              <w:top w:val="single" w:color="000000" w:sz="2" w:space="0"/>
              <w:bottom w:val="single" w:color="000000" w:sz="2" w:space="0"/>
            </w:tcBorders>
            <w:vAlign w:val="center"/>
          </w:tcPr>
          <w:p>
            <w:pPr>
              <w:keepNext w:val="0"/>
              <w:keepLines w:val="0"/>
              <w:pageBreakBefore w:val="0"/>
              <w:widowControl w:val="0"/>
              <w:tabs>
                <w:tab w:val="left" w:pos="434"/>
              </w:tabs>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4"/>
                <w:sz w:val="24"/>
                <w:szCs w:val="24"/>
              </w:rPr>
              <w:t>竣</w:t>
            </w:r>
            <w:r>
              <w:rPr>
                <w:rFonts w:hint="eastAsia" w:ascii="仿宋" w:hAnsi="仿宋" w:eastAsia="仿宋" w:cs="仿宋"/>
                <w:b/>
                <w:bCs/>
                <w:color w:val="auto"/>
                <w:spacing w:val="-2"/>
                <w:sz w:val="24"/>
                <w:szCs w:val="24"/>
              </w:rPr>
              <w:t>工验收</w:t>
            </w:r>
          </w:p>
          <w:p>
            <w:pPr>
              <w:keepNext w:val="0"/>
              <w:keepLines w:val="0"/>
              <w:pageBreakBefore w:val="0"/>
              <w:widowControl w:val="0"/>
              <w:tabs>
                <w:tab w:val="left" w:pos="434"/>
              </w:tabs>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合</w:t>
            </w:r>
            <w:r>
              <w:rPr>
                <w:rFonts w:hint="eastAsia" w:ascii="仿宋" w:hAnsi="仿宋" w:eastAsia="仿宋" w:cs="仿宋"/>
                <w:b/>
                <w:bCs/>
                <w:color w:val="auto"/>
                <w:spacing w:val="-3"/>
                <w:sz w:val="24"/>
                <w:szCs w:val="24"/>
              </w:rPr>
              <w:t>格率</w:t>
            </w:r>
            <w:r>
              <w:rPr>
                <w:rFonts w:hint="eastAsia" w:ascii="仿宋" w:hAnsi="仿宋" w:eastAsia="仿宋" w:cs="仿宋"/>
                <w:b/>
                <w:bCs/>
                <w:color w:val="auto"/>
                <w:spacing w:val="-6"/>
                <w:sz w:val="24"/>
                <w:szCs w:val="24"/>
              </w:rPr>
              <w:t>(</w:t>
            </w:r>
            <w:r>
              <w:rPr>
                <w:rFonts w:hint="eastAsia" w:ascii="仿宋" w:hAnsi="仿宋" w:eastAsia="仿宋" w:cs="仿宋"/>
                <w:b/>
                <w:bCs/>
                <w:color w:val="auto"/>
                <w:spacing w:val="-4"/>
                <w:sz w:val="24"/>
                <w:szCs w:val="24"/>
              </w:rPr>
              <w:t>%)</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100%</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5</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5</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时</w:t>
            </w:r>
            <w:r>
              <w:rPr>
                <w:rFonts w:hint="eastAsia" w:ascii="仿宋" w:hAnsi="仿宋" w:eastAsia="仿宋" w:cs="仿宋"/>
                <w:b/>
                <w:bCs/>
                <w:color w:val="auto"/>
                <w:spacing w:val="-4"/>
                <w:sz w:val="24"/>
                <w:szCs w:val="24"/>
              </w:rPr>
              <w:t>效</w:t>
            </w:r>
          </w:p>
        </w:tc>
        <w:tc>
          <w:tcPr>
            <w:tcW w:w="1291" w:type="dxa"/>
            <w:gridSpan w:val="2"/>
            <w:tcBorders>
              <w:top w:val="single" w:color="000000" w:sz="2" w:space="0"/>
              <w:bottom w:val="single" w:color="000000" w:sz="2" w:space="0"/>
            </w:tcBorders>
            <w:vAlign w:val="center"/>
          </w:tcPr>
          <w:p>
            <w:pPr>
              <w:keepNext w:val="0"/>
              <w:keepLines w:val="0"/>
              <w:pageBreakBefore w:val="0"/>
              <w:widowControl w:val="0"/>
              <w:tabs>
                <w:tab w:val="left" w:pos="434"/>
              </w:tabs>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工</w:t>
            </w:r>
            <w:r>
              <w:rPr>
                <w:rFonts w:hint="eastAsia" w:ascii="仿宋" w:hAnsi="仿宋" w:eastAsia="仿宋" w:cs="仿宋"/>
                <w:b/>
                <w:bCs/>
                <w:color w:val="auto"/>
                <w:spacing w:val="-3"/>
                <w:sz w:val="24"/>
                <w:szCs w:val="24"/>
              </w:rPr>
              <w:t>程</w:t>
            </w:r>
            <w:r>
              <w:rPr>
                <w:rFonts w:hint="eastAsia" w:ascii="仿宋" w:hAnsi="仿宋" w:eastAsia="仿宋" w:cs="仿宋"/>
                <w:b/>
                <w:bCs/>
                <w:color w:val="auto"/>
                <w:spacing w:val="-2"/>
                <w:sz w:val="24"/>
                <w:szCs w:val="24"/>
              </w:rPr>
              <w:t>竣工</w:t>
            </w:r>
            <w:r>
              <w:rPr>
                <w:rFonts w:hint="eastAsia" w:ascii="仿宋" w:hAnsi="仿宋" w:eastAsia="仿宋" w:cs="仿宋"/>
                <w:b/>
                <w:bCs/>
                <w:color w:val="auto"/>
                <w:sz w:val="24"/>
                <w:szCs w:val="24"/>
              </w:rPr>
              <w:t xml:space="preserve"> </w:t>
            </w:r>
            <w:r>
              <w:rPr>
                <w:rFonts w:hint="eastAsia" w:ascii="仿宋" w:hAnsi="仿宋" w:eastAsia="仿宋" w:cs="仿宋"/>
                <w:b/>
                <w:bCs/>
                <w:color w:val="auto"/>
                <w:spacing w:val="-4"/>
                <w:sz w:val="24"/>
                <w:szCs w:val="24"/>
              </w:rPr>
              <w:t>及</w:t>
            </w:r>
            <w:r>
              <w:rPr>
                <w:rFonts w:hint="eastAsia" w:ascii="仿宋" w:hAnsi="仿宋" w:eastAsia="仿宋" w:cs="仿宋"/>
                <w:b/>
                <w:bCs/>
                <w:color w:val="auto"/>
                <w:spacing w:val="-2"/>
                <w:sz w:val="24"/>
                <w:szCs w:val="24"/>
              </w:rPr>
              <w:t>时率</w:t>
            </w:r>
            <w:r>
              <w:rPr>
                <w:rFonts w:hint="eastAsia" w:ascii="仿宋" w:hAnsi="仿宋" w:eastAsia="仿宋" w:cs="仿宋"/>
                <w:b/>
                <w:bCs/>
                <w:color w:val="auto"/>
                <w:spacing w:val="-6"/>
                <w:sz w:val="24"/>
                <w:szCs w:val="24"/>
              </w:rPr>
              <w:t>(</w:t>
            </w:r>
            <w:r>
              <w:rPr>
                <w:rFonts w:hint="eastAsia" w:ascii="仿宋" w:hAnsi="仿宋" w:eastAsia="仿宋" w:cs="仿宋"/>
                <w:b/>
                <w:bCs/>
                <w:color w:val="auto"/>
                <w:spacing w:val="-4"/>
                <w:sz w:val="24"/>
                <w:szCs w:val="24"/>
              </w:rPr>
              <w:t>%)</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100%</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5</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5</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tcBorders>
              <w:top w:val="single" w:color="000000" w:sz="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成</w:t>
            </w:r>
            <w:r>
              <w:rPr>
                <w:rFonts w:hint="eastAsia" w:ascii="仿宋" w:hAnsi="仿宋" w:eastAsia="仿宋" w:cs="仿宋"/>
                <w:b/>
                <w:bCs/>
                <w:color w:val="auto"/>
                <w:spacing w:val="-2"/>
                <w:sz w:val="24"/>
                <w:szCs w:val="24"/>
              </w:rPr>
              <w:t>本</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项</w:t>
            </w:r>
            <w:r>
              <w:rPr>
                <w:rFonts w:hint="eastAsia" w:ascii="仿宋" w:hAnsi="仿宋" w:eastAsia="仿宋" w:cs="仿宋"/>
                <w:b/>
                <w:bCs/>
                <w:color w:val="auto"/>
                <w:spacing w:val="-2"/>
                <w:sz w:val="24"/>
                <w:szCs w:val="24"/>
              </w:rPr>
              <w:t>目造价</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=923967</w:t>
            </w:r>
            <w:r>
              <w:rPr>
                <w:rFonts w:hint="eastAsia" w:ascii="仿宋" w:hAnsi="仿宋" w:eastAsia="仿宋" w:cs="仿宋"/>
                <w:color w:val="auto"/>
                <w:sz w:val="24"/>
                <w:szCs w:val="24"/>
              </w:rPr>
              <w:t>.0</w:t>
            </w:r>
            <w:r>
              <w:rPr>
                <w:rFonts w:hint="eastAsia" w:ascii="仿宋" w:hAnsi="仿宋" w:eastAsia="仿宋" w:cs="仿宋"/>
                <w:color w:val="auto"/>
                <w:spacing w:val="-20"/>
                <w:sz w:val="24"/>
                <w:szCs w:val="24"/>
              </w:rPr>
              <w:t>7</w:t>
            </w:r>
            <w:r>
              <w:rPr>
                <w:rFonts w:hint="eastAsia" w:ascii="仿宋" w:hAnsi="仿宋" w:eastAsia="仿宋" w:cs="仿宋"/>
                <w:color w:val="auto"/>
                <w:spacing w:val="-18"/>
                <w:sz w:val="24"/>
                <w:szCs w:val="24"/>
              </w:rPr>
              <w:t>元</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9</w:t>
            </w:r>
            <w:r>
              <w:rPr>
                <w:rFonts w:hint="eastAsia" w:ascii="仿宋" w:hAnsi="仿宋" w:eastAsia="仿宋" w:cs="仿宋"/>
                <w:color w:val="auto"/>
                <w:spacing w:val="-1"/>
                <w:sz w:val="24"/>
                <w:szCs w:val="24"/>
              </w:rPr>
              <w:t>23967.0</w:t>
            </w:r>
            <w:r>
              <w:rPr>
                <w:rFonts w:hint="eastAsia" w:ascii="仿宋" w:hAnsi="仿宋" w:eastAsia="仿宋" w:cs="仿宋"/>
                <w:color w:val="auto"/>
                <w:sz w:val="24"/>
                <w:szCs w:val="24"/>
              </w:rPr>
              <w:t>7</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3"/>
                <w:sz w:val="24"/>
                <w:szCs w:val="24"/>
              </w:rPr>
              <w:t>20</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3"/>
                <w:sz w:val="24"/>
                <w:szCs w:val="24"/>
              </w:rPr>
              <w:t>20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效</w:t>
            </w:r>
            <w:r>
              <w:rPr>
                <w:rFonts w:hint="eastAsia" w:ascii="仿宋" w:hAnsi="仿宋" w:eastAsia="仿宋" w:cs="仿宋"/>
                <w:b/>
                <w:bCs/>
                <w:color w:val="auto"/>
                <w:spacing w:val="-2"/>
                <w:sz w:val="24"/>
                <w:szCs w:val="24"/>
              </w:rPr>
              <w:t>益指标</w:t>
            </w:r>
          </w:p>
        </w:tc>
        <w:tc>
          <w:tcPr>
            <w:tcW w:w="128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经济效益</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1"/>
                <w:sz w:val="24"/>
                <w:szCs w:val="24"/>
              </w:rPr>
            </w:pP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2"/>
                <w:sz w:val="24"/>
                <w:szCs w:val="24"/>
              </w:rPr>
            </w:pP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8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社会效益</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1"/>
                <w:sz w:val="24"/>
                <w:szCs w:val="24"/>
              </w:rPr>
            </w:pP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2"/>
                <w:sz w:val="24"/>
                <w:szCs w:val="24"/>
              </w:rPr>
            </w:pP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8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生态效益</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spacing w:val="-1"/>
                <w:sz w:val="24"/>
                <w:szCs w:val="24"/>
              </w:rPr>
            </w:pPr>
            <w:r>
              <w:rPr>
                <w:rFonts w:hint="eastAsia" w:ascii="仿宋" w:hAnsi="仿宋" w:eastAsia="仿宋" w:cs="仿宋"/>
                <w:b/>
                <w:bCs/>
                <w:color w:val="auto"/>
                <w:spacing w:val="-2"/>
                <w:sz w:val="24"/>
                <w:szCs w:val="24"/>
              </w:rPr>
              <w:t>森林火</w:t>
            </w:r>
            <w:r>
              <w:rPr>
                <w:rFonts w:hint="eastAsia" w:ascii="仿宋" w:hAnsi="仿宋" w:eastAsia="仿宋" w:cs="仿宋"/>
                <w:b/>
                <w:bCs/>
                <w:color w:val="auto"/>
                <w:spacing w:val="-1"/>
                <w:sz w:val="24"/>
                <w:szCs w:val="24"/>
              </w:rPr>
              <w:t>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4"/>
                <w:sz w:val="24"/>
                <w:szCs w:val="24"/>
              </w:rPr>
              <w:t>受</w:t>
            </w:r>
            <w:r>
              <w:rPr>
                <w:rFonts w:hint="eastAsia" w:ascii="仿宋" w:hAnsi="仿宋" w:eastAsia="仿宋" w:cs="仿宋"/>
                <w:b/>
                <w:bCs/>
                <w:color w:val="auto"/>
                <w:spacing w:val="-2"/>
                <w:sz w:val="24"/>
                <w:szCs w:val="24"/>
              </w:rPr>
              <w:t>害降低</w:t>
            </w:r>
            <w:r>
              <w:rPr>
                <w:rFonts w:hint="eastAsia" w:ascii="仿宋" w:hAnsi="仿宋" w:eastAsia="仿宋" w:cs="仿宋"/>
                <w:b/>
                <w:bCs/>
                <w:color w:val="auto"/>
                <w:spacing w:val="26"/>
                <w:sz w:val="24"/>
                <w:szCs w:val="24"/>
              </w:rPr>
              <w:t>率</w:t>
            </w:r>
            <w:r>
              <w:rPr>
                <w:rFonts w:hint="eastAsia" w:ascii="仿宋" w:hAnsi="仿宋" w:eastAsia="仿宋" w:cs="仿宋"/>
                <w:b/>
                <w:bCs/>
                <w:color w:val="auto"/>
                <w:spacing w:val="23"/>
                <w:sz w:val="24"/>
                <w:szCs w:val="24"/>
              </w:rPr>
              <w:t>(%)</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=10%</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3"/>
                <w:sz w:val="24"/>
                <w:szCs w:val="24"/>
              </w:rPr>
              <w:t>20</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3"/>
                <w:sz w:val="24"/>
                <w:szCs w:val="24"/>
              </w:rPr>
              <w:t>20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8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4"/>
                <w:sz w:val="24"/>
                <w:szCs w:val="24"/>
              </w:rPr>
              <w:t>可</w:t>
            </w:r>
            <w:r>
              <w:rPr>
                <w:rFonts w:hint="eastAsia" w:ascii="仿宋" w:hAnsi="仿宋" w:eastAsia="仿宋" w:cs="仿宋"/>
                <w:b/>
                <w:bCs/>
                <w:color w:val="auto"/>
                <w:spacing w:val="-2"/>
                <w:sz w:val="24"/>
                <w:szCs w:val="24"/>
              </w:rPr>
              <w:t>持续</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2"/>
                <w:sz w:val="24"/>
                <w:szCs w:val="24"/>
              </w:rPr>
              <w:t>影</w:t>
            </w:r>
            <w:r>
              <w:rPr>
                <w:rFonts w:hint="eastAsia" w:ascii="仿宋" w:hAnsi="仿宋" w:eastAsia="仿宋" w:cs="仿宋"/>
                <w:b/>
                <w:bCs/>
                <w:color w:val="auto"/>
                <w:sz w:val="24"/>
                <w:szCs w:val="24"/>
              </w:rPr>
              <w:t>响</w:t>
            </w:r>
          </w:p>
        </w:tc>
        <w:tc>
          <w:tcPr>
            <w:tcW w:w="129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1"/>
                <w:sz w:val="24"/>
                <w:szCs w:val="24"/>
              </w:rPr>
            </w:pP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2"/>
                <w:sz w:val="24"/>
                <w:szCs w:val="24"/>
              </w:rPr>
            </w:pP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满意度</w:t>
            </w:r>
          </w:p>
        </w:tc>
        <w:tc>
          <w:tcPr>
            <w:tcW w:w="128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满意度</w:t>
            </w:r>
          </w:p>
        </w:tc>
        <w:tc>
          <w:tcPr>
            <w:tcW w:w="1291" w:type="dxa"/>
            <w:gridSpan w:val="2"/>
            <w:tcBorders>
              <w:top w:val="single" w:color="000000" w:sz="2" w:space="0"/>
              <w:bottom w:val="single" w:color="000000" w:sz="2" w:space="0"/>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3"/>
                <w:sz w:val="24"/>
                <w:szCs w:val="24"/>
              </w:rPr>
              <w:t>森</w:t>
            </w:r>
            <w:r>
              <w:rPr>
                <w:rFonts w:hint="eastAsia" w:ascii="仿宋" w:hAnsi="仿宋" w:eastAsia="仿宋" w:cs="仿宋"/>
                <w:b/>
                <w:bCs/>
                <w:color w:val="auto"/>
                <w:spacing w:val="-2"/>
                <w:sz w:val="24"/>
                <w:szCs w:val="24"/>
              </w:rPr>
              <w:t>防队员</w:t>
            </w:r>
            <w:r>
              <w:rPr>
                <w:rFonts w:hint="eastAsia" w:ascii="仿宋" w:hAnsi="仿宋" w:eastAsia="仿宋" w:cs="仿宋"/>
                <w:b/>
                <w:bCs/>
                <w:color w:val="auto"/>
                <w:sz w:val="24"/>
                <w:szCs w:val="24"/>
              </w:rPr>
              <w:t xml:space="preserve"> </w:t>
            </w:r>
            <w:r>
              <w:rPr>
                <w:rFonts w:hint="eastAsia" w:ascii="仿宋" w:hAnsi="仿宋" w:eastAsia="仿宋" w:cs="仿宋"/>
                <w:b/>
                <w:bCs/>
                <w:color w:val="auto"/>
                <w:spacing w:val="-4"/>
                <w:sz w:val="24"/>
                <w:szCs w:val="24"/>
              </w:rPr>
              <w:t>满</w:t>
            </w:r>
            <w:r>
              <w:rPr>
                <w:rFonts w:hint="eastAsia" w:ascii="仿宋" w:hAnsi="仿宋" w:eastAsia="仿宋" w:cs="仿宋"/>
                <w:b/>
                <w:bCs/>
                <w:color w:val="auto"/>
                <w:spacing w:val="-3"/>
                <w:sz w:val="24"/>
                <w:szCs w:val="24"/>
              </w:rPr>
              <w:t>意</w:t>
            </w:r>
            <w:r>
              <w:rPr>
                <w:rFonts w:hint="eastAsia" w:ascii="仿宋" w:hAnsi="仿宋" w:eastAsia="仿宋" w:cs="仿宋"/>
                <w:b/>
                <w:bCs/>
                <w:color w:val="auto"/>
                <w:spacing w:val="-2"/>
                <w:sz w:val="24"/>
                <w:szCs w:val="24"/>
              </w:rPr>
              <w:t>度</w:t>
            </w:r>
            <w:r>
              <w:rPr>
                <w:rFonts w:hint="eastAsia" w:ascii="仿宋" w:hAnsi="仿宋" w:eastAsia="仿宋" w:cs="仿宋"/>
                <w:b/>
                <w:bCs/>
                <w:color w:val="auto"/>
                <w:spacing w:val="-6"/>
                <w:sz w:val="24"/>
                <w:szCs w:val="24"/>
              </w:rPr>
              <w:t>(</w:t>
            </w:r>
            <w:r>
              <w:rPr>
                <w:rFonts w:hint="eastAsia" w:ascii="仿宋" w:hAnsi="仿宋" w:eastAsia="仿宋" w:cs="仿宋"/>
                <w:b/>
                <w:bCs/>
                <w:color w:val="auto"/>
                <w:spacing w:val="-4"/>
                <w:sz w:val="24"/>
                <w:szCs w:val="24"/>
              </w:rPr>
              <w:t>%)</w:t>
            </w:r>
          </w:p>
        </w:tc>
        <w:tc>
          <w:tcPr>
            <w:tcW w:w="153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=95%</w:t>
            </w:r>
          </w:p>
        </w:tc>
        <w:tc>
          <w:tcPr>
            <w:tcW w:w="134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3"/>
                <w:sz w:val="24"/>
                <w:szCs w:val="24"/>
              </w:rPr>
              <w:t>9</w:t>
            </w:r>
            <w:r>
              <w:rPr>
                <w:rFonts w:hint="eastAsia" w:ascii="仿宋" w:hAnsi="仿宋" w:eastAsia="仿宋" w:cs="仿宋"/>
                <w:color w:val="auto"/>
                <w:spacing w:val="-2"/>
                <w:sz w:val="24"/>
                <w:szCs w:val="24"/>
              </w:rPr>
              <w:t>5</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406" w:type="dxa"/>
            <w:gridSpan w:val="11"/>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pacing w:val="-3"/>
                <w:sz w:val="24"/>
                <w:szCs w:val="24"/>
              </w:rPr>
            </w:pPr>
            <w:r>
              <w:rPr>
                <w:rFonts w:hint="eastAsia" w:ascii="仿宋" w:hAnsi="仿宋" w:eastAsia="仿宋" w:cs="仿宋"/>
                <w:b/>
                <w:bCs/>
                <w:color w:val="auto"/>
                <w:spacing w:val="-2"/>
                <w:sz w:val="24"/>
                <w:szCs w:val="24"/>
                <w:lang w:eastAsia="zh-CN"/>
              </w:rPr>
              <w:t>总</w:t>
            </w:r>
            <w:r>
              <w:rPr>
                <w:rFonts w:hint="eastAsia" w:ascii="仿宋" w:hAnsi="仿宋" w:eastAsia="仿宋" w:cs="仿宋"/>
                <w:b/>
                <w:bCs/>
                <w:color w:val="auto"/>
                <w:spacing w:val="-2"/>
                <w:sz w:val="24"/>
                <w:szCs w:val="24"/>
                <w:lang w:val="en-US" w:eastAsia="zh-CN"/>
              </w:rPr>
              <w:t xml:space="preserve">  </w:t>
            </w:r>
            <w:r>
              <w:rPr>
                <w:rFonts w:hint="eastAsia" w:ascii="仿宋" w:hAnsi="仿宋" w:eastAsia="仿宋" w:cs="仿宋"/>
                <w:b/>
                <w:bCs/>
                <w:color w:val="auto"/>
                <w:spacing w:val="-2"/>
                <w:sz w:val="24"/>
                <w:szCs w:val="24"/>
                <w:lang w:eastAsia="zh-CN"/>
              </w:rPr>
              <w:t>计</w:t>
            </w:r>
          </w:p>
        </w:tc>
        <w:tc>
          <w:tcPr>
            <w:tcW w:w="6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r>
              <w:rPr>
                <w:rFonts w:hint="eastAsia" w:ascii="仿宋" w:hAnsi="仿宋" w:eastAsia="仿宋" w:cs="仿宋"/>
                <w:color w:val="auto"/>
                <w:spacing w:val="-6"/>
                <w:sz w:val="24"/>
                <w:szCs w:val="24"/>
                <w:lang w:val="en-US" w:eastAsia="zh-CN"/>
              </w:rPr>
              <w:t>0</w:t>
            </w:r>
          </w:p>
        </w:tc>
        <w:tc>
          <w:tcPr>
            <w:tcW w:w="79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r>
              <w:rPr>
                <w:rFonts w:hint="eastAsia" w:ascii="仿宋" w:hAnsi="仿宋" w:eastAsia="仿宋" w:cs="仿宋"/>
                <w:color w:val="auto"/>
                <w:spacing w:val="-6"/>
                <w:sz w:val="24"/>
                <w:szCs w:val="24"/>
                <w:lang w:val="en-US" w:eastAsia="zh-CN"/>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color w:val="auto"/>
          <w:sz w:val="32"/>
          <w:szCs w:val="32"/>
        </w:rPr>
        <w:sectPr>
          <w:footerReference r:id="rId3" w:type="default"/>
          <w:pgSz w:w="11906" w:h="16838"/>
          <w:pgMar w:top="1440" w:right="1803" w:bottom="1440" w:left="1803" w:header="850" w:footer="1587" w:gutter="0"/>
          <w:pgNumType w:fmt="decimal"/>
          <w:cols w:space="0" w:num="1"/>
          <w:rtlGutter w:val="0"/>
          <w:docGrid w:linePitch="0"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附件：</w:t>
      </w:r>
      <w:r>
        <w:rPr>
          <w:rFonts w:hint="eastAsia" w:ascii="仿宋" w:hAnsi="仿宋" w:eastAsia="仿宋" w:cs="仿宋"/>
          <w:color w:val="auto"/>
          <w:sz w:val="32"/>
          <w:szCs w:val="32"/>
          <w:lang w:val="en-US" w:eastAsia="zh-CN"/>
        </w:rPr>
        <w:t xml:space="preserve">项目自评表 </w:t>
      </w:r>
    </w:p>
    <w:tbl>
      <w:tblPr>
        <w:tblStyle w:val="11"/>
        <w:tblpPr w:leftFromText="180" w:rightFromText="180" w:vertAnchor="text" w:horzAnchor="page" w:tblpXSpec="center" w:tblpY="573"/>
        <w:tblOverlap w:val="never"/>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390"/>
        <w:gridCol w:w="899"/>
        <w:gridCol w:w="772"/>
        <w:gridCol w:w="461"/>
        <w:gridCol w:w="973"/>
        <w:gridCol w:w="609"/>
        <w:gridCol w:w="825"/>
        <w:gridCol w:w="402"/>
        <w:gridCol w:w="1032"/>
        <w:gridCol w:w="378"/>
        <w:gridCol w:w="527"/>
        <w:gridCol w:w="193"/>
        <w:gridCol w:w="720"/>
        <w:gridCol w:w="300"/>
        <w:gridCol w:w="1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项目</w:t>
            </w:r>
            <w:r>
              <w:rPr>
                <w:rFonts w:hint="eastAsia" w:ascii="仿宋" w:hAnsi="仿宋" w:eastAsia="仿宋" w:cs="仿宋"/>
                <w:b/>
                <w:bCs/>
                <w:color w:val="auto"/>
                <w:spacing w:val="-2"/>
                <w:sz w:val="24"/>
                <w:szCs w:val="24"/>
              </w:rPr>
              <w:t>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1"/>
                <w:sz w:val="24"/>
                <w:szCs w:val="24"/>
              </w:rPr>
              <w:t>(2022 年度</w:t>
            </w:r>
            <w:r>
              <w:rPr>
                <w:rFonts w:hint="eastAsia" w:ascii="仿宋" w:hAnsi="仿宋" w:eastAsia="仿宋" w:cs="仿宋"/>
                <w:color w:val="auto"/>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项</w:t>
            </w:r>
            <w:r>
              <w:rPr>
                <w:rFonts w:hint="eastAsia" w:ascii="仿宋" w:hAnsi="仿宋" w:eastAsia="仿宋" w:cs="仿宋"/>
                <w:b/>
                <w:bCs/>
                <w:color w:val="auto"/>
                <w:spacing w:val="-2"/>
                <w:sz w:val="24"/>
                <w:szCs w:val="24"/>
              </w:rPr>
              <w:t>目名称</w:t>
            </w:r>
          </w:p>
        </w:tc>
        <w:tc>
          <w:tcPr>
            <w:tcW w:w="7479" w:type="dxa"/>
            <w:gridSpan w:val="1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安全生产月宣传活动(新增)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主管部门</w:t>
            </w:r>
          </w:p>
        </w:tc>
        <w:tc>
          <w:tcPr>
            <w:tcW w:w="3270"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景德镇市昌江区应急管理</w:t>
            </w:r>
            <w:r>
              <w:rPr>
                <w:rFonts w:hint="eastAsia" w:ascii="仿宋" w:hAnsi="仿宋" w:eastAsia="仿宋" w:cs="仿宋"/>
                <w:color w:val="auto"/>
                <w:sz w:val="24"/>
                <w:szCs w:val="24"/>
              </w:rPr>
              <w:t>局</w:t>
            </w:r>
          </w:p>
        </w:tc>
        <w:tc>
          <w:tcPr>
            <w:tcW w:w="10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实</w:t>
            </w:r>
            <w:r>
              <w:rPr>
                <w:rFonts w:hint="eastAsia" w:ascii="仿宋" w:hAnsi="仿宋" w:eastAsia="仿宋" w:cs="仿宋"/>
                <w:b/>
                <w:bCs/>
                <w:color w:val="auto"/>
                <w:spacing w:val="-2"/>
                <w:sz w:val="24"/>
                <w:szCs w:val="24"/>
              </w:rPr>
              <w:t>施单位</w:t>
            </w:r>
          </w:p>
        </w:tc>
        <w:tc>
          <w:tcPr>
            <w:tcW w:w="3177"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景德镇市昌江区应急管理</w:t>
            </w:r>
            <w:r>
              <w:rPr>
                <w:rFonts w:hint="eastAsia" w:ascii="仿宋" w:hAnsi="仿宋" w:eastAsia="仿宋" w:cs="仿宋"/>
                <w:color w:val="auto"/>
                <w:sz w:val="24"/>
                <w:szCs w:val="24"/>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资</w:t>
            </w:r>
            <w:r>
              <w:rPr>
                <w:rFonts w:hint="eastAsia" w:ascii="仿宋" w:hAnsi="仿宋" w:eastAsia="仿宋" w:cs="仿宋"/>
                <w:b/>
                <w:bCs/>
                <w:color w:val="auto"/>
                <w:spacing w:val="-3"/>
                <w:sz w:val="24"/>
                <w:szCs w:val="24"/>
              </w:rPr>
              <w:t>金</w:t>
            </w:r>
            <w:r>
              <w:rPr>
                <w:rFonts w:hint="eastAsia" w:ascii="仿宋" w:hAnsi="仿宋" w:eastAsia="仿宋" w:cs="仿宋"/>
                <w:b/>
                <w:bCs/>
                <w:color w:val="auto"/>
                <w:spacing w:val="-2"/>
                <w:sz w:val="24"/>
                <w:szCs w:val="24"/>
              </w:rPr>
              <w:t>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年初预</w:t>
            </w:r>
            <w:r>
              <w:rPr>
                <w:rFonts w:hint="eastAsia" w:ascii="仿宋" w:hAnsi="仿宋" w:eastAsia="仿宋" w:cs="仿宋"/>
                <w:b/>
                <w:bCs/>
                <w:color w:val="auto"/>
                <w:spacing w:val="-1"/>
                <w:sz w:val="24"/>
                <w:szCs w:val="24"/>
              </w:rPr>
              <w:t>算数</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全年</w:t>
            </w:r>
            <w:r>
              <w:rPr>
                <w:rFonts w:hint="eastAsia" w:ascii="仿宋" w:hAnsi="仿宋" w:eastAsia="仿宋" w:cs="仿宋"/>
                <w:b/>
                <w:bCs/>
                <w:color w:val="auto"/>
                <w:spacing w:val="-1"/>
                <w:sz w:val="24"/>
                <w:szCs w:val="24"/>
              </w:rPr>
              <w:t>预算数</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全年</w:t>
            </w:r>
            <w:r>
              <w:rPr>
                <w:rFonts w:hint="eastAsia" w:ascii="仿宋" w:hAnsi="仿宋" w:eastAsia="仿宋" w:cs="仿宋"/>
                <w:b/>
                <w:bCs/>
                <w:color w:val="auto"/>
                <w:spacing w:val="-1"/>
                <w:sz w:val="24"/>
                <w:szCs w:val="24"/>
              </w:rPr>
              <w:t>执行数</w:t>
            </w:r>
          </w:p>
        </w:tc>
        <w:tc>
          <w:tcPr>
            <w:tcW w:w="90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分值</w:t>
            </w:r>
          </w:p>
        </w:tc>
        <w:tc>
          <w:tcPr>
            <w:tcW w:w="1213"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执行率</w:t>
            </w:r>
            <w:r>
              <w:rPr>
                <w:rFonts w:hint="eastAsia" w:ascii="仿宋" w:hAnsi="仿宋" w:eastAsia="仿宋" w:cs="仿宋"/>
                <w:b/>
                <w:bCs/>
                <w:color w:val="auto"/>
                <w:spacing w:val="-1"/>
                <w:sz w:val="24"/>
                <w:szCs w:val="24"/>
              </w:rPr>
              <w:t>(%)</w:t>
            </w:r>
          </w:p>
        </w:tc>
        <w:tc>
          <w:tcPr>
            <w:tcW w:w="105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得</w:t>
            </w:r>
            <w:r>
              <w:rPr>
                <w:rFonts w:hint="eastAsia" w:ascii="仿宋" w:hAnsi="仿宋" w:eastAsia="仿宋" w:cs="仿宋"/>
                <w:b/>
                <w:bCs/>
                <w:color w:val="auto"/>
                <w:spacing w:val="-2"/>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13"/>
                <w:sz w:val="24"/>
                <w:szCs w:val="24"/>
              </w:rPr>
            </w:pPr>
            <w:r>
              <w:rPr>
                <w:rFonts w:hint="eastAsia" w:ascii="仿宋" w:hAnsi="仿宋" w:eastAsia="仿宋" w:cs="仿宋"/>
                <w:b/>
                <w:bCs/>
                <w:color w:val="auto"/>
                <w:spacing w:val="13"/>
                <w:sz w:val="24"/>
                <w:szCs w:val="24"/>
              </w:rPr>
              <w:t>项目</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13"/>
                <w:sz w:val="24"/>
                <w:szCs w:val="24"/>
              </w:rPr>
            </w:pPr>
            <w:r>
              <w:rPr>
                <w:rFonts w:hint="eastAsia" w:ascii="仿宋" w:hAnsi="仿宋" w:eastAsia="仿宋" w:cs="仿宋"/>
                <w:b/>
                <w:bCs/>
                <w:color w:val="auto"/>
                <w:spacing w:val="13"/>
                <w:sz w:val="24"/>
                <w:szCs w:val="24"/>
              </w:rPr>
              <w:t>资金</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13"/>
                <w:sz w:val="24"/>
                <w:szCs w:val="24"/>
              </w:rPr>
              <w:t>(万元)</w:t>
            </w: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年</w:t>
            </w:r>
            <w:r>
              <w:rPr>
                <w:rFonts w:hint="eastAsia" w:ascii="仿宋" w:hAnsi="仿宋" w:eastAsia="仿宋" w:cs="仿宋"/>
                <w:b/>
                <w:bCs/>
                <w:color w:val="auto"/>
                <w:spacing w:val="-3"/>
                <w:sz w:val="24"/>
                <w:szCs w:val="24"/>
              </w:rPr>
              <w:t>度资</w:t>
            </w:r>
            <w:r>
              <w:rPr>
                <w:rFonts w:hint="eastAsia" w:ascii="仿宋" w:hAnsi="仿宋" w:eastAsia="仿宋" w:cs="仿宋"/>
                <w:b/>
                <w:bCs/>
                <w:color w:val="auto"/>
                <w:spacing w:val="-5"/>
                <w:sz w:val="24"/>
                <w:szCs w:val="24"/>
              </w:rPr>
              <w:t>金</w:t>
            </w:r>
            <w:r>
              <w:rPr>
                <w:rFonts w:hint="eastAsia" w:ascii="仿宋" w:hAnsi="仿宋" w:eastAsia="仿宋" w:cs="仿宋"/>
                <w:b/>
                <w:bCs/>
                <w:color w:val="auto"/>
                <w:spacing w:val="-3"/>
                <w:sz w:val="24"/>
                <w:szCs w:val="24"/>
              </w:rPr>
              <w:t>总额</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90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1213"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105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其中：财政拨款</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90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63"/>
                <w:position w:val="1"/>
                <w:sz w:val="24"/>
                <w:szCs w:val="24"/>
              </w:rPr>
              <w:t>-</w:t>
            </w:r>
          </w:p>
        </w:tc>
        <w:tc>
          <w:tcPr>
            <w:tcW w:w="1213"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105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63"/>
                <w:position w:val="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55" w:type="dxa"/>
            <w:gridSpan w:val="2"/>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67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其他资金</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4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0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63"/>
                <w:position w:val="1"/>
                <w:sz w:val="24"/>
                <w:szCs w:val="24"/>
              </w:rPr>
              <w:t>-</w:t>
            </w:r>
          </w:p>
        </w:tc>
        <w:tc>
          <w:tcPr>
            <w:tcW w:w="1213"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5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63"/>
                <w:position w:val="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偏差原因及整改措</w:t>
            </w:r>
            <w:r>
              <w:rPr>
                <w:rFonts w:hint="eastAsia" w:ascii="仿宋" w:hAnsi="仿宋" w:eastAsia="仿宋" w:cs="仿宋"/>
                <w:b/>
                <w:bCs/>
                <w:color w:val="auto"/>
                <w:sz w:val="24"/>
                <w:szCs w:val="24"/>
              </w:rPr>
              <w:t>施</w:t>
            </w:r>
          </w:p>
        </w:tc>
        <w:tc>
          <w:tcPr>
            <w:tcW w:w="7479" w:type="dxa"/>
            <w:gridSpan w:val="1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6" w:type="dxa"/>
            <w:gridSpan w:val="4"/>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年度</w:t>
            </w:r>
            <w:r>
              <w:rPr>
                <w:rFonts w:hint="eastAsia" w:ascii="仿宋" w:hAnsi="仿宋" w:eastAsia="仿宋" w:cs="仿宋"/>
                <w:b/>
                <w:bCs/>
                <w:color w:val="auto"/>
                <w:spacing w:val="-1"/>
                <w:sz w:val="24"/>
                <w:szCs w:val="24"/>
              </w:rPr>
              <w:t>总体目标</w:t>
            </w:r>
          </w:p>
        </w:tc>
        <w:tc>
          <w:tcPr>
            <w:tcW w:w="4302"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预期目标</w:t>
            </w:r>
          </w:p>
        </w:tc>
        <w:tc>
          <w:tcPr>
            <w:tcW w:w="3177"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完成实</w:t>
            </w:r>
            <w:r>
              <w:rPr>
                <w:rFonts w:hint="eastAsia" w:ascii="仿宋" w:hAnsi="仿宋" w:eastAsia="仿宋" w:cs="仿宋"/>
                <w:b/>
                <w:bCs/>
                <w:color w:val="auto"/>
                <w:spacing w:val="-1"/>
                <w:sz w:val="24"/>
                <w:szCs w:val="24"/>
              </w:rPr>
              <w:t>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726" w:type="dxa"/>
            <w:gridSpan w:val="4"/>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4302"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宣传</w:t>
            </w:r>
            <w:r>
              <w:rPr>
                <w:rFonts w:hint="eastAsia" w:ascii="仿宋" w:hAnsi="仿宋" w:eastAsia="仿宋" w:cs="仿宋"/>
                <w:color w:val="auto"/>
                <w:spacing w:val="-3"/>
                <w:sz w:val="24"/>
                <w:szCs w:val="24"/>
              </w:rPr>
              <w:t>活动取得良好效果。</w:t>
            </w:r>
          </w:p>
        </w:tc>
        <w:tc>
          <w:tcPr>
            <w:tcW w:w="3177"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宣传</w:t>
            </w:r>
            <w:r>
              <w:rPr>
                <w:rFonts w:hint="eastAsia" w:ascii="仿宋" w:hAnsi="仿宋" w:eastAsia="仿宋" w:cs="仿宋"/>
                <w:color w:val="auto"/>
                <w:spacing w:val="-3"/>
                <w:sz w:val="24"/>
                <w:szCs w:val="24"/>
              </w:rPr>
              <w:t>活动取得良好效果。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05" w:type="dxa"/>
            <w:gridSpan w:val="1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绩</w:t>
            </w:r>
            <w:r>
              <w:rPr>
                <w:rFonts w:hint="eastAsia" w:ascii="仿宋" w:hAnsi="仿宋" w:eastAsia="仿宋" w:cs="仿宋"/>
                <w:b/>
                <w:bCs/>
                <w:color w:val="auto"/>
                <w:spacing w:val="-2"/>
                <w:sz w:val="24"/>
                <w:szCs w:val="24"/>
              </w:rPr>
              <w:t>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一</w:t>
            </w:r>
            <w:r>
              <w:rPr>
                <w:rFonts w:hint="eastAsia" w:ascii="仿宋" w:hAnsi="仿宋" w:eastAsia="仿宋" w:cs="仿宋"/>
                <w:b/>
                <w:bCs/>
                <w:color w:val="auto"/>
                <w:spacing w:val="-2"/>
                <w:sz w:val="24"/>
                <w:szCs w:val="24"/>
              </w:rPr>
              <w:t>级指标</w:t>
            </w:r>
          </w:p>
        </w:tc>
        <w:tc>
          <w:tcPr>
            <w:tcW w:w="1233"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二</w:t>
            </w:r>
            <w:r>
              <w:rPr>
                <w:rFonts w:hint="eastAsia" w:ascii="仿宋" w:hAnsi="仿宋" w:eastAsia="仿宋" w:cs="仿宋"/>
                <w:b/>
                <w:bCs/>
                <w:color w:val="auto"/>
                <w:spacing w:val="-2"/>
                <w:sz w:val="24"/>
                <w:szCs w:val="24"/>
              </w:rPr>
              <w:t>级指标</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三级指</w:t>
            </w:r>
            <w:r>
              <w:rPr>
                <w:rFonts w:hint="eastAsia" w:ascii="仿宋" w:hAnsi="仿宋" w:eastAsia="仿宋" w:cs="仿宋"/>
                <w:b/>
                <w:bCs/>
                <w:color w:val="auto"/>
                <w:spacing w:val="-1"/>
                <w:sz w:val="24"/>
                <w:szCs w:val="24"/>
              </w:rPr>
              <w:t>标</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年度指标</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5"/>
                <w:sz w:val="24"/>
                <w:szCs w:val="24"/>
              </w:rPr>
              <w:t>实</w:t>
            </w:r>
            <w:r>
              <w:rPr>
                <w:rFonts w:hint="eastAsia" w:ascii="仿宋" w:hAnsi="仿宋" w:eastAsia="仿宋" w:cs="仿宋"/>
                <w:b/>
                <w:bCs/>
                <w:color w:val="auto"/>
                <w:spacing w:val="-3"/>
                <w:sz w:val="24"/>
                <w:szCs w:val="24"/>
              </w:rPr>
              <w:t>际</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完成</w:t>
            </w:r>
            <w:r>
              <w:rPr>
                <w:rFonts w:hint="eastAsia" w:ascii="仿宋" w:hAnsi="仿宋" w:eastAsia="仿宋" w:cs="仿宋"/>
                <w:b/>
                <w:bCs/>
                <w:color w:val="auto"/>
                <w:sz w:val="24"/>
                <w:szCs w:val="24"/>
              </w:rPr>
              <w:t>值</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分值</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得</w:t>
            </w:r>
            <w:r>
              <w:rPr>
                <w:rFonts w:hint="eastAsia" w:ascii="仿宋" w:hAnsi="仿宋" w:eastAsia="仿宋" w:cs="仿宋"/>
                <w:b/>
                <w:bCs/>
                <w:color w:val="auto"/>
                <w:spacing w:val="-2"/>
                <w:sz w:val="24"/>
                <w:szCs w:val="24"/>
              </w:rPr>
              <w:t>分</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执行率</w:t>
            </w:r>
            <w:r>
              <w:rPr>
                <w:rFonts w:hint="eastAsia" w:ascii="仿宋" w:hAnsi="仿宋" w:eastAsia="仿宋" w:cs="仿宋"/>
                <w:b/>
                <w:bCs/>
                <w:color w:val="auto"/>
                <w:spacing w:val="-1"/>
                <w:sz w:val="24"/>
                <w:szCs w:val="24"/>
              </w:rPr>
              <w:t>偏</w:t>
            </w:r>
            <w:r>
              <w:rPr>
                <w:rFonts w:hint="eastAsia" w:ascii="仿宋" w:hAnsi="仿宋" w:eastAsia="仿宋" w:cs="仿宋"/>
                <w:b/>
                <w:bCs/>
                <w:color w:val="auto"/>
                <w:spacing w:val="-3"/>
                <w:sz w:val="24"/>
                <w:szCs w:val="24"/>
              </w:rPr>
              <w:t>差</w:t>
            </w:r>
            <w:r>
              <w:rPr>
                <w:rFonts w:hint="eastAsia" w:ascii="仿宋" w:hAnsi="仿宋" w:eastAsia="仿宋" w:cs="仿宋"/>
                <w:b/>
                <w:bCs/>
                <w:color w:val="auto"/>
                <w:spacing w:val="-2"/>
                <w:sz w:val="24"/>
                <w:szCs w:val="24"/>
              </w:rPr>
              <w:t>原因分析及改进</w:t>
            </w:r>
            <w:r>
              <w:rPr>
                <w:rFonts w:hint="eastAsia" w:ascii="仿宋" w:hAnsi="仿宋" w:eastAsia="仿宋" w:cs="仿宋"/>
                <w:b/>
                <w:bCs/>
                <w:color w:val="auto"/>
                <w:spacing w:val="-3"/>
                <w:sz w:val="24"/>
                <w:szCs w:val="24"/>
              </w:rPr>
              <w:t>措</w:t>
            </w:r>
            <w:r>
              <w:rPr>
                <w:rFonts w:hint="eastAsia" w:ascii="仿宋" w:hAnsi="仿宋" w:eastAsia="仿宋" w:cs="仿宋"/>
                <w:b/>
                <w:bCs/>
                <w:color w:val="auto"/>
                <w:spacing w:val="-2"/>
                <w:sz w:val="24"/>
                <w:szCs w:val="24"/>
              </w:rPr>
              <w:t>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绩</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效</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目</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标</w:t>
            </w:r>
          </w:p>
        </w:tc>
        <w:tc>
          <w:tcPr>
            <w:tcW w:w="1289" w:type="dxa"/>
            <w:gridSpan w:val="2"/>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产出指</w:t>
            </w:r>
            <w:r>
              <w:rPr>
                <w:rFonts w:hint="eastAsia" w:ascii="仿宋" w:hAnsi="仿宋" w:eastAsia="仿宋" w:cs="仿宋"/>
                <w:b/>
                <w:bCs/>
                <w:color w:val="auto"/>
                <w:spacing w:val="-1"/>
                <w:sz w:val="24"/>
                <w:szCs w:val="24"/>
              </w:rPr>
              <w:t>标</w:t>
            </w:r>
          </w:p>
        </w:tc>
        <w:tc>
          <w:tcPr>
            <w:tcW w:w="1233" w:type="dxa"/>
            <w:gridSpan w:val="2"/>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数</w:t>
            </w:r>
            <w:r>
              <w:rPr>
                <w:rFonts w:hint="eastAsia" w:ascii="仿宋" w:hAnsi="仿宋" w:eastAsia="仿宋" w:cs="仿宋"/>
                <w:b/>
                <w:bCs/>
                <w:color w:val="auto"/>
                <w:spacing w:val="-2"/>
                <w:sz w:val="24"/>
                <w:szCs w:val="24"/>
              </w:rPr>
              <w:t>量</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发放宣传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6"/>
                <w:sz w:val="24"/>
                <w:szCs w:val="24"/>
              </w:rPr>
              <w:t>纪</w:t>
            </w:r>
            <w:r>
              <w:rPr>
                <w:rFonts w:hint="eastAsia" w:ascii="仿宋" w:hAnsi="仿宋" w:eastAsia="仿宋" w:cs="仿宋"/>
                <w:b/>
                <w:bCs/>
                <w:color w:val="auto"/>
                <w:spacing w:val="-4"/>
                <w:sz w:val="24"/>
                <w:szCs w:val="24"/>
              </w:rPr>
              <w:t>念品</w:t>
            </w:r>
            <w:r>
              <w:rPr>
                <w:rFonts w:hint="eastAsia" w:ascii="仿宋" w:hAnsi="仿宋" w:eastAsia="仿宋" w:cs="仿宋"/>
                <w:b/>
                <w:bCs/>
                <w:color w:val="auto"/>
                <w:spacing w:val="27"/>
                <w:sz w:val="24"/>
                <w:szCs w:val="24"/>
              </w:rPr>
              <w:t>(</w:t>
            </w:r>
            <w:r>
              <w:rPr>
                <w:rFonts w:hint="eastAsia" w:ascii="仿宋" w:hAnsi="仿宋" w:eastAsia="仿宋" w:cs="仿宋"/>
                <w:b/>
                <w:bCs/>
                <w:color w:val="auto"/>
                <w:spacing w:val="25"/>
                <w:sz w:val="24"/>
                <w:szCs w:val="24"/>
              </w:rPr>
              <w:t>份)</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1"/>
                <w:sz w:val="24"/>
                <w:szCs w:val="24"/>
              </w:rPr>
              <w:t>&gt;</w:t>
            </w:r>
            <w:r>
              <w:rPr>
                <w:rFonts w:hint="eastAsia" w:ascii="仿宋" w:hAnsi="仿宋" w:eastAsia="仿宋" w:cs="仿宋"/>
                <w:color w:val="auto"/>
                <w:spacing w:val="-8"/>
                <w:sz w:val="24"/>
                <w:szCs w:val="24"/>
              </w:rPr>
              <w:t>=500 份</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3"/>
                <w:sz w:val="24"/>
                <w:szCs w:val="24"/>
              </w:rPr>
              <w:t>6</w:t>
            </w:r>
            <w:r>
              <w:rPr>
                <w:rFonts w:hint="eastAsia" w:ascii="仿宋" w:hAnsi="仿宋" w:eastAsia="仿宋" w:cs="仿宋"/>
                <w:color w:val="auto"/>
                <w:spacing w:val="-2"/>
                <w:sz w:val="24"/>
                <w:szCs w:val="24"/>
              </w:rPr>
              <w:t>00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p>
        </w:tc>
        <w:tc>
          <w:tcPr>
            <w:tcW w:w="123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发放宣传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17"/>
                <w:sz w:val="24"/>
                <w:szCs w:val="24"/>
              </w:rPr>
              <w:t>资</w:t>
            </w:r>
            <w:r>
              <w:rPr>
                <w:rFonts w:hint="eastAsia" w:ascii="仿宋" w:hAnsi="仿宋" w:eastAsia="仿宋" w:cs="仿宋"/>
                <w:b/>
                <w:bCs/>
                <w:color w:val="auto"/>
                <w:spacing w:val="14"/>
                <w:sz w:val="24"/>
                <w:szCs w:val="24"/>
              </w:rPr>
              <w:t>料(份)</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0"/>
                <w:sz w:val="24"/>
                <w:szCs w:val="24"/>
              </w:rPr>
              <w:t>&gt;</w:t>
            </w:r>
            <w:r>
              <w:rPr>
                <w:rFonts w:hint="eastAsia" w:ascii="仿宋" w:hAnsi="仿宋" w:eastAsia="仿宋" w:cs="仿宋"/>
                <w:color w:val="auto"/>
                <w:spacing w:val="-7"/>
                <w:sz w:val="24"/>
                <w:szCs w:val="24"/>
              </w:rPr>
              <w:t>=5000 份</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2"/>
                <w:sz w:val="24"/>
                <w:szCs w:val="24"/>
              </w:rPr>
              <w:t>6000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p>
        </w:tc>
        <w:tc>
          <w:tcPr>
            <w:tcW w:w="1233" w:type="dxa"/>
            <w:gridSpan w:val="2"/>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4"/>
                <w:sz w:val="24"/>
                <w:szCs w:val="24"/>
              </w:rPr>
              <w:t>现</w:t>
            </w:r>
            <w:r>
              <w:rPr>
                <w:rFonts w:hint="eastAsia" w:ascii="仿宋" w:hAnsi="仿宋" w:eastAsia="仿宋" w:cs="仿宋"/>
                <w:b/>
                <w:bCs/>
                <w:color w:val="auto"/>
                <w:spacing w:val="-2"/>
                <w:sz w:val="24"/>
                <w:szCs w:val="24"/>
              </w:rPr>
              <w:t>场活动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17"/>
                <w:sz w:val="24"/>
                <w:szCs w:val="24"/>
              </w:rPr>
              <w:t>次</w:t>
            </w:r>
            <w:r>
              <w:rPr>
                <w:rFonts w:hint="eastAsia" w:ascii="仿宋" w:hAnsi="仿宋" w:eastAsia="仿宋" w:cs="仿宋"/>
                <w:b/>
                <w:bCs/>
                <w:color w:val="auto"/>
                <w:spacing w:val="15"/>
                <w:sz w:val="24"/>
                <w:szCs w:val="24"/>
              </w:rPr>
              <w:t>数(次)</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3"/>
                <w:sz w:val="24"/>
                <w:szCs w:val="24"/>
              </w:rPr>
              <w:t>=</w:t>
            </w:r>
            <w:r>
              <w:rPr>
                <w:rFonts w:hint="eastAsia" w:ascii="仿宋" w:hAnsi="仿宋" w:eastAsia="仿宋" w:cs="仿宋"/>
                <w:color w:val="auto"/>
                <w:spacing w:val="-11"/>
                <w:sz w:val="24"/>
                <w:szCs w:val="24"/>
              </w:rPr>
              <w:t>1 次</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1</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6</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6</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质</w:t>
            </w:r>
            <w:r>
              <w:rPr>
                <w:rFonts w:hint="eastAsia" w:ascii="仿宋" w:hAnsi="仿宋" w:eastAsia="仿宋" w:cs="仿宋"/>
                <w:b/>
                <w:bCs/>
                <w:color w:val="auto"/>
                <w:spacing w:val="-2"/>
                <w:sz w:val="24"/>
                <w:szCs w:val="24"/>
              </w:rPr>
              <w:t>量</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活动方案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b/>
                <w:bCs/>
                <w:color w:val="auto"/>
                <w:spacing w:val="-3"/>
                <w:sz w:val="24"/>
                <w:szCs w:val="24"/>
              </w:rPr>
              <w:t>完</w:t>
            </w:r>
            <w:r>
              <w:rPr>
                <w:rFonts w:hint="eastAsia" w:ascii="仿宋" w:hAnsi="仿宋" w:eastAsia="仿宋" w:cs="仿宋"/>
                <w:b/>
                <w:bCs/>
                <w:color w:val="auto"/>
                <w:spacing w:val="-2"/>
                <w:sz w:val="24"/>
                <w:szCs w:val="24"/>
              </w:rPr>
              <w:t>整性</w:t>
            </w:r>
            <w:r>
              <w:rPr>
                <w:rFonts w:hint="eastAsia" w:ascii="仿宋" w:hAnsi="仿宋" w:eastAsia="仿宋" w:cs="仿宋"/>
                <w:b/>
                <w:bCs/>
                <w:i w:val="0"/>
                <w:iCs w:val="0"/>
                <w:color w:val="auto"/>
                <w:spacing w:val="23"/>
                <w:sz w:val="24"/>
                <w:szCs w:val="24"/>
              </w:rPr>
              <w:t>(%)</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100%</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82"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6"/>
                <w:sz w:val="24"/>
                <w:szCs w:val="24"/>
              </w:rPr>
              <w:t>资</w:t>
            </w:r>
            <w:r>
              <w:rPr>
                <w:rFonts w:hint="eastAsia" w:ascii="仿宋" w:hAnsi="仿宋" w:eastAsia="仿宋" w:cs="仿宋"/>
                <w:b/>
                <w:bCs/>
                <w:color w:val="auto"/>
                <w:spacing w:val="-4"/>
                <w:sz w:val="24"/>
                <w:szCs w:val="24"/>
              </w:rPr>
              <w:t>料、纪</w:t>
            </w:r>
            <w:r>
              <w:rPr>
                <w:rFonts w:hint="eastAsia" w:ascii="仿宋" w:hAnsi="仿宋" w:eastAsia="仿宋" w:cs="仿宋"/>
                <w:b/>
                <w:bCs/>
                <w:color w:val="auto"/>
                <w:spacing w:val="-2"/>
                <w:sz w:val="24"/>
                <w:szCs w:val="24"/>
              </w:rPr>
              <w:t>念品</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spacing w:val="-2"/>
                <w:sz w:val="24"/>
                <w:szCs w:val="24"/>
              </w:rPr>
              <w:t>合格</w:t>
            </w:r>
            <w:r>
              <w:rPr>
                <w:rFonts w:hint="eastAsia" w:ascii="仿宋" w:hAnsi="仿宋" w:eastAsia="仿宋" w:cs="仿宋"/>
                <w:b/>
                <w:bCs/>
                <w:color w:val="auto"/>
                <w:spacing w:val="26"/>
                <w:sz w:val="24"/>
                <w:szCs w:val="24"/>
              </w:rPr>
              <w:t>率</w:t>
            </w:r>
            <w:r>
              <w:rPr>
                <w:rFonts w:hint="eastAsia" w:ascii="仿宋" w:hAnsi="仿宋" w:eastAsia="仿宋" w:cs="仿宋"/>
                <w:b/>
                <w:bCs/>
                <w:color w:val="auto"/>
                <w:spacing w:val="23"/>
                <w:sz w:val="24"/>
                <w:szCs w:val="24"/>
              </w:rPr>
              <w:t>(%)</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=99%</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时</w:t>
            </w:r>
            <w:r>
              <w:rPr>
                <w:rFonts w:hint="eastAsia" w:ascii="仿宋" w:hAnsi="仿宋" w:eastAsia="仿宋" w:cs="仿宋"/>
                <w:b/>
                <w:bCs/>
                <w:color w:val="auto"/>
                <w:spacing w:val="-4"/>
                <w:sz w:val="24"/>
                <w:szCs w:val="24"/>
              </w:rPr>
              <w:t>效</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b/>
                <w:bCs/>
                <w:color w:val="auto"/>
                <w:spacing w:val="-3"/>
                <w:sz w:val="24"/>
                <w:szCs w:val="24"/>
              </w:rPr>
              <w:t>宣</w:t>
            </w:r>
            <w:r>
              <w:rPr>
                <w:rFonts w:hint="eastAsia" w:ascii="仿宋" w:hAnsi="仿宋" w:eastAsia="仿宋" w:cs="仿宋"/>
                <w:b/>
                <w:bCs/>
                <w:color w:val="auto"/>
                <w:spacing w:val="-2"/>
                <w:sz w:val="24"/>
                <w:szCs w:val="24"/>
              </w:rPr>
              <w:t>传活动开展及</w:t>
            </w:r>
            <w:r>
              <w:rPr>
                <w:rFonts w:hint="eastAsia" w:ascii="仿宋" w:hAnsi="仿宋" w:eastAsia="仿宋" w:cs="仿宋"/>
                <w:b/>
                <w:bCs/>
                <w:color w:val="auto"/>
                <w:spacing w:val="-1"/>
                <w:sz w:val="24"/>
                <w:szCs w:val="24"/>
              </w:rPr>
              <w:t>时</w:t>
            </w:r>
            <w:r>
              <w:rPr>
                <w:rFonts w:hint="eastAsia" w:ascii="仿宋" w:hAnsi="仿宋" w:eastAsia="仿宋" w:cs="仿宋"/>
                <w:b/>
                <w:bCs/>
                <w:color w:val="auto"/>
                <w:spacing w:val="-4"/>
                <w:sz w:val="24"/>
                <w:szCs w:val="24"/>
              </w:rPr>
              <w:t>率</w:t>
            </w:r>
            <w:r>
              <w:rPr>
                <w:rFonts w:hint="eastAsia" w:ascii="仿宋" w:hAnsi="仿宋" w:eastAsia="仿宋" w:cs="仿宋"/>
                <w:b/>
                <w:bCs/>
                <w:color w:val="auto"/>
                <w:spacing w:val="-2"/>
                <w:sz w:val="24"/>
                <w:szCs w:val="24"/>
              </w:rPr>
              <w:t>(%)</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100%</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00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成</w:t>
            </w:r>
            <w:r>
              <w:rPr>
                <w:rFonts w:hint="eastAsia" w:ascii="仿宋" w:hAnsi="仿宋" w:eastAsia="仿宋" w:cs="仿宋"/>
                <w:b/>
                <w:bCs/>
                <w:color w:val="auto"/>
                <w:spacing w:val="-2"/>
                <w:sz w:val="24"/>
                <w:szCs w:val="24"/>
              </w:rPr>
              <w:t>本</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8"/>
                <w:sz w:val="24"/>
                <w:szCs w:val="24"/>
              </w:rPr>
            </w:pPr>
            <w:r>
              <w:rPr>
                <w:rFonts w:hint="eastAsia" w:ascii="仿宋" w:hAnsi="仿宋" w:eastAsia="仿宋" w:cs="仿宋"/>
                <w:b/>
                <w:bCs/>
                <w:color w:val="auto"/>
                <w:spacing w:val="-3"/>
                <w:sz w:val="24"/>
                <w:szCs w:val="24"/>
              </w:rPr>
              <w:t>宣</w:t>
            </w:r>
            <w:r>
              <w:rPr>
                <w:rFonts w:hint="eastAsia" w:ascii="仿宋" w:hAnsi="仿宋" w:eastAsia="仿宋" w:cs="仿宋"/>
                <w:b/>
                <w:bCs/>
                <w:color w:val="auto"/>
                <w:spacing w:val="-2"/>
                <w:sz w:val="24"/>
                <w:szCs w:val="24"/>
              </w:rPr>
              <w:t>传纪念</w:t>
            </w:r>
            <w:r>
              <w:rPr>
                <w:rFonts w:hint="eastAsia" w:ascii="仿宋" w:hAnsi="仿宋" w:eastAsia="仿宋" w:cs="仿宋"/>
                <w:b/>
                <w:bCs/>
                <w:color w:val="auto"/>
                <w:spacing w:val="-8"/>
                <w:sz w:val="24"/>
                <w:szCs w:val="24"/>
              </w:rPr>
              <w:t>品</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4"/>
                <w:sz w:val="24"/>
                <w:szCs w:val="24"/>
              </w:rPr>
              <w:t>平均单</w:t>
            </w:r>
            <w:r>
              <w:rPr>
                <w:rFonts w:hint="eastAsia" w:ascii="仿宋" w:hAnsi="仿宋" w:eastAsia="仿宋" w:cs="仿宋"/>
                <w:b/>
                <w:bCs/>
                <w:color w:val="auto"/>
                <w:sz w:val="24"/>
                <w:szCs w:val="24"/>
              </w:rPr>
              <w:t>价</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0"/>
                <w:sz w:val="24"/>
                <w:szCs w:val="24"/>
              </w:rPr>
              <w:t>=40 元</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2"/>
                <w:sz w:val="24"/>
                <w:szCs w:val="24"/>
              </w:rPr>
              <w:t>40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33"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8</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51"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8</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3"/>
                <w:sz w:val="24"/>
                <w:szCs w:val="24"/>
              </w:rPr>
              <w:t>宣</w:t>
            </w:r>
            <w:r>
              <w:rPr>
                <w:rFonts w:hint="eastAsia" w:ascii="仿宋" w:hAnsi="仿宋" w:eastAsia="仿宋" w:cs="仿宋"/>
                <w:b/>
                <w:bCs/>
                <w:color w:val="auto"/>
                <w:spacing w:val="-2"/>
                <w:sz w:val="24"/>
                <w:szCs w:val="24"/>
              </w:rPr>
              <w:t>传资料</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平均</w:t>
            </w:r>
            <w:r>
              <w:rPr>
                <w:rFonts w:hint="eastAsia" w:ascii="仿宋" w:hAnsi="仿宋" w:eastAsia="仿宋" w:cs="仿宋"/>
                <w:b/>
                <w:bCs/>
                <w:color w:val="auto"/>
                <w:spacing w:val="-1"/>
                <w:sz w:val="24"/>
                <w:szCs w:val="24"/>
              </w:rPr>
              <w:t>单价</w:t>
            </w:r>
            <w:r>
              <w:rPr>
                <w:rFonts w:hint="eastAsia" w:ascii="仿宋" w:hAnsi="仿宋" w:eastAsia="仿宋" w:cs="仿宋"/>
                <w:b/>
                <w:bCs/>
                <w:color w:val="auto"/>
                <w:spacing w:val="27"/>
                <w:sz w:val="24"/>
                <w:szCs w:val="24"/>
              </w:rPr>
              <w:t>(</w:t>
            </w:r>
            <w:r>
              <w:rPr>
                <w:rFonts w:hint="eastAsia" w:ascii="仿宋" w:hAnsi="仿宋" w:eastAsia="仿宋" w:cs="仿宋"/>
                <w:b/>
                <w:bCs/>
                <w:color w:val="auto"/>
                <w:spacing w:val="25"/>
                <w:sz w:val="24"/>
                <w:szCs w:val="24"/>
              </w:rPr>
              <w:t>元)</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4 元</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4</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38"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55"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7</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33" w:type="dxa"/>
            <w:gridSpan w:val="2"/>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4"/>
                <w:sz w:val="24"/>
                <w:szCs w:val="24"/>
              </w:rPr>
              <w:t>现</w:t>
            </w:r>
            <w:r>
              <w:rPr>
                <w:rFonts w:hint="eastAsia" w:ascii="仿宋" w:hAnsi="仿宋" w:eastAsia="仿宋" w:cs="仿宋"/>
                <w:b/>
                <w:bCs/>
                <w:color w:val="auto"/>
                <w:spacing w:val="-2"/>
                <w:sz w:val="24"/>
                <w:szCs w:val="24"/>
              </w:rPr>
              <w:t>场活动</w:t>
            </w:r>
            <w:r>
              <w:rPr>
                <w:rFonts w:hint="eastAsia" w:ascii="仿宋" w:hAnsi="仿宋" w:eastAsia="仿宋" w:cs="仿宋"/>
                <w:b/>
                <w:bCs/>
                <w:color w:val="auto"/>
                <w:spacing w:val="-5"/>
                <w:sz w:val="24"/>
                <w:szCs w:val="24"/>
              </w:rPr>
              <w:t>费用</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13"/>
                <w:sz w:val="24"/>
                <w:szCs w:val="24"/>
              </w:rPr>
              <w:t>=</w:t>
            </w:r>
            <w:r>
              <w:rPr>
                <w:rFonts w:hint="eastAsia" w:ascii="仿宋" w:hAnsi="仿宋" w:eastAsia="仿宋" w:cs="仿宋"/>
                <w:color w:val="auto"/>
                <w:spacing w:val="-10"/>
                <w:sz w:val="24"/>
                <w:szCs w:val="24"/>
              </w:rPr>
              <w:t>1 万元</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1</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537"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554" w:leftChars="0" w:right="0" w:rightChars="0" w:firstLine="480" w:firstLineChars="20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5</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效</w:t>
            </w:r>
            <w:r>
              <w:rPr>
                <w:rFonts w:hint="eastAsia" w:ascii="仿宋" w:hAnsi="仿宋" w:eastAsia="仿宋" w:cs="仿宋"/>
                <w:b/>
                <w:bCs/>
                <w:color w:val="auto"/>
                <w:spacing w:val="-2"/>
                <w:sz w:val="24"/>
                <w:szCs w:val="24"/>
              </w:rPr>
              <w:t>益指标</w:t>
            </w:r>
          </w:p>
        </w:tc>
        <w:tc>
          <w:tcPr>
            <w:tcW w:w="123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经济效益</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1"/>
                <w:sz w:val="24"/>
                <w:szCs w:val="24"/>
              </w:rPr>
            </w:pP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2"/>
                <w:sz w:val="24"/>
                <w:szCs w:val="24"/>
              </w:rPr>
            </w:pP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spacing w:val="-3"/>
                <w:sz w:val="24"/>
                <w:szCs w:val="24"/>
              </w:rPr>
            </w:pP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3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社会效益</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b/>
                <w:bCs/>
                <w:color w:val="auto"/>
                <w:spacing w:val="-2"/>
                <w:sz w:val="24"/>
                <w:szCs w:val="24"/>
              </w:rPr>
              <w:t>人民群众</w:t>
            </w:r>
            <w:r>
              <w:rPr>
                <w:rFonts w:hint="eastAsia" w:ascii="仿宋" w:hAnsi="仿宋" w:eastAsia="仿宋" w:cs="仿宋"/>
                <w:b/>
                <w:bCs/>
                <w:color w:val="auto"/>
                <w:spacing w:val="-4"/>
                <w:sz w:val="24"/>
                <w:szCs w:val="24"/>
              </w:rPr>
              <w:t>安</w:t>
            </w:r>
            <w:r>
              <w:rPr>
                <w:rFonts w:hint="eastAsia" w:ascii="仿宋" w:hAnsi="仿宋" w:eastAsia="仿宋" w:cs="仿宋"/>
                <w:b/>
                <w:bCs/>
                <w:color w:val="auto"/>
                <w:spacing w:val="-3"/>
                <w:sz w:val="24"/>
                <w:szCs w:val="24"/>
              </w:rPr>
              <w:t>全感提</w:t>
            </w:r>
            <w:r>
              <w:rPr>
                <w:rFonts w:hint="eastAsia" w:ascii="仿宋" w:hAnsi="仿宋" w:eastAsia="仿宋" w:cs="仿宋"/>
                <w:b/>
                <w:bCs/>
                <w:color w:val="auto"/>
                <w:spacing w:val="17"/>
                <w:sz w:val="24"/>
                <w:szCs w:val="24"/>
              </w:rPr>
              <w:t>高</w:t>
            </w:r>
            <w:r>
              <w:rPr>
                <w:rFonts w:hint="eastAsia" w:ascii="仿宋" w:hAnsi="仿宋" w:eastAsia="仿宋" w:cs="仿宋"/>
                <w:b/>
                <w:bCs/>
                <w:color w:val="auto"/>
                <w:spacing w:val="15"/>
                <w:sz w:val="24"/>
                <w:szCs w:val="24"/>
              </w:rPr>
              <w:t>率(%)</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=10%</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3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生态效益</w:t>
            </w:r>
          </w:p>
        </w:tc>
        <w:tc>
          <w:tcPr>
            <w:tcW w:w="158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center"/>
              <w:textAlignment w:val="auto"/>
              <w:rPr>
                <w:rFonts w:hint="eastAsia" w:ascii="仿宋" w:hAnsi="仿宋" w:eastAsia="仿宋" w:cs="仿宋"/>
                <w:b/>
                <w:bCs/>
                <w:color w:val="auto"/>
                <w:sz w:val="24"/>
                <w:szCs w:val="24"/>
              </w:rPr>
            </w:pPr>
          </w:p>
        </w:tc>
        <w:tc>
          <w:tcPr>
            <w:tcW w:w="123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4"/>
                <w:sz w:val="24"/>
                <w:szCs w:val="24"/>
              </w:rPr>
              <w:t>可</w:t>
            </w:r>
            <w:r>
              <w:rPr>
                <w:rFonts w:hint="eastAsia" w:ascii="仿宋" w:hAnsi="仿宋" w:eastAsia="仿宋" w:cs="仿宋"/>
                <w:b/>
                <w:bCs/>
                <w:color w:val="auto"/>
                <w:spacing w:val="-2"/>
                <w:sz w:val="24"/>
                <w:szCs w:val="24"/>
              </w:rPr>
              <w:t>持续</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3"/>
                <w:sz w:val="24"/>
                <w:szCs w:val="24"/>
              </w:rPr>
            </w:pPr>
            <w:r>
              <w:rPr>
                <w:rFonts w:hint="eastAsia" w:ascii="仿宋" w:hAnsi="仿宋" w:eastAsia="仿宋" w:cs="仿宋"/>
                <w:b/>
                <w:bCs/>
                <w:color w:val="auto"/>
                <w:spacing w:val="-2"/>
                <w:sz w:val="24"/>
                <w:szCs w:val="24"/>
              </w:rPr>
              <w:t>影</w:t>
            </w:r>
            <w:r>
              <w:rPr>
                <w:rFonts w:hint="eastAsia" w:ascii="仿宋" w:hAnsi="仿宋" w:eastAsia="仿宋" w:cs="仿宋"/>
                <w:b/>
                <w:bCs/>
                <w:color w:val="auto"/>
                <w:sz w:val="24"/>
                <w:szCs w:val="24"/>
              </w:rPr>
              <w:t>响</w:t>
            </w:r>
          </w:p>
        </w:tc>
        <w:tc>
          <w:tcPr>
            <w:tcW w:w="1582"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全民安</w:t>
            </w:r>
            <w:r>
              <w:rPr>
                <w:rFonts w:hint="eastAsia" w:ascii="仿宋" w:hAnsi="仿宋" w:eastAsia="仿宋" w:cs="仿宋"/>
                <w:b/>
                <w:bCs/>
                <w:color w:val="auto"/>
                <w:spacing w:val="-1"/>
                <w:sz w:val="24"/>
                <w:szCs w:val="24"/>
              </w:rPr>
              <w:t>全</w:t>
            </w:r>
            <w:r>
              <w:rPr>
                <w:rFonts w:hint="eastAsia" w:ascii="仿宋" w:hAnsi="仿宋" w:eastAsia="仿宋" w:cs="仿宋"/>
                <w:b/>
                <w:bCs/>
                <w:color w:val="auto"/>
                <w:spacing w:val="-4"/>
                <w:sz w:val="24"/>
                <w:szCs w:val="24"/>
              </w:rPr>
              <w:t>意</w:t>
            </w:r>
            <w:r>
              <w:rPr>
                <w:rFonts w:hint="eastAsia" w:ascii="仿宋" w:hAnsi="仿宋" w:eastAsia="仿宋" w:cs="仿宋"/>
                <w:b/>
                <w:bCs/>
                <w:color w:val="auto"/>
                <w:spacing w:val="-3"/>
                <w:sz w:val="24"/>
                <w:szCs w:val="24"/>
              </w:rPr>
              <w:t>识</w:t>
            </w:r>
            <w:r>
              <w:rPr>
                <w:rFonts w:hint="eastAsia" w:ascii="仿宋" w:hAnsi="仿宋" w:eastAsia="仿宋" w:cs="仿宋"/>
                <w:b/>
                <w:bCs/>
                <w:color w:val="auto"/>
                <w:spacing w:val="-2"/>
                <w:sz w:val="24"/>
                <w:szCs w:val="24"/>
              </w:rPr>
              <w:t>提高</w:t>
            </w:r>
            <w:r>
              <w:rPr>
                <w:rFonts w:hint="eastAsia" w:ascii="仿宋" w:hAnsi="仿宋" w:eastAsia="仿宋" w:cs="仿宋"/>
                <w:b/>
                <w:bCs/>
                <w:color w:val="auto"/>
                <w:spacing w:val="26"/>
                <w:sz w:val="24"/>
                <w:szCs w:val="24"/>
              </w:rPr>
              <w:t>率</w:t>
            </w:r>
            <w:r>
              <w:rPr>
                <w:rFonts w:hint="eastAsia" w:ascii="仿宋" w:hAnsi="仿宋" w:eastAsia="仿宋" w:cs="仿宋"/>
                <w:b/>
                <w:bCs/>
                <w:color w:val="auto"/>
                <w:spacing w:val="23"/>
                <w:sz w:val="24"/>
                <w:szCs w:val="24"/>
              </w:rPr>
              <w:t>(%)</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=10%</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jc w:val="center"/>
              <w:textAlignment w:val="auto"/>
              <w:rPr>
                <w:rFonts w:hint="eastAsia" w:ascii="仿宋" w:hAnsi="仿宋" w:eastAsia="仿宋" w:cs="仿宋"/>
                <w:color w:val="auto"/>
                <w:sz w:val="24"/>
                <w:szCs w:val="24"/>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满意度</w:t>
            </w:r>
          </w:p>
        </w:tc>
        <w:tc>
          <w:tcPr>
            <w:tcW w:w="123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满意度</w:t>
            </w:r>
          </w:p>
        </w:tc>
        <w:tc>
          <w:tcPr>
            <w:tcW w:w="1582"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rPr>
              <w:t>人民群众对</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spacing w:val="-2"/>
                <w:sz w:val="24"/>
                <w:szCs w:val="24"/>
              </w:rPr>
              <w:t>安</w:t>
            </w:r>
            <w:r>
              <w:rPr>
                <w:rFonts w:hint="eastAsia" w:ascii="仿宋" w:hAnsi="仿宋" w:eastAsia="仿宋" w:cs="仿宋"/>
                <w:b/>
                <w:bCs/>
                <w:color w:val="auto"/>
                <w:spacing w:val="-1"/>
                <w:sz w:val="24"/>
                <w:szCs w:val="24"/>
              </w:rPr>
              <w:t>全生</w:t>
            </w:r>
            <w:r>
              <w:rPr>
                <w:rFonts w:hint="eastAsia" w:ascii="仿宋" w:hAnsi="仿宋" w:eastAsia="仿宋" w:cs="仿宋"/>
                <w:b/>
                <w:bCs/>
                <w:color w:val="auto"/>
                <w:spacing w:val="-3"/>
                <w:sz w:val="24"/>
                <w:szCs w:val="24"/>
              </w:rPr>
              <w:t>产</w:t>
            </w:r>
            <w:r>
              <w:rPr>
                <w:rFonts w:hint="eastAsia" w:ascii="仿宋" w:hAnsi="仿宋" w:eastAsia="仿宋" w:cs="仿宋"/>
                <w:b/>
                <w:bCs/>
                <w:color w:val="auto"/>
                <w:spacing w:val="-2"/>
                <w:sz w:val="24"/>
                <w:szCs w:val="24"/>
              </w:rPr>
              <w:t>工作满</w:t>
            </w:r>
            <w:r>
              <w:rPr>
                <w:rFonts w:hint="eastAsia" w:ascii="仿宋" w:hAnsi="仿宋" w:eastAsia="仿宋" w:cs="仿宋"/>
                <w:b/>
                <w:bCs/>
                <w:color w:val="auto"/>
                <w:spacing w:val="17"/>
                <w:sz w:val="24"/>
                <w:szCs w:val="24"/>
              </w:rPr>
              <w:t>意</w:t>
            </w:r>
            <w:r>
              <w:rPr>
                <w:rFonts w:hint="eastAsia" w:ascii="仿宋" w:hAnsi="仿宋" w:eastAsia="仿宋" w:cs="仿宋"/>
                <w:b/>
                <w:bCs/>
                <w:color w:val="auto"/>
                <w:spacing w:val="15"/>
                <w:sz w:val="24"/>
                <w:szCs w:val="24"/>
              </w:rPr>
              <w:t>度(%)</w:t>
            </w:r>
          </w:p>
        </w:tc>
        <w:tc>
          <w:tcPr>
            <w:tcW w:w="12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4"/>
                <w:sz w:val="24"/>
                <w:szCs w:val="24"/>
              </w:rPr>
              <w:t>&gt;</w:t>
            </w:r>
            <w:r>
              <w:rPr>
                <w:rFonts w:hint="eastAsia" w:ascii="仿宋" w:hAnsi="仿宋" w:eastAsia="仿宋" w:cs="仿宋"/>
                <w:color w:val="auto"/>
                <w:spacing w:val="-2"/>
                <w:sz w:val="24"/>
                <w:szCs w:val="24"/>
              </w:rPr>
              <w:t>=90%</w:t>
            </w:r>
          </w:p>
        </w:tc>
        <w:tc>
          <w:tcPr>
            <w:tcW w:w="141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3"/>
                <w:sz w:val="24"/>
                <w:szCs w:val="24"/>
              </w:rPr>
              <w:t>9</w:t>
            </w:r>
            <w:r>
              <w:rPr>
                <w:rFonts w:hint="eastAsia" w:ascii="仿宋" w:hAnsi="仿宋" w:eastAsia="仿宋" w:cs="仿宋"/>
                <w:color w:val="auto"/>
                <w:spacing w:val="-2"/>
                <w:sz w:val="24"/>
                <w:szCs w:val="24"/>
              </w:rPr>
              <w:t>5</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6"/>
                <w:sz w:val="24"/>
                <w:szCs w:val="24"/>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406" w:type="dxa"/>
            <w:gridSpan w:val="11"/>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spacing w:val="-3"/>
                <w:sz w:val="24"/>
                <w:szCs w:val="24"/>
              </w:rPr>
            </w:pPr>
            <w:r>
              <w:rPr>
                <w:rFonts w:hint="eastAsia" w:ascii="仿宋" w:hAnsi="仿宋" w:eastAsia="仿宋" w:cs="仿宋"/>
                <w:b/>
                <w:bCs/>
                <w:color w:val="auto"/>
                <w:spacing w:val="-2"/>
                <w:sz w:val="24"/>
                <w:szCs w:val="24"/>
                <w:lang w:eastAsia="zh-CN"/>
              </w:rPr>
              <w:t>总</w:t>
            </w:r>
            <w:r>
              <w:rPr>
                <w:rFonts w:hint="eastAsia" w:ascii="仿宋" w:hAnsi="仿宋" w:eastAsia="仿宋" w:cs="仿宋"/>
                <w:b/>
                <w:bCs/>
                <w:color w:val="auto"/>
                <w:spacing w:val="-2"/>
                <w:sz w:val="24"/>
                <w:szCs w:val="24"/>
                <w:lang w:val="en-US" w:eastAsia="zh-CN"/>
              </w:rPr>
              <w:t xml:space="preserve">  </w:t>
            </w:r>
            <w:r>
              <w:rPr>
                <w:rFonts w:hint="eastAsia" w:ascii="仿宋" w:hAnsi="仿宋" w:eastAsia="仿宋" w:cs="仿宋"/>
                <w:b/>
                <w:bCs/>
                <w:color w:val="auto"/>
                <w:spacing w:val="-2"/>
                <w:sz w:val="24"/>
                <w:szCs w:val="24"/>
                <w:lang w:eastAsia="zh-CN"/>
              </w:rPr>
              <w:t>计</w:t>
            </w:r>
          </w:p>
        </w:tc>
        <w:tc>
          <w:tcPr>
            <w:tcW w:w="72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r>
              <w:rPr>
                <w:rFonts w:hint="eastAsia" w:ascii="仿宋" w:hAnsi="仿宋" w:eastAsia="仿宋" w:cs="仿宋"/>
                <w:color w:val="auto"/>
                <w:spacing w:val="-6"/>
                <w:sz w:val="24"/>
                <w:szCs w:val="24"/>
                <w:lang w:val="en-US" w:eastAsia="zh-CN"/>
              </w:rPr>
              <w:t>0</w:t>
            </w:r>
          </w:p>
        </w:tc>
        <w:tc>
          <w:tcPr>
            <w:tcW w:w="7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pacing w:val="-7"/>
                <w:sz w:val="24"/>
                <w:szCs w:val="24"/>
              </w:rPr>
              <w:t>1</w:t>
            </w:r>
            <w:r>
              <w:rPr>
                <w:rFonts w:hint="eastAsia" w:ascii="仿宋" w:hAnsi="仿宋" w:eastAsia="仿宋" w:cs="仿宋"/>
                <w:color w:val="auto"/>
                <w:spacing w:val="-6"/>
                <w:sz w:val="24"/>
                <w:szCs w:val="24"/>
              </w:rPr>
              <w:t>0</w:t>
            </w:r>
            <w:r>
              <w:rPr>
                <w:rFonts w:hint="eastAsia" w:ascii="仿宋" w:hAnsi="仿宋" w:eastAsia="仿宋" w:cs="仿宋"/>
                <w:color w:val="auto"/>
                <w:spacing w:val="-6"/>
                <w:sz w:val="24"/>
                <w:szCs w:val="24"/>
                <w:lang w:val="en-US" w:eastAsia="zh-CN"/>
              </w:rPr>
              <w:t>0</w:t>
            </w:r>
          </w:p>
        </w:tc>
        <w:tc>
          <w:tcPr>
            <w:tcW w:w="135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color w:val="auto"/>
                <w:kern w:val="2"/>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color w:val="auto"/>
          <w:sz w:val="32"/>
          <w:szCs w:val="32"/>
        </w:rPr>
      </w:pPr>
    </w:p>
    <w:p>
      <w:pPr>
        <w:pStyle w:val="2"/>
        <w:rPr>
          <w:rFonts w:hint="eastAsia"/>
        </w:rPr>
      </w:pP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3、部门评价项目绩效评价情况。</w:t>
      </w:r>
    </w:p>
    <w:p>
      <w:pPr>
        <w:keepNext w:val="0"/>
        <w:keepLines w:val="0"/>
        <w:pageBreakBefore w:val="0"/>
        <w:kinsoku/>
        <w:wordWrap/>
        <w:overflowPunct/>
        <w:topLinePunct w:val="0"/>
        <w:autoSpaceDE w:val="0"/>
        <w:autoSpaceDN w:val="0"/>
        <w:bidi w:val="0"/>
        <w:adjustRightInd/>
        <w:snapToGrid/>
        <w:spacing w:line="240" w:lineRule="auto"/>
        <w:ind w:right="0" w:firstLine="640" w:firstLineChars="200"/>
        <w:jc w:val="both"/>
        <w:textAlignment w:val="auto"/>
        <w:rPr>
          <w:rFonts w:hint="eastAsia" w:ascii="仿宋" w:hAnsi="仿宋" w:eastAsia="仿宋" w:cs="仿宋"/>
          <w:color w:val="auto"/>
          <w:sz w:val="32"/>
          <w:szCs w:val="32"/>
        </w:rPr>
        <w:sectPr>
          <w:pgSz w:w="11906" w:h="16838"/>
          <w:pgMar w:top="1440" w:right="1803" w:bottom="1440" w:left="1803" w:header="850" w:footer="1587" w:gutter="0"/>
          <w:pgNumType w:fmt="decimal"/>
          <w:cols w:space="0" w:num="1"/>
          <w:rtlGutter w:val="0"/>
          <w:docGrid w:linePitch="0" w:charSpace="0"/>
        </w:sectPr>
      </w:pPr>
      <w:r>
        <w:rPr>
          <w:rFonts w:hint="eastAsia" w:ascii="仿宋" w:hAnsi="仿宋" w:eastAsia="仿宋" w:cs="仿宋"/>
          <w:b w:val="0"/>
          <w:bCs w:val="0"/>
          <w:color w:val="auto"/>
          <w:kern w:val="0"/>
          <w:sz w:val="32"/>
          <w:szCs w:val="32"/>
          <w:lang w:val="en-US" w:eastAsia="zh-CN"/>
        </w:rPr>
        <w:t>本部门公开</w:t>
      </w:r>
      <w:r>
        <w:rPr>
          <w:rFonts w:hint="eastAsia" w:ascii="仿宋" w:hAnsi="仿宋" w:eastAsia="仿宋" w:cs="仿宋"/>
          <w:b w:val="0"/>
          <w:bCs w:val="0"/>
          <w:color w:val="auto"/>
          <w:kern w:val="0"/>
          <w:sz w:val="32"/>
          <w:szCs w:val="32"/>
        </w:rPr>
        <w:t>“专业森林消防大队营房改造”</w:t>
      </w:r>
      <w:r>
        <w:rPr>
          <w:rFonts w:hint="eastAsia" w:ascii="仿宋" w:hAnsi="仿宋" w:eastAsia="仿宋" w:cs="仿宋"/>
          <w:b w:val="0"/>
          <w:bCs w:val="0"/>
          <w:color w:val="auto"/>
          <w:kern w:val="0"/>
          <w:sz w:val="32"/>
          <w:szCs w:val="32"/>
          <w:lang w:val="en-US" w:eastAsia="zh-CN"/>
        </w:rPr>
        <w:t>项目部门评价报告（见附件）</w:t>
      </w:r>
    </w:p>
    <w:p>
      <w:pPr>
        <w:keepNext w:val="0"/>
        <w:keepLines w:val="0"/>
        <w:pageBreakBefore w:val="0"/>
        <w:widowControl/>
        <w:kinsoku/>
        <w:wordWrap/>
        <w:overflowPunct/>
        <w:topLinePunct w:val="0"/>
        <w:bidi w:val="0"/>
        <w:adjustRightInd/>
        <w:snapToGrid/>
        <w:spacing w:line="240" w:lineRule="auto"/>
        <w:ind w:right="0"/>
        <w:jc w:val="center"/>
        <w:textAlignment w:val="auto"/>
        <w:rPr>
          <w:rFonts w:hint="eastAsia" w:ascii="宋体" w:hAnsi="宋体" w:eastAsia="宋体" w:cs="宋体"/>
          <w:color w:val="auto"/>
          <w:sz w:val="32"/>
          <w:szCs w:val="32"/>
        </w:rPr>
      </w:pPr>
      <w:r>
        <w:rPr>
          <w:rFonts w:hint="eastAsia" w:ascii="宋体" w:hAnsi="宋体" w:eastAsia="宋体" w:cs="宋体"/>
          <w:b/>
          <w:bCs/>
          <w:color w:val="auto"/>
          <w:sz w:val="32"/>
          <w:szCs w:val="32"/>
        </w:rPr>
        <w:t>第四部分  名词解释</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1、收入是指报告期内导致政府会计主体净资产增加的、含有服务潜力或者经济利益的经济资源的流入，包括财政拨款收入和其他收入。</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2、费用是指报告期内导致政府会计主体净资产减少的、含有服务潜力或者经济利益的经济资源的流出，包括福利支出、商品和服务支出、对个人和家庭的补助支出，其他资本性支出。</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3、社会保障和就业支出——财政对其他社会保险基金的补助：反映财政对其他社会保险基金的补助支出，主要是</w:t>
      </w:r>
      <w:r>
        <w:rPr>
          <w:rFonts w:hint="eastAsia" w:ascii="仿宋" w:hAnsi="仿宋" w:eastAsia="仿宋" w:cs="仿宋"/>
          <w:color w:val="auto"/>
          <w:kern w:val="0"/>
          <w:sz w:val="32"/>
          <w:szCs w:val="32"/>
          <w:lang w:eastAsia="zh-CN"/>
        </w:rPr>
        <w:t>应急管理局</w:t>
      </w:r>
      <w:r>
        <w:rPr>
          <w:rFonts w:hint="eastAsia" w:ascii="仿宋" w:hAnsi="仿宋" w:eastAsia="仿宋" w:cs="仿宋"/>
          <w:color w:val="auto"/>
          <w:kern w:val="0"/>
          <w:sz w:val="32"/>
          <w:szCs w:val="32"/>
        </w:rPr>
        <w:t>为本单位职工支付的养老保险、工伤保险、生育保险等社会保障缴费。</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4、资源勘探信息等支出——安全生产监管：反应安全生产方面的支出。</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卫生健康</w:t>
      </w:r>
      <w:r>
        <w:rPr>
          <w:rFonts w:hint="eastAsia" w:ascii="仿宋" w:hAnsi="仿宋" w:eastAsia="仿宋" w:cs="仿宋"/>
          <w:color w:val="auto"/>
          <w:kern w:val="0"/>
          <w:sz w:val="32"/>
          <w:szCs w:val="32"/>
        </w:rPr>
        <w:t>支出——行政事业单位医疗：反映行政事业单位医疗方面的支出，主要是安全生产管理局为职工和退休人员缴纳的医疗保险。</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6、住房保障支出——住房改革支出：反映行政事业单位用财政拨款资金和其他资金等安排的住房改革支出，主要是</w:t>
      </w:r>
      <w:r>
        <w:rPr>
          <w:rFonts w:hint="eastAsia" w:ascii="仿宋" w:hAnsi="仿宋" w:eastAsia="仿宋" w:cs="仿宋"/>
          <w:color w:val="auto"/>
          <w:kern w:val="0"/>
          <w:sz w:val="32"/>
          <w:szCs w:val="32"/>
          <w:lang w:eastAsia="zh-CN"/>
        </w:rPr>
        <w:t>应急</w:t>
      </w:r>
      <w:r>
        <w:rPr>
          <w:rFonts w:hint="eastAsia" w:ascii="仿宋" w:hAnsi="仿宋" w:eastAsia="仿宋" w:cs="仿宋"/>
          <w:color w:val="auto"/>
          <w:kern w:val="0"/>
          <w:sz w:val="32"/>
          <w:szCs w:val="32"/>
        </w:rPr>
        <w:t>管理局为职工缴纳的住房公积金。</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7、工资福利支出：反映</w:t>
      </w:r>
      <w:r>
        <w:rPr>
          <w:rFonts w:hint="eastAsia" w:ascii="仿宋" w:hAnsi="仿宋" w:eastAsia="仿宋" w:cs="仿宋"/>
          <w:color w:val="auto"/>
          <w:kern w:val="0"/>
          <w:sz w:val="32"/>
          <w:szCs w:val="32"/>
          <w:lang w:eastAsia="zh-CN"/>
        </w:rPr>
        <w:t>应急</w:t>
      </w:r>
      <w:r>
        <w:rPr>
          <w:rFonts w:hint="eastAsia" w:ascii="仿宋" w:hAnsi="仿宋" w:eastAsia="仿宋" w:cs="仿宋"/>
          <w:color w:val="auto"/>
          <w:kern w:val="0"/>
          <w:sz w:val="32"/>
          <w:szCs w:val="32"/>
        </w:rPr>
        <w:t>管理局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8、商品和服务支出：反映</w:t>
      </w:r>
      <w:r>
        <w:rPr>
          <w:rFonts w:hint="eastAsia" w:ascii="仿宋" w:hAnsi="仿宋" w:eastAsia="仿宋" w:cs="仿宋"/>
          <w:color w:val="auto"/>
          <w:kern w:val="0"/>
          <w:sz w:val="32"/>
          <w:szCs w:val="32"/>
          <w:lang w:eastAsia="zh-CN"/>
        </w:rPr>
        <w:t>应急</w:t>
      </w:r>
      <w:r>
        <w:rPr>
          <w:rFonts w:hint="eastAsia" w:ascii="仿宋" w:hAnsi="仿宋" w:eastAsia="仿宋" w:cs="仿宋"/>
          <w:color w:val="auto"/>
          <w:kern w:val="0"/>
          <w:sz w:val="32"/>
          <w:szCs w:val="32"/>
        </w:rPr>
        <w:t>管理局购买商品和服务的支出，包括办公费、印刷费、邮电费、差旅费、维修）护）费、培训费、公务接待费、专用材料费、劳务费、委托业务费、工会经费、公务用车运行维护费、其他交通费等。</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9、对个人和家庭的补助：反映</w:t>
      </w:r>
      <w:r>
        <w:rPr>
          <w:rFonts w:hint="eastAsia" w:ascii="仿宋" w:hAnsi="仿宋" w:eastAsia="仿宋" w:cs="仿宋"/>
          <w:color w:val="auto"/>
          <w:kern w:val="0"/>
          <w:sz w:val="32"/>
          <w:szCs w:val="32"/>
          <w:lang w:eastAsia="zh-CN"/>
        </w:rPr>
        <w:t>应急</w:t>
      </w:r>
      <w:r>
        <w:rPr>
          <w:rFonts w:hint="eastAsia" w:ascii="仿宋" w:hAnsi="仿宋" w:eastAsia="仿宋" w:cs="仿宋"/>
          <w:color w:val="auto"/>
          <w:kern w:val="0"/>
          <w:sz w:val="32"/>
          <w:szCs w:val="32"/>
        </w:rPr>
        <w:t>管理局用于对个人和家庭的补助支出，包括生活补助，救济费、医疗费补助、助学金、奖励金等</w:t>
      </w:r>
    </w:p>
    <w:p>
      <w:pPr>
        <w:keepNext w:val="0"/>
        <w:keepLines w:val="0"/>
        <w:pageBreakBefore w:val="0"/>
        <w:widowControl/>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10、其他资本性支出，反映</w:t>
      </w:r>
      <w:r>
        <w:rPr>
          <w:rFonts w:hint="eastAsia" w:ascii="仿宋" w:hAnsi="仿宋" w:eastAsia="仿宋" w:cs="仿宋"/>
          <w:color w:val="auto"/>
          <w:kern w:val="0"/>
          <w:sz w:val="32"/>
          <w:szCs w:val="32"/>
          <w:lang w:eastAsia="zh-CN"/>
        </w:rPr>
        <w:t>应急</w:t>
      </w:r>
      <w:r>
        <w:rPr>
          <w:rFonts w:hint="eastAsia" w:ascii="仿宋" w:hAnsi="仿宋" w:eastAsia="仿宋" w:cs="仿宋"/>
          <w:color w:val="auto"/>
          <w:kern w:val="0"/>
          <w:sz w:val="32"/>
          <w:szCs w:val="32"/>
        </w:rPr>
        <w:t>管理局安排的资本性支出，包括办公设备购置和信息网络及软件购置更新。</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“三公”经费支出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指用</w:t>
      </w:r>
      <w:r>
        <w:rPr>
          <w:rFonts w:hint="eastAsia" w:ascii="仿宋" w:hAnsi="仿宋" w:eastAsia="仿宋" w:cs="仿宋"/>
          <w:b w:val="0"/>
          <w:bCs w:val="0"/>
          <w:color w:val="auto"/>
          <w:kern w:val="0"/>
          <w:sz w:val="32"/>
          <w:szCs w:val="32"/>
          <w:lang w:val="en-US" w:eastAsia="zh-CN"/>
        </w:rPr>
        <w:t>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12、</w:t>
      </w:r>
      <w:r>
        <w:rPr>
          <w:rFonts w:hint="eastAsia" w:ascii="仿宋" w:hAnsi="仿宋" w:eastAsia="仿宋" w:cs="仿宋"/>
          <w:b w:val="0"/>
          <w:bCs w:val="0"/>
          <w:color w:val="auto"/>
          <w:kern w:val="0"/>
          <w:sz w:val="32"/>
          <w:szCs w:val="32"/>
        </w:rPr>
        <w:t>机关运行经费支出</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指用财政拨款安排</w:t>
      </w:r>
      <w:r>
        <w:rPr>
          <w:rFonts w:hint="eastAsia" w:ascii="仿宋" w:hAnsi="仿宋" w:eastAsia="仿宋" w:cs="仿宋"/>
          <w:color w:val="auto"/>
          <w:kern w:val="0"/>
          <w:sz w:val="32"/>
          <w:szCs w:val="32"/>
          <w:lang w:val="en-US" w:eastAsia="zh-CN"/>
        </w:rPr>
        <w:t>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pStyle w:val="2"/>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bidi w:val="0"/>
        <w:adjustRightInd/>
        <w:snapToGrid/>
        <w:spacing w:line="240" w:lineRule="auto"/>
        <w:ind w:right="0"/>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部分</w:t>
      </w:r>
      <w:r>
        <w:rPr>
          <w:rFonts w:hint="eastAsia" w:ascii="宋体" w:hAnsi="宋体" w:eastAsia="宋体" w:cs="宋体"/>
          <w:b/>
          <w:bCs/>
          <w:color w:val="auto"/>
          <w:sz w:val="32"/>
          <w:szCs w:val="32"/>
          <w:lang w:val="en-US" w:eastAsia="zh-CN"/>
        </w:rPr>
        <w:t xml:space="preserve">  附件</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rPr>
        <w:t>昌江区专业森林消防大队营房改造项目支出绩效评价报告</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一、基本情况</w:t>
      </w:r>
    </w:p>
    <w:p>
      <w:pPr>
        <w:keepNext w:val="0"/>
        <w:keepLines w:val="0"/>
        <w:pageBreakBefore w:val="0"/>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）项目概况。</w:t>
      </w:r>
    </w:p>
    <w:p>
      <w:pPr>
        <w:pStyle w:val="10"/>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按照《中华人民共和国突发事件应对法》《国家突发公共事件总体应急预案》《国务院办公厅关于印发〈突发事件应急预案管理办法〉的通知》《国务院办公厅关于印发〈省（区、市）人民政府突发公共事件总体应急预案框架指南〉的函》</w:t>
      </w:r>
      <w:r>
        <w:rPr>
          <w:rFonts w:hint="eastAsia" w:ascii="仿宋" w:hAnsi="仿宋" w:eastAsia="仿宋" w:cs="仿宋"/>
          <w:color w:val="auto"/>
          <w:sz w:val="32"/>
          <w:szCs w:val="32"/>
          <w:lang w:val="en-US" w:eastAsia="zh-CN"/>
        </w:rPr>
        <w:t>的文件要求，各级县级及其以上政府应急部门必须建设消防队员营房，解决消防人员集中管理、培训、出警等问题，2022年昌江区应急局按照省市应急部门调研要求，建设一座营房，以保障昌江区应急需求。</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项目绩效目标。</w:t>
      </w:r>
      <w:r>
        <w:rPr>
          <w:rFonts w:hint="eastAsia" w:ascii="仿宋" w:hAnsi="仿宋" w:eastAsia="仿宋" w:cs="仿宋"/>
          <w:color w:val="auto"/>
          <w:sz w:val="32"/>
          <w:szCs w:val="32"/>
        </w:rPr>
        <w:t>包括总体目标和阶段性目标。</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总体目标</w:t>
      </w:r>
      <w:r>
        <w:rPr>
          <w:rFonts w:hint="eastAsia" w:ascii="仿宋" w:hAnsi="仿宋" w:eastAsia="仿宋" w:cs="仿宋"/>
          <w:color w:val="auto"/>
          <w:sz w:val="32"/>
          <w:szCs w:val="32"/>
          <w:lang w:eastAsia="zh-CN"/>
        </w:rPr>
        <w:t>为完成</w:t>
      </w:r>
      <w:r>
        <w:rPr>
          <w:rFonts w:hint="eastAsia" w:ascii="仿宋" w:hAnsi="仿宋" w:eastAsia="仿宋" w:cs="仿宋"/>
          <w:color w:val="auto"/>
          <w:sz w:val="32"/>
          <w:szCs w:val="32"/>
          <w:lang w:val="en-US" w:eastAsia="zh-CN"/>
        </w:rPr>
        <w:t>营房建设。</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二、绩效评价工作开展情况</w:t>
      </w: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（一）绩效评价目的、对象和范围。</w:t>
      </w: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1、评价目的</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全面了解、考核景德镇市昌江区</w:t>
      </w:r>
      <w:r>
        <w:rPr>
          <w:rFonts w:hint="eastAsia" w:ascii="仿宋" w:hAnsi="仿宋" w:eastAsia="仿宋" w:cs="仿宋"/>
          <w:color w:val="auto"/>
          <w:sz w:val="32"/>
          <w:szCs w:val="32"/>
          <w:lang w:eastAsia="zh-CN"/>
        </w:rPr>
        <w:t>应急局</w:t>
      </w:r>
      <w:r>
        <w:rPr>
          <w:rFonts w:hint="eastAsia" w:ascii="仿宋" w:hAnsi="仿宋" w:eastAsia="仿宋" w:cs="仿宋"/>
          <w:color w:val="auto"/>
          <w:sz w:val="32"/>
          <w:szCs w:val="32"/>
          <w:lang w:val="en-US" w:eastAsia="zh-CN"/>
        </w:rPr>
        <w:t>昌江区专业森林消防大队营房改造</w:t>
      </w:r>
      <w:r>
        <w:rPr>
          <w:rFonts w:hint="eastAsia" w:ascii="仿宋" w:hAnsi="仿宋" w:eastAsia="仿宋" w:cs="仿宋"/>
          <w:color w:val="auto"/>
          <w:sz w:val="32"/>
          <w:szCs w:val="32"/>
        </w:rPr>
        <w:t>支出的使用绩效，运用科学合理的绩效评价指标、评价标准和评价方法，对景德镇市昌江区</w:t>
      </w:r>
      <w:r>
        <w:rPr>
          <w:rFonts w:hint="eastAsia" w:ascii="仿宋" w:hAnsi="仿宋" w:eastAsia="仿宋" w:cs="仿宋"/>
          <w:color w:val="auto"/>
          <w:sz w:val="32"/>
          <w:szCs w:val="32"/>
          <w:lang w:eastAsia="zh-CN"/>
        </w:rPr>
        <w:t>应急局</w:t>
      </w:r>
      <w:r>
        <w:rPr>
          <w:rFonts w:hint="eastAsia" w:ascii="仿宋" w:hAnsi="仿宋" w:eastAsia="仿宋" w:cs="仿宋"/>
          <w:color w:val="auto"/>
          <w:sz w:val="32"/>
          <w:szCs w:val="32"/>
          <w:lang w:val="en-US" w:eastAsia="zh-CN"/>
        </w:rPr>
        <w:t>昌江区专业森林消防大队营房改造经费资金</w:t>
      </w:r>
      <w:r>
        <w:rPr>
          <w:rFonts w:hint="eastAsia" w:ascii="仿宋" w:hAnsi="仿宋" w:eastAsia="仿宋" w:cs="仿宋"/>
          <w:color w:val="auto"/>
          <w:sz w:val="32"/>
          <w:szCs w:val="32"/>
        </w:rPr>
        <w:t>支出的经济性、效益性进行客观公正的评价。并通过绩效评价发现决策和执行中的问题、提出改进意见和建议，切实提高财政资金使用效益</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2、评价对象</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昌江区应急局在依据</w:t>
      </w:r>
      <w:r>
        <w:rPr>
          <w:rFonts w:hint="eastAsia" w:ascii="仿宋" w:hAnsi="仿宋" w:eastAsia="仿宋" w:cs="仿宋"/>
          <w:color w:val="auto"/>
          <w:kern w:val="0"/>
          <w:sz w:val="32"/>
          <w:szCs w:val="32"/>
        </w:rPr>
        <w:t>《</w:t>
      </w:r>
      <w:r>
        <w:rPr>
          <w:rFonts w:hint="eastAsia" w:ascii="仿宋" w:hAnsi="仿宋" w:eastAsia="仿宋" w:cs="仿宋"/>
          <w:b w:val="0"/>
          <w:bCs w:val="0"/>
          <w:color w:val="auto"/>
          <w:sz w:val="32"/>
          <w:szCs w:val="32"/>
        </w:rPr>
        <w:t>项目支出绩效评价管理办法</w:t>
      </w:r>
      <w:r>
        <w:rPr>
          <w:rFonts w:hint="eastAsia" w:ascii="仿宋" w:hAnsi="仿宋" w:eastAsia="仿宋" w:cs="仿宋"/>
          <w:color w:val="auto"/>
          <w:kern w:val="0"/>
          <w:sz w:val="32"/>
          <w:szCs w:val="32"/>
        </w:rPr>
        <w:t>》</w:t>
      </w:r>
      <w:r>
        <w:rPr>
          <w:rFonts w:hint="eastAsia" w:ascii="仿宋" w:hAnsi="仿宋" w:eastAsia="仿宋" w:cs="仿宋"/>
          <w:bCs/>
          <w:color w:val="auto"/>
          <w:sz w:val="32"/>
          <w:szCs w:val="32"/>
        </w:rPr>
        <w:t>优先选择贯彻落实党中央、国务院重大方针政策和决策部署的项目，覆盖面广、影响力大、社会关注度高、实施期长的项目</w:t>
      </w:r>
      <w:r>
        <w:rPr>
          <w:rFonts w:hint="eastAsia" w:ascii="仿宋" w:hAnsi="仿宋" w:eastAsia="仿宋" w:cs="仿宋"/>
          <w:bCs/>
          <w:color w:val="auto"/>
          <w:sz w:val="32"/>
          <w:szCs w:val="32"/>
          <w:lang w:val="en-US" w:eastAsia="zh-CN"/>
        </w:rPr>
        <w:t>的原则，选取昌江区</w:t>
      </w:r>
      <w:r>
        <w:rPr>
          <w:rFonts w:hint="eastAsia" w:ascii="仿宋" w:hAnsi="仿宋" w:eastAsia="仿宋" w:cs="仿宋"/>
          <w:color w:val="auto"/>
          <w:sz w:val="32"/>
          <w:szCs w:val="32"/>
          <w:lang w:eastAsia="zh-CN"/>
        </w:rPr>
        <w:t>应急局</w:t>
      </w:r>
      <w:r>
        <w:rPr>
          <w:rFonts w:hint="eastAsia" w:ascii="仿宋" w:hAnsi="仿宋" w:eastAsia="仿宋" w:cs="仿宋"/>
          <w:color w:val="auto"/>
          <w:sz w:val="32"/>
          <w:szCs w:val="32"/>
          <w:lang w:val="en-US" w:eastAsia="zh-CN"/>
        </w:rPr>
        <w:t>昌江区专业森林消防大队营房改造经费</w:t>
      </w:r>
      <w:r>
        <w:rPr>
          <w:rFonts w:hint="eastAsia" w:ascii="仿宋" w:hAnsi="仿宋" w:eastAsia="仿宋" w:cs="仿宋"/>
          <w:bCs/>
          <w:color w:val="auto"/>
          <w:sz w:val="32"/>
          <w:szCs w:val="32"/>
          <w:lang w:val="en-US" w:eastAsia="zh-CN"/>
        </w:rPr>
        <w:t>项目为评价对象。</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3、评价范围</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en-US" w:eastAsia="zh-CN"/>
        </w:rPr>
        <w:t>昌江区</w:t>
      </w:r>
      <w:r>
        <w:rPr>
          <w:rFonts w:hint="eastAsia" w:ascii="仿宋" w:hAnsi="仿宋" w:eastAsia="仿宋" w:cs="仿宋"/>
          <w:color w:val="auto"/>
          <w:sz w:val="32"/>
          <w:szCs w:val="32"/>
          <w:lang w:eastAsia="zh-CN"/>
        </w:rPr>
        <w:t>应急局</w:t>
      </w:r>
      <w:r>
        <w:rPr>
          <w:rFonts w:hint="eastAsia" w:ascii="仿宋" w:hAnsi="仿宋" w:eastAsia="仿宋" w:cs="仿宋"/>
          <w:color w:val="auto"/>
          <w:sz w:val="32"/>
          <w:szCs w:val="32"/>
          <w:lang w:val="en-US" w:eastAsia="zh-CN"/>
        </w:rPr>
        <w:t>昌江区专业森林消防大队营房改造经费</w:t>
      </w:r>
      <w:r>
        <w:rPr>
          <w:rFonts w:hint="eastAsia" w:ascii="仿宋" w:hAnsi="仿宋" w:eastAsia="仿宋" w:cs="仿宋"/>
          <w:bCs/>
          <w:color w:val="auto"/>
          <w:sz w:val="32"/>
          <w:szCs w:val="32"/>
          <w:lang w:val="en-US" w:eastAsia="zh-CN"/>
        </w:rPr>
        <w:t>项目评价范围为</w:t>
      </w:r>
      <w:r>
        <w:rPr>
          <w:rFonts w:hint="eastAsia" w:ascii="仿宋" w:hAnsi="仿宋" w:eastAsia="仿宋" w:cs="仿宋"/>
          <w:color w:val="auto"/>
          <w:sz w:val="32"/>
          <w:szCs w:val="32"/>
        </w:rPr>
        <w:t>项目总体绩效目标、各项绩效指标完成情况以及预算执行情况。</w:t>
      </w:r>
      <w:r>
        <w:rPr>
          <w:rFonts w:hint="eastAsia" w:ascii="仿宋" w:hAnsi="仿宋" w:eastAsia="仿宋" w:cs="仿宋"/>
          <w:bCs/>
          <w:color w:val="auto"/>
          <w:sz w:val="32"/>
          <w:szCs w:val="32"/>
        </w:rPr>
        <w:t>对未完成绩效目标或偏离绩效目标较大的项目要分析并说明原因，研究提出改进措施。</w:t>
      </w: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bCs/>
          <w:color w:val="auto"/>
          <w:sz w:val="32"/>
          <w:szCs w:val="32"/>
        </w:rPr>
      </w:pPr>
      <w:r>
        <w:rPr>
          <w:rFonts w:hint="eastAsia" w:ascii="仿宋" w:hAnsi="仿宋" w:eastAsia="仿宋" w:cs="仿宋"/>
          <w:b/>
          <w:bCs w:val="0"/>
          <w:color w:val="auto"/>
          <w:sz w:val="32"/>
          <w:szCs w:val="32"/>
        </w:rPr>
        <w:t>主要包括：</w:t>
      </w:r>
      <w:r>
        <w:rPr>
          <w:rFonts w:hint="eastAsia" w:ascii="仿宋" w:hAnsi="仿宋" w:eastAsia="仿宋" w:cs="仿宋"/>
          <w:bCs/>
          <w:color w:val="auto"/>
          <w:sz w:val="32"/>
          <w:szCs w:val="32"/>
        </w:rPr>
        <w:t>决策情况；资金管理和使用情况；相关管理制度办法的健全性及执行情况；实现的产出情况；取得的效益情况；</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其他相关内容。</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绩效评价原则、评价指标体系（附表说明）、评价方法、评价标准等。</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绩效评价原则</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严格按照《</w:t>
      </w:r>
      <w:r>
        <w:rPr>
          <w:rFonts w:hint="eastAsia" w:ascii="仿宋" w:hAnsi="仿宋" w:eastAsia="仿宋" w:cs="仿宋"/>
          <w:b w:val="0"/>
          <w:bCs w:val="0"/>
          <w:color w:val="auto"/>
          <w:sz w:val="32"/>
          <w:szCs w:val="32"/>
        </w:rPr>
        <w:t>项目支出绩效评价管理办法</w:t>
      </w:r>
      <w:r>
        <w:rPr>
          <w:rFonts w:hint="eastAsia" w:ascii="仿宋" w:hAnsi="仿宋" w:eastAsia="仿宋" w:cs="仿宋"/>
          <w:color w:val="auto"/>
          <w:kern w:val="0"/>
          <w:sz w:val="32"/>
          <w:szCs w:val="32"/>
        </w:rPr>
        <w:t>》相关要求，秉承科学公正、</w:t>
      </w:r>
      <w:r>
        <w:rPr>
          <w:rFonts w:hint="eastAsia" w:ascii="仿宋" w:hAnsi="仿宋" w:eastAsia="仿宋" w:cs="仿宋"/>
          <w:color w:val="auto"/>
          <w:kern w:val="0"/>
          <w:sz w:val="32"/>
          <w:szCs w:val="32"/>
          <w:lang w:val="en-US" w:eastAsia="zh-CN"/>
        </w:rPr>
        <w:t>统筹兼顾</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激励约束、公开透明</w:t>
      </w:r>
      <w:r>
        <w:rPr>
          <w:rFonts w:hint="eastAsia" w:ascii="仿宋" w:hAnsi="仿宋" w:eastAsia="仿宋" w:cs="仿宋"/>
          <w:color w:val="auto"/>
          <w:kern w:val="0"/>
          <w:sz w:val="32"/>
          <w:szCs w:val="32"/>
        </w:rPr>
        <w:t>等原则，按照投入、过程、产出和效果的绩效考核路径，结合昌江区</w:t>
      </w:r>
      <w:r>
        <w:rPr>
          <w:rFonts w:hint="eastAsia" w:ascii="仿宋" w:hAnsi="仿宋" w:eastAsia="仿宋" w:cs="仿宋"/>
          <w:color w:val="auto"/>
          <w:sz w:val="32"/>
          <w:szCs w:val="32"/>
          <w:lang w:eastAsia="zh-CN"/>
        </w:rPr>
        <w:t>应昌江区专业森林消防大队营房改造</w:t>
      </w:r>
      <w:r>
        <w:rPr>
          <w:rFonts w:hint="eastAsia" w:ascii="仿宋" w:hAnsi="仿宋" w:eastAsia="仿宋" w:cs="仿宋"/>
          <w:color w:val="auto"/>
          <w:sz w:val="32"/>
          <w:szCs w:val="32"/>
          <w:lang w:val="en-US" w:eastAsia="zh-CN"/>
        </w:rPr>
        <w:t>经费</w:t>
      </w:r>
      <w:r>
        <w:rPr>
          <w:rFonts w:hint="eastAsia" w:ascii="仿宋" w:hAnsi="仿宋" w:eastAsia="仿宋" w:cs="仿宋"/>
          <w:color w:val="auto"/>
          <w:kern w:val="0"/>
          <w:sz w:val="32"/>
          <w:szCs w:val="32"/>
          <w:lang w:val="en-US" w:eastAsia="zh-CN"/>
        </w:rPr>
        <w:t>项目</w:t>
      </w:r>
      <w:r>
        <w:rPr>
          <w:rFonts w:hint="eastAsia" w:ascii="仿宋" w:hAnsi="仿宋" w:eastAsia="仿宋" w:cs="仿宋"/>
          <w:color w:val="auto"/>
          <w:kern w:val="0"/>
          <w:sz w:val="32"/>
          <w:szCs w:val="32"/>
        </w:rPr>
        <w:t>支出的实际情况，运用定性分析和定量分析相结合的办法，确保绩效评价的过程有理可循，有据可依，并依法接受公开监督</w:t>
      </w:r>
      <w:r>
        <w:rPr>
          <w:rFonts w:hint="eastAsia" w:ascii="仿宋" w:hAnsi="仿宋" w:eastAsia="仿宋" w:cs="仿宋"/>
          <w:color w:val="auto"/>
          <w:kern w:val="0"/>
          <w:sz w:val="32"/>
          <w:szCs w:val="32"/>
          <w:lang w:eastAsia="zh-CN"/>
        </w:rPr>
        <w:t>。</w:t>
      </w:r>
    </w:p>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评价指标体系</w:t>
      </w:r>
    </w:p>
    <w:tbl>
      <w:tblPr>
        <w:tblStyle w:val="7"/>
        <w:tblW w:w="8577" w:type="dxa"/>
        <w:tblInd w:w="0" w:type="dxa"/>
        <w:tblLayout w:type="fixed"/>
        <w:tblCellMar>
          <w:top w:w="0" w:type="dxa"/>
          <w:left w:w="0" w:type="dxa"/>
          <w:bottom w:w="0" w:type="dxa"/>
          <w:right w:w="0" w:type="dxa"/>
        </w:tblCellMar>
      </w:tblPr>
      <w:tblGrid>
        <w:gridCol w:w="681"/>
        <w:gridCol w:w="764"/>
        <w:gridCol w:w="886"/>
        <w:gridCol w:w="1555"/>
        <w:gridCol w:w="4691"/>
      </w:tblGrid>
      <w:tr>
        <w:tblPrEx>
          <w:tblCellMar>
            <w:top w:w="0" w:type="dxa"/>
            <w:left w:w="0" w:type="dxa"/>
            <w:bottom w:w="0" w:type="dxa"/>
            <w:right w:w="0" w:type="dxa"/>
          </w:tblCellMar>
        </w:tblPrEx>
        <w:trPr>
          <w:trHeight w:val="480" w:hRule="atLeast"/>
        </w:trPr>
        <w:tc>
          <w:tcPr>
            <w:tcW w:w="8577" w:type="dxa"/>
            <w:gridSpan w:val="5"/>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景德镇市昌江区应急局昌江区专业森林消防大队营房改造绩效评价指标体系</w:t>
            </w:r>
          </w:p>
        </w:tc>
      </w:tr>
      <w:tr>
        <w:tblPrEx>
          <w:tblCellMar>
            <w:top w:w="0" w:type="dxa"/>
            <w:left w:w="0" w:type="dxa"/>
            <w:bottom w:w="0" w:type="dxa"/>
            <w:right w:w="0"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解释</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指标说明及评分标准</w:t>
            </w:r>
          </w:p>
        </w:tc>
      </w:tr>
      <w:tr>
        <w:tblPrEx>
          <w:tblCellMar>
            <w:top w:w="0" w:type="dxa"/>
            <w:left w:w="0" w:type="dxa"/>
            <w:bottom w:w="0" w:type="dxa"/>
            <w:right w:w="0" w:type="dxa"/>
          </w:tblCellMar>
        </w:tblPrEx>
        <w:trPr>
          <w:trHeight w:val="397"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决策</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项目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6分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依据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充分性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项目立项是否符合法律法规、相关政策、发展规划以及部门职责，用以反映和考核项目立项依据情况。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①项目立项是否符合国家法律法规、国民经济发展规划和相关政策；</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②项目立项是否符合行业发展规划和政策要求；</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③项目立项是否与部门职责范围相符，属于部门履职所需；</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④项目是否属于公共财政支持范围，是否符合中央、地方事权支出责任划分原则；</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⑤项目是否与相关部门同类项目或部门内部相关项目重复。</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37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程序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规范性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项目申请、设立过程是否符合相关要求，用以反映和考核项目立项的规范情况。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6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①项目是否按照规定的程序申请设立；</w:t>
            </w:r>
          </w:p>
        </w:tc>
      </w:tr>
      <w:tr>
        <w:tblPrEx>
          <w:tblCellMar>
            <w:top w:w="0" w:type="dxa"/>
            <w:left w:w="0" w:type="dxa"/>
            <w:bottom w:w="0" w:type="dxa"/>
            <w:right w:w="0" w:type="dxa"/>
          </w:tblCellMar>
        </w:tblPrEx>
        <w:trPr>
          <w:trHeight w:val="61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②审批文件、材料是否符合相关要求；</w:t>
            </w:r>
          </w:p>
        </w:tc>
      </w:tr>
      <w:tr>
        <w:tblPrEx>
          <w:tblCellMar>
            <w:top w:w="0" w:type="dxa"/>
            <w:left w:w="0" w:type="dxa"/>
            <w:bottom w:w="0" w:type="dxa"/>
            <w:right w:w="0" w:type="dxa"/>
          </w:tblCellMar>
        </w:tblPrEx>
        <w:trPr>
          <w:trHeight w:val="69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③事前是否已经过必要的可行性研究、专家论证、风险评估、绩效评估、集体决策。</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38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目标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8分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目标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合理性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4分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项目所设定的绩效目标是否依据充分，是否符合客观实际，用以反映和考核项目绩效目标与项目实施的相符情况。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①项目是否有绩效目标；</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②项目绩效目标与实际工作内容是否具有相关性；</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③项目预期产出效益和效果是否符合正常的业绩水平；</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④是否与预算确定的项目投资额或资金量相匹配。</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46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明确性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4分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依据绩效目标设定的绩效指标是否清晰、细化、可衡量等，用以反映和考核项目绩效目标的明细化情况。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①是否将项目绩效目标细化分解为具体的绩效指标；</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②是否通过清晰、可衡量的指标值予以体现；</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③是否与项目目标任务数或计划数相对应。</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38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投入</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6分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预算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编制</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科学性4分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项目预算编制是否经过科学论证、有明确标准，资金额度与年度目标是否相适应，用以反映和考核项目预算编制的科学性、合理性情况。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50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①预算编制是否经过科学论证；</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②预算内容与项目内容是否匹配；</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③预算额度测算依据是否充分，是否按照标准编制；</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④预算确定的项目投资额或资金量是否与工作任务相匹配。</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分配</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合理性2分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项目预算资金分配是否有测算依据，与补助单位或地方实际是否相适应，用以反映和考核项目预算资金分配的科学性、合理性情况。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63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①预算资金分配依据是否充分；</w:t>
            </w:r>
          </w:p>
        </w:tc>
      </w:tr>
      <w:tr>
        <w:tblPrEx>
          <w:tblCellMar>
            <w:top w:w="0" w:type="dxa"/>
            <w:left w:w="0" w:type="dxa"/>
            <w:bottom w:w="0" w:type="dxa"/>
            <w:right w:w="0" w:type="dxa"/>
          </w:tblCellMar>
        </w:tblPrEx>
        <w:trPr>
          <w:trHeight w:val="71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②资金分配额度是否合理，与项目单位或地方实际是否相适应。</w:t>
            </w:r>
          </w:p>
        </w:tc>
      </w:tr>
      <w:tr>
        <w:tblPrEx>
          <w:tblCellMar>
            <w:top w:w="0" w:type="dxa"/>
            <w:left w:w="0" w:type="dxa"/>
            <w:bottom w:w="0" w:type="dxa"/>
            <w:right w:w="0" w:type="dxa"/>
          </w:tblCellMar>
        </w:tblPrEx>
        <w:trPr>
          <w:trHeight w:val="75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r>
      <w:tr>
        <w:tblPrEx>
          <w:tblCellMar>
            <w:top w:w="0" w:type="dxa"/>
            <w:left w:w="0" w:type="dxa"/>
            <w:bottom w:w="0" w:type="dxa"/>
            <w:right w:w="0" w:type="dxa"/>
          </w:tblCellMar>
        </w:tblPrEx>
        <w:trPr>
          <w:trHeight w:val="449"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管理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到位率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实际到位资金与预算资金的比率，用以反映和考核资金落实情况对项目实施的总体保障程度。</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540" w:hRule="atLeast"/>
        </w:trPr>
        <w:tc>
          <w:tcPr>
            <w:tcW w:w="681"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资金到位率=（实际到位资金/预算资金）×100%。</w:t>
            </w: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实际到位资金：一定时期（本年度或项目期）内落实到具体项目的资金。</w:t>
            </w: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预算资金：一定时期（本年度或项目期）内预算安排到具体项目的资金。</w:t>
            </w:r>
          </w:p>
        </w:tc>
      </w:tr>
      <w:tr>
        <w:tblPrEx>
          <w:tblCellMar>
            <w:top w:w="0" w:type="dxa"/>
            <w:left w:w="0" w:type="dxa"/>
            <w:bottom w:w="0" w:type="dxa"/>
            <w:right w:w="0" w:type="dxa"/>
          </w:tblCellMar>
        </w:tblPrEx>
        <w:trPr>
          <w:trHeight w:val="3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评分标准：每降低扣完为止5个百分点扣1分，扣完为止</w:t>
            </w:r>
          </w:p>
        </w:tc>
      </w:tr>
      <w:tr>
        <w:tblPrEx>
          <w:tblCellMar>
            <w:top w:w="0" w:type="dxa"/>
            <w:left w:w="0" w:type="dxa"/>
            <w:bottom w:w="0" w:type="dxa"/>
            <w:right w:w="0" w:type="dxa"/>
          </w:tblCellMar>
        </w:tblPrEx>
        <w:trPr>
          <w:trHeight w:val="33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预算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执行率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项目预算资金是否按照计划执行，用以反映或考核项目预算执行情况。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54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预算执行率=（实际支出资金/实际到位资金）×100%。</w:t>
            </w:r>
          </w:p>
        </w:tc>
      </w:tr>
      <w:tr>
        <w:tblPrEx>
          <w:tblCellMar>
            <w:top w:w="0" w:type="dxa"/>
            <w:left w:w="0" w:type="dxa"/>
            <w:bottom w:w="0" w:type="dxa"/>
            <w:right w:w="0" w:type="dxa"/>
          </w:tblCellMar>
        </w:tblPrEx>
        <w:trPr>
          <w:trHeight w:val="6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实际支出资金：一定时期（本年度或项目期）内项目实际支付的资金。</w:t>
            </w:r>
          </w:p>
        </w:tc>
      </w:tr>
      <w:tr>
        <w:tblPrEx>
          <w:tblCellMar>
            <w:top w:w="0" w:type="dxa"/>
            <w:left w:w="0" w:type="dxa"/>
            <w:bottom w:w="0" w:type="dxa"/>
            <w:right w:w="0" w:type="dxa"/>
          </w:tblCellMar>
        </w:tblPrEx>
        <w:trPr>
          <w:trHeight w:val="2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评分标准：预算执行率*分值</w:t>
            </w:r>
          </w:p>
        </w:tc>
      </w:tr>
      <w:tr>
        <w:tblPrEx>
          <w:tblCellMar>
            <w:top w:w="0" w:type="dxa"/>
            <w:left w:w="0" w:type="dxa"/>
            <w:bottom w:w="0" w:type="dxa"/>
            <w:right w:w="0" w:type="dxa"/>
          </w:tblCellMar>
        </w:tblPrEx>
        <w:trPr>
          <w:trHeight w:val="3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使用</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合规性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项目资金使用是否符合相关的财务管理制度规定，用以反映和考核项目资金的规范运行情况。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①是否符合国家财经法规和财务管理制度以及有关专项资金管理办法的规定；</w:t>
            </w: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②资金的拨付是否有完整的审批程序和手续；</w:t>
            </w: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③是否符合项目预算批复或合同规定的用途；</w:t>
            </w:r>
          </w:p>
        </w:tc>
      </w:tr>
      <w:tr>
        <w:tblPrEx>
          <w:tblCellMar>
            <w:top w:w="0" w:type="dxa"/>
            <w:left w:w="0" w:type="dxa"/>
            <w:bottom w:w="0" w:type="dxa"/>
            <w:right w:w="0" w:type="dxa"/>
          </w:tblCellMar>
        </w:tblPrEx>
        <w:trPr>
          <w:trHeight w:val="3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④是否存在截留、挤占、挪用、虚列支出等情况。</w:t>
            </w:r>
          </w:p>
        </w:tc>
      </w:tr>
      <w:tr>
        <w:tblPrEx>
          <w:tblCellMar>
            <w:top w:w="0" w:type="dxa"/>
            <w:left w:w="0" w:type="dxa"/>
            <w:bottom w:w="0" w:type="dxa"/>
            <w:right w:w="0" w:type="dxa"/>
          </w:tblCellMar>
        </w:tblPrEx>
        <w:trPr>
          <w:trHeight w:val="3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评分标准：不符合一条0分</w:t>
            </w:r>
          </w:p>
        </w:tc>
      </w:tr>
      <w:tr>
        <w:tblPrEx>
          <w:tblCellMar>
            <w:top w:w="0" w:type="dxa"/>
            <w:left w:w="0" w:type="dxa"/>
            <w:bottom w:w="0" w:type="dxa"/>
            <w:right w:w="0" w:type="dxa"/>
          </w:tblCellMar>
        </w:tblPrEx>
        <w:trPr>
          <w:trHeight w:val="3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组织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实施</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管理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制度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健全性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项目实施单位的财务和业务管理制度是否健全，用以反映和考核财务和业务管理制度对项目顺利实施的保障情况。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①是否已制定或具有相应的财务和业务管理制度；</w:t>
            </w: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②财务和业务管理制度是否合法、合规、完整。</w:t>
            </w:r>
          </w:p>
        </w:tc>
      </w:tr>
      <w:tr>
        <w:tblPrEx>
          <w:tblCellMar>
            <w:top w:w="0" w:type="dxa"/>
            <w:left w:w="0" w:type="dxa"/>
            <w:bottom w:w="0" w:type="dxa"/>
            <w:right w:w="0" w:type="dxa"/>
          </w:tblCellMar>
        </w:tblPrEx>
        <w:trPr>
          <w:trHeight w:val="55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评分标准：不符合第一条0分，符合第一条不符合第二条扣1分</w:t>
            </w:r>
          </w:p>
        </w:tc>
      </w:tr>
      <w:tr>
        <w:tblPrEx>
          <w:tblCellMar>
            <w:top w:w="0" w:type="dxa"/>
            <w:left w:w="0" w:type="dxa"/>
            <w:bottom w:w="0" w:type="dxa"/>
            <w:right w:w="0" w:type="dxa"/>
          </w:tblCellMar>
        </w:tblPrEx>
        <w:trPr>
          <w:trHeight w:val="4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制度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执行</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有效性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项目实施是否符合相关管理规定，用以反映和考核相关管理制度的有效执行情况。</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24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①是否遵守相关法律法规和相关管理规定；</w:t>
            </w:r>
          </w:p>
        </w:tc>
      </w:tr>
      <w:tr>
        <w:tblPrEx>
          <w:tblCellMar>
            <w:top w:w="0" w:type="dxa"/>
            <w:left w:w="0" w:type="dxa"/>
            <w:bottom w:w="0" w:type="dxa"/>
            <w:right w:w="0" w:type="dxa"/>
          </w:tblCellMar>
        </w:tblPrEx>
        <w:trPr>
          <w:trHeight w:val="2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②项目调整及支出调整手续是否完备；</w:t>
            </w:r>
          </w:p>
        </w:tc>
      </w:tr>
      <w:tr>
        <w:tblPrEx>
          <w:tblCellMar>
            <w:top w:w="0" w:type="dxa"/>
            <w:left w:w="0" w:type="dxa"/>
            <w:bottom w:w="0" w:type="dxa"/>
            <w:right w:w="0" w:type="dxa"/>
          </w:tblCellMar>
        </w:tblPrEx>
        <w:trPr>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③项目合同书、验收报告、技术鉴定等资料是否齐全并及时归档；</w:t>
            </w:r>
          </w:p>
        </w:tc>
      </w:tr>
      <w:tr>
        <w:tblPrEx>
          <w:tblCellMar>
            <w:top w:w="0" w:type="dxa"/>
            <w:left w:w="0" w:type="dxa"/>
            <w:bottom w:w="0" w:type="dxa"/>
            <w:right w:w="0" w:type="dxa"/>
          </w:tblCellMar>
        </w:tblPrEx>
        <w:trPr>
          <w:trHeight w:val="5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④项目实施的人员条件、场地设备、信息支撑等是否落实到位。</w:t>
            </w:r>
          </w:p>
        </w:tc>
      </w:tr>
      <w:tr>
        <w:tblPrEx>
          <w:tblCellMar>
            <w:top w:w="0" w:type="dxa"/>
            <w:left w:w="0" w:type="dxa"/>
            <w:bottom w:w="0" w:type="dxa"/>
            <w:right w:w="0" w:type="dxa"/>
          </w:tblCellMar>
        </w:tblPrEx>
        <w:trPr>
          <w:trHeight w:val="6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评分标准：不符合第一条0分，符合第一条不符合2至4条，每条扣1分扣完为止</w:t>
            </w:r>
          </w:p>
        </w:tc>
      </w:tr>
      <w:tr>
        <w:tblPrEx>
          <w:tblCellMar>
            <w:top w:w="0" w:type="dxa"/>
            <w:left w:w="0" w:type="dxa"/>
            <w:bottom w:w="0" w:type="dxa"/>
            <w:right w:w="0" w:type="dxa"/>
          </w:tblCellMar>
        </w:tblPrEx>
        <w:trPr>
          <w:trHeight w:val="395"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数量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实际</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完成率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10分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按照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实际</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情况</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调整为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数量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指标</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项目实施的实际产出数与计划产出数的比率，用以反映和考核项目产出数量目标的实现程度。</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214" w:hRule="atLeast"/>
        </w:trPr>
        <w:tc>
          <w:tcPr>
            <w:tcW w:w="681"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实际完成率=（实际产出数/计划产出数）×100%。</w:t>
            </w:r>
          </w:p>
        </w:tc>
      </w:tr>
      <w:tr>
        <w:tblPrEx>
          <w:tblCellMar>
            <w:top w:w="0" w:type="dxa"/>
            <w:left w:w="0" w:type="dxa"/>
            <w:bottom w:w="0" w:type="dxa"/>
            <w:right w:w="0" w:type="dxa"/>
          </w:tblCellMar>
        </w:tblPrEx>
        <w:trPr>
          <w:trHeight w:val="7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实际产出数：一定时期（本年度或项目期）内项目实际产出的产品或提供的服务数量。</w:t>
            </w:r>
          </w:p>
        </w:tc>
      </w:tr>
      <w:tr>
        <w:tblPrEx>
          <w:tblCellMar>
            <w:top w:w="0" w:type="dxa"/>
            <w:left w:w="0" w:type="dxa"/>
            <w:bottom w:w="0" w:type="dxa"/>
            <w:right w:w="0" w:type="dxa"/>
          </w:tblCellMar>
        </w:tblPrEx>
        <w:trPr>
          <w:trHeight w:val="5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计划产出数：项目绩效目标确定的在一定时期（本年度或项目期）内计划产出的产品或提供的服务数量。</w:t>
            </w:r>
          </w:p>
        </w:tc>
      </w:tr>
      <w:tr>
        <w:tblPrEx>
          <w:tblCellMar>
            <w:top w:w="0" w:type="dxa"/>
            <w:left w:w="0" w:type="dxa"/>
            <w:bottom w:w="0" w:type="dxa"/>
            <w:right w:w="0" w:type="dxa"/>
          </w:tblCellMar>
        </w:tblPrEx>
        <w:trPr>
          <w:trHeight w:val="6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评分标准：计划1次年度大会完成得6分，8个常委会项目，每完成1个得0.5分</w:t>
            </w:r>
          </w:p>
        </w:tc>
      </w:tr>
      <w:tr>
        <w:tblPrEx>
          <w:tblCellMar>
            <w:top w:w="0" w:type="dxa"/>
            <w:left w:w="0" w:type="dxa"/>
            <w:bottom w:w="0" w:type="dxa"/>
            <w:right w:w="0" w:type="dxa"/>
          </w:tblCellMar>
        </w:tblPrEx>
        <w:trPr>
          <w:trHeight w:val="43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质量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质量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达标率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项目完成的质量达标产出数与实际产出数的比率，用以反映和考核项目产出质量目标的实现程度。</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质量达标率=（质量达标产出数/实际产出数）×100%。</w:t>
            </w:r>
          </w:p>
        </w:tc>
      </w:tr>
      <w:tr>
        <w:tblPrEx>
          <w:tblCellMar>
            <w:top w:w="0" w:type="dxa"/>
            <w:left w:w="0" w:type="dxa"/>
            <w:bottom w:w="0" w:type="dxa"/>
            <w:right w:w="0" w:type="dxa"/>
          </w:tblCellMar>
        </w:tblPrEx>
        <w:trPr>
          <w:trHeight w:val="9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CellMar>
            <w:top w:w="0" w:type="dxa"/>
            <w:left w:w="0" w:type="dxa"/>
            <w:bottom w:w="0" w:type="dxa"/>
            <w:right w:w="0" w:type="dxa"/>
          </w:tblCellMar>
        </w:tblPrEx>
        <w:trPr>
          <w:trHeight w:val="6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评分标准：质量达标率100%满分。每降低2个百分点扣1分，扣完为止</w:t>
            </w:r>
          </w:p>
        </w:tc>
      </w:tr>
      <w:tr>
        <w:tblPrEx>
          <w:tblCellMar>
            <w:top w:w="0" w:type="dxa"/>
            <w:left w:w="0" w:type="dxa"/>
            <w:bottom w:w="0" w:type="dxa"/>
            <w:right w:w="0" w:type="dxa"/>
          </w:tblCellMar>
        </w:tblPrEx>
        <w:trPr>
          <w:trHeight w:val="41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时效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及时性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项目实际完成时间与计划完成时间的比较，用以反映和考核项目产出时效目标的实现程度。</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实际完成时间：项目实施单位完成该项目实际所耗用的时间。</w:t>
            </w:r>
          </w:p>
        </w:tc>
      </w:tr>
      <w:tr>
        <w:tblPrEx>
          <w:tblCellMar>
            <w:top w:w="0" w:type="dxa"/>
            <w:left w:w="0" w:type="dxa"/>
            <w:bottom w:w="0" w:type="dxa"/>
            <w:right w:w="0" w:type="dxa"/>
          </w:tblCellMar>
        </w:tblPrEx>
        <w:trPr>
          <w:trHeight w:val="37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计划完成时间：按照项目实施计划或相关规定完成该项目所需的时间。</w:t>
            </w:r>
          </w:p>
        </w:tc>
      </w:tr>
      <w:tr>
        <w:tblPrEx>
          <w:tblCellMar>
            <w:top w:w="0" w:type="dxa"/>
            <w:left w:w="0" w:type="dxa"/>
            <w:bottom w:w="0" w:type="dxa"/>
            <w:right w:w="0" w:type="dxa"/>
          </w:tblCellMar>
        </w:tblPrEx>
        <w:trPr>
          <w:trHeight w:val="26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评分标准：未完成0分</w:t>
            </w:r>
          </w:p>
        </w:tc>
      </w:tr>
      <w:tr>
        <w:tblPrEx>
          <w:tblCellMar>
            <w:top w:w="0" w:type="dxa"/>
            <w:left w:w="0" w:type="dxa"/>
            <w:bottom w:w="0" w:type="dxa"/>
            <w:right w:w="0" w:type="dxa"/>
          </w:tblCellMar>
        </w:tblPrEx>
        <w:trPr>
          <w:trHeight w:val="37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成本</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年度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计划</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成本</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节约率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计划成本为预算安排费用</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r>
      <w:tr>
        <w:tblPrEx>
          <w:tblCellMar>
            <w:top w:w="0" w:type="dxa"/>
            <w:left w:w="0" w:type="dxa"/>
            <w:bottom w:w="0" w:type="dxa"/>
            <w:right w:w="0" w:type="dxa"/>
          </w:tblCellMar>
        </w:tblPrEx>
        <w:trPr>
          <w:trHeight w:val="5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55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成本节约率=[（计划成本-实际成本）/计划成本]×100%。</w:t>
            </w:r>
          </w:p>
        </w:tc>
      </w:tr>
      <w:tr>
        <w:tblPrEx>
          <w:tblCellMar>
            <w:top w:w="0" w:type="dxa"/>
            <w:left w:w="0" w:type="dxa"/>
            <w:bottom w:w="0" w:type="dxa"/>
            <w:right w:w="0" w:type="dxa"/>
          </w:tblCellMar>
        </w:tblPrEx>
        <w:trPr>
          <w:trHeight w:val="3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实际成本：项目实施单位如期、保质、保量完成既定工作目标实际所耗费的支出。</w:t>
            </w:r>
          </w:p>
        </w:tc>
      </w:tr>
      <w:tr>
        <w:tblPrEx>
          <w:tblCellMar>
            <w:top w:w="0" w:type="dxa"/>
            <w:left w:w="0" w:type="dxa"/>
            <w:bottom w:w="0" w:type="dxa"/>
            <w:right w:w="0" w:type="dxa"/>
          </w:tblCellMar>
        </w:tblPrEx>
        <w:trPr>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计划成本：项目实施单位为完成工作目标计划安排的支出，一般以项目预算为参考。</w:t>
            </w:r>
          </w:p>
        </w:tc>
      </w:tr>
      <w:tr>
        <w:tblPrEx>
          <w:tblCellMar>
            <w:top w:w="0" w:type="dxa"/>
            <w:left w:w="0" w:type="dxa"/>
            <w:bottom w:w="0" w:type="dxa"/>
            <w:right w:w="0" w:type="dxa"/>
          </w:tblCellMar>
        </w:tblPrEx>
        <w:trPr>
          <w:trHeight w:val="6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评分标准：100%及以下得满分，100%以上0分</w:t>
            </w:r>
          </w:p>
        </w:tc>
      </w:tr>
      <w:tr>
        <w:tblPrEx>
          <w:tblCellMar>
            <w:top w:w="0" w:type="dxa"/>
            <w:left w:w="0" w:type="dxa"/>
            <w:bottom w:w="0" w:type="dxa"/>
            <w:right w:w="0" w:type="dxa"/>
          </w:tblCellMar>
        </w:tblPrEx>
        <w:trPr>
          <w:trHeight w:val="755"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项目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社会</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消防队员集中出勤率率</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昌江区应急物资储备仓库，在突发应急事件发生后的物资保障率，应满足基本应急需求</w:t>
            </w:r>
          </w:p>
        </w:tc>
      </w:tr>
      <w:tr>
        <w:tblPrEx>
          <w:tblCellMar>
            <w:top w:w="0" w:type="dxa"/>
            <w:left w:w="0" w:type="dxa"/>
            <w:bottom w:w="0" w:type="dxa"/>
            <w:right w:w="0" w:type="dxa"/>
          </w:tblCellMar>
        </w:tblPrEx>
        <w:trPr>
          <w:trHeight w:val="4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评分标准：达到目标及以上得满分，每降低1个百分点扣1分，扣完为止</w:t>
            </w:r>
          </w:p>
        </w:tc>
      </w:tr>
      <w:tr>
        <w:tblPrEx>
          <w:tblCellMar>
            <w:top w:w="0" w:type="dxa"/>
            <w:left w:w="0" w:type="dxa"/>
            <w:bottom w:w="0" w:type="dxa"/>
            <w:right w:w="0" w:type="dxa"/>
          </w:tblCellMar>
        </w:tblPrEx>
        <w:trPr>
          <w:trHeight w:val="5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可持续</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影响</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消防队员业务素质提升率</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仓库物资储备后对灾害的影响降到最小化</w:t>
            </w:r>
          </w:p>
        </w:tc>
      </w:tr>
      <w:tr>
        <w:tblPrEx>
          <w:tblCellMar>
            <w:top w:w="0" w:type="dxa"/>
            <w:left w:w="0" w:type="dxa"/>
            <w:bottom w:w="0" w:type="dxa"/>
            <w:right w:w="0" w:type="dxa"/>
          </w:tblCellMar>
        </w:tblPrEx>
        <w:trPr>
          <w:trHeight w:val="29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评分标准：下降得满分，未下降0分</w:t>
            </w:r>
          </w:p>
        </w:tc>
      </w:tr>
      <w:tr>
        <w:tblPrEx>
          <w:tblCellMar>
            <w:top w:w="0" w:type="dxa"/>
            <w:left w:w="0" w:type="dxa"/>
            <w:bottom w:w="0" w:type="dxa"/>
            <w:right w:w="0" w:type="dxa"/>
          </w:tblCellMar>
        </w:tblPrEx>
        <w:trPr>
          <w:trHeight w:val="3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人民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群众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满意度10分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人民群众满意度</w:t>
            </w:r>
          </w:p>
        </w:tc>
        <w:tc>
          <w:tcPr>
            <w:tcW w:w="4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人民群众对消防队员出警的满意程度，计划满意度90%</w:t>
            </w:r>
          </w:p>
        </w:tc>
      </w:tr>
      <w:tr>
        <w:tblPrEx>
          <w:tblCellMar>
            <w:top w:w="0" w:type="dxa"/>
            <w:left w:w="0" w:type="dxa"/>
            <w:bottom w:w="0" w:type="dxa"/>
            <w:right w:w="0"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4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评分标准：达到90%的满分，每降低5个百分点扣1分</w:t>
            </w:r>
          </w:p>
        </w:tc>
      </w:tr>
    </w:tbl>
    <w:p>
      <w:pPr>
        <w:keepNext w:val="0"/>
        <w:keepLines w:val="0"/>
        <w:pageBreakBefore w:val="0"/>
        <w:numPr>
          <w:ilvl w:val="0"/>
          <w:numId w:val="0"/>
        </w:numPr>
        <w:kinsoku/>
        <w:wordWrap/>
        <w:overflowPunct/>
        <w:topLinePunct w:val="0"/>
        <w:bidi w:val="0"/>
        <w:adjustRightInd/>
        <w:snapToGrid/>
        <w:spacing w:line="240" w:lineRule="auto"/>
        <w:ind w:right="0" w:rightChars="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评价方法</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本次绩效评价采用的评价方法有定量与定性相结合的综合判断法、比较分析法和公众评判法等。</w:t>
      </w:r>
      <w:r>
        <w:rPr>
          <w:rFonts w:hint="eastAsia" w:ascii="仿宋" w:hAnsi="仿宋" w:eastAsia="仿宋" w:cs="仿宋"/>
          <w:color w:val="auto"/>
          <w:sz w:val="32"/>
          <w:szCs w:val="32"/>
        </w:rPr>
        <w:t>景德镇市昌江</w:t>
      </w:r>
      <w:r>
        <w:rPr>
          <w:rFonts w:hint="eastAsia" w:ascii="仿宋" w:hAnsi="仿宋" w:eastAsia="仿宋" w:cs="仿宋"/>
          <w:color w:val="auto"/>
          <w:sz w:val="32"/>
          <w:szCs w:val="32"/>
          <w:lang w:val="en-US" w:eastAsia="zh-CN"/>
        </w:rPr>
        <w:t>应急管理局昌江区专业森林消防大队营房改造资料较少，内容较少，</w:t>
      </w:r>
      <w:r>
        <w:rPr>
          <w:rFonts w:hint="eastAsia" w:ascii="仿宋" w:hAnsi="仿宋" w:eastAsia="仿宋" w:cs="仿宋"/>
          <w:color w:val="auto"/>
          <w:kern w:val="0"/>
          <w:sz w:val="32"/>
          <w:szCs w:val="32"/>
        </w:rPr>
        <w:t>我们</w:t>
      </w:r>
      <w:r>
        <w:rPr>
          <w:rFonts w:hint="eastAsia" w:ascii="仿宋" w:hAnsi="仿宋" w:eastAsia="仿宋" w:cs="仿宋"/>
          <w:color w:val="auto"/>
          <w:kern w:val="0"/>
          <w:sz w:val="32"/>
          <w:szCs w:val="32"/>
          <w:lang w:val="en-US" w:eastAsia="zh-CN"/>
        </w:rPr>
        <w:t>对昌江区应急管理局昌江区专业森林消防大队营房改造项目</w:t>
      </w:r>
      <w:r>
        <w:rPr>
          <w:rFonts w:hint="eastAsia" w:ascii="仿宋" w:hAnsi="仿宋" w:eastAsia="仿宋" w:cs="仿宋"/>
          <w:color w:val="auto"/>
          <w:kern w:val="0"/>
          <w:sz w:val="32"/>
          <w:szCs w:val="32"/>
        </w:rPr>
        <w:t>采取</w:t>
      </w:r>
      <w:r>
        <w:rPr>
          <w:rFonts w:hint="eastAsia" w:ascii="仿宋" w:hAnsi="仿宋" w:eastAsia="仿宋" w:cs="仿宋"/>
          <w:color w:val="auto"/>
          <w:kern w:val="0"/>
          <w:sz w:val="32"/>
          <w:szCs w:val="32"/>
          <w:lang w:val="en-US" w:eastAsia="zh-CN"/>
        </w:rPr>
        <w:t>全面调查的</w:t>
      </w:r>
      <w:r>
        <w:rPr>
          <w:rFonts w:hint="eastAsia" w:ascii="仿宋" w:hAnsi="仿宋" w:eastAsia="仿宋" w:cs="仿宋"/>
          <w:color w:val="auto"/>
          <w:kern w:val="0"/>
          <w:sz w:val="32"/>
          <w:szCs w:val="32"/>
        </w:rPr>
        <w:t>方法，选取</w:t>
      </w:r>
      <w:r>
        <w:rPr>
          <w:rFonts w:hint="eastAsia" w:ascii="仿宋" w:hAnsi="仿宋" w:eastAsia="仿宋" w:cs="仿宋"/>
          <w:color w:val="auto"/>
          <w:kern w:val="0"/>
          <w:sz w:val="32"/>
          <w:szCs w:val="32"/>
          <w:lang w:val="en-US" w:eastAsia="zh-CN"/>
        </w:rPr>
        <w:t>全部</w:t>
      </w:r>
      <w:r>
        <w:rPr>
          <w:rFonts w:hint="eastAsia" w:ascii="仿宋" w:hAnsi="仿宋" w:eastAsia="仿宋" w:cs="仿宋"/>
          <w:color w:val="auto"/>
          <w:kern w:val="0"/>
          <w:sz w:val="32"/>
          <w:szCs w:val="32"/>
        </w:rPr>
        <w:t>数据进行检查调研，据此进行</w:t>
      </w:r>
      <w:r>
        <w:rPr>
          <w:rFonts w:hint="eastAsia" w:ascii="仿宋" w:hAnsi="仿宋" w:eastAsia="仿宋" w:cs="仿宋"/>
          <w:color w:val="auto"/>
          <w:kern w:val="0"/>
          <w:sz w:val="32"/>
          <w:szCs w:val="32"/>
          <w:lang w:val="en-US" w:eastAsia="zh-CN"/>
        </w:rPr>
        <w:t>项目</w:t>
      </w:r>
      <w:r>
        <w:rPr>
          <w:rFonts w:hint="eastAsia" w:ascii="仿宋" w:hAnsi="仿宋" w:eastAsia="仿宋" w:cs="仿宋"/>
          <w:color w:val="auto"/>
          <w:kern w:val="0"/>
          <w:sz w:val="32"/>
          <w:szCs w:val="32"/>
        </w:rPr>
        <w:t>评价</w:t>
      </w:r>
      <w:r>
        <w:rPr>
          <w:rFonts w:hint="eastAsia" w:ascii="仿宋" w:hAnsi="仿宋" w:eastAsia="仿宋" w:cs="仿宋"/>
          <w:color w:val="auto"/>
          <w:kern w:val="0"/>
          <w:sz w:val="32"/>
          <w:szCs w:val="32"/>
          <w:lang w:eastAsia="zh-CN"/>
        </w:rPr>
        <w:t>。</w:t>
      </w:r>
    </w:p>
    <w:p>
      <w:pPr>
        <w:keepNext w:val="0"/>
        <w:keepLines w:val="0"/>
        <w:pageBreakBefore w:val="0"/>
        <w:numPr>
          <w:ilvl w:val="0"/>
          <w:numId w:val="0"/>
        </w:numPr>
        <w:kinsoku/>
        <w:wordWrap/>
        <w:overflowPunct/>
        <w:topLinePunct w:val="0"/>
        <w:bidi w:val="0"/>
        <w:adjustRightInd/>
        <w:snapToGrid/>
        <w:spacing w:line="240" w:lineRule="auto"/>
        <w:ind w:leftChars="200" w:right="0" w:rightChars="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绩效评价工作过程。</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z w:val="32"/>
          <w:szCs w:val="32"/>
        </w:rPr>
        <w:t>前期准备（时间为20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月上旬）：</w:t>
      </w:r>
      <w:r>
        <w:rPr>
          <w:rFonts w:hint="eastAsia" w:ascii="仿宋" w:hAnsi="仿宋" w:eastAsia="仿宋" w:cs="仿宋"/>
          <w:color w:val="auto"/>
          <w:kern w:val="0"/>
          <w:sz w:val="32"/>
          <w:szCs w:val="32"/>
        </w:rPr>
        <w:t>由景德镇</w:t>
      </w:r>
      <w:r>
        <w:rPr>
          <w:rFonts w:hint="eastAsia" w:ascii="仿宋" w:hAnsi="仿宋" w:eastAsia="仿宋" w:cs="仿宋"/>
          <w:color w:val="auto"/>
          <w:kern w:val="0"/>
          <w:sz w:val="32"/>
          <w:szCs w:val="32"/>
          <w:lang w:val="en-US" w:eastAsia="zh-CN"/>
        </w:rPr>
        <w:t>昌江区应急管理局</w:t>
      </w:r>
      <w:r>
        <w:rPr>
          <w:rFonts w:hint="eastAsia" w:ascii="仿宋" w:hAnsi="仿宋" w:eastAsia="仿宋" w:cs="仿宋"/>
          <w:color w:val="auto"/>
          <w:kern w:val="0"/>
          <w:sz w:val="32"/>
          <w:szCs w:val="32"/>
        </w:rPr>
        <w:t>成立绩效评价小组，</w:t>
      </w:r>
      <w:r>
        <w:rPr>
          <w:rFonts w:hint="eastAsia" w:ascii="仿宋" w:hAnsi="仿宋" w:eastAsia="仿宋" w:cs="仿宋"/>
          <w:color w:val="auto"/>
          <w:sz w:val="32"/>
          <w:szCs w:val="32"/>
        </w:rPr>
        <w:t>为提升评价方案及指标体系的科学性及准确性，评价组多次进行开会讨论，收集相关资料，初步了解本次绩效评价对象、评价工作目标及评价要求。</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2、制定评价指标体系（时间为20</w:t>
      </w:r>
      <w:r>
        <w:rPr>
          <w:rFonts w:hint="eastAsia" w:ascii="仿宋" w:hAnsi="仿宋" w:eastAsia="仿宋" w:cs="仿宋"/>
          <w:color w:val="auto"/>
          <w:kern w:val="0"/>
          <w:sz w:val="32"/>
          <w:szCs w:val="32"/>
          <w:lang w:val="en-US" w:eastAsia="zh-CN"/>
        </w:rPr>
        <w:t>23</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下</w:t>
      </w:r>
      <w:r>
        <w:rPr>
          <w:rFonts w:hint="eastAsia" w:ascii="仿宋" w:hAnsi="仿宋" w:eastAsia="仿宋" w:cs="仿宋"/>
          <w:color w:val="auto"/>
          <w:kern w:val="0"/>
          <w:sz w:val="32"/>
          <w:szCs w:val="32"/>
        </w:rPr>
        <w:t>旬）：在熟悉绩效管理政策，充分调查基础上，了解掌握昌江区</w:t>
      </w:r>
      <w:r>
        <w:rPr>
          <w:rFonts w:hint="eastAsia" w:ascii="仿宋" w:hAnsi="仿宋" w:eastAsia="仿宋" w:cs="仿宋"/>
          <w:color w:val="auto"/>
          <w:kern w:val="0"/>
          <w:sz w:val="32"/>
          <w:szCs w:val="32"/>
          <w:lang w:val="en-US" w:eastAsia="zh-CN"/>
        </w:rPr>
        <w:t>应急管理局昌江区专业森林消防大队营房改造经费</w:t>
      </w:r>
      <w:r>
        <w:rPr>
          <w:rFonts w:hint="eastAsia" w:ascii="仿宋" w:hAnsi="仿宋" w:eastAsia="仿宋" w:cs="仿宋"/>
          <w:color w:val="auto"/>
          <w:kern w:val="0"/>
          <w:sz w:val="32"/>
          <w:szCs w:val="32"/>
        </w:rPr>
        <w:t>资金使用情况，设计出绩效评价体系，将评价指标体系初稿</w:t>
      </w:r>
      <w:r>
        <w:rPr>
          <w:rFonts w:hint="eastAsia" w:ascii="仿宋" w:hAnsi="仿宋" w:eastAsia="仿宋" w:cs="仿宋"/>
          <w:color w:val="auto"/>
          <w:sz w:val="32"/>
          <w:szCs w:val="32"/>
        </w:rPr>
        <w:t>经专家多次指导、反复修改、评审确认后，我们围绕评价指标体系要求制定了《景德镇市昌江区</w:t>
      </w:r>
      <w:r>
        <w:rPr>
          <w:rFonts w:hint="eastAsia" w:ascii="仿宋" w:hAnsi="仿宋" w:eastAsia="仿宋" w:cs="仿宋"/>
          <w:color w:val="auto"/>
          <w:sz w:val="32"/>
          <w:szCs w:val="32"/>
          <w:lang w:val="en-US" w:eastAsia="zh-CN"/>
        </w:rPr>
        <w:t>应急局应急局昌江区专业森林消防大队营房改造项目</w:t>
      </w:r>
      <w:r>
        <w:rPr>
          <w:rFonts w:hint="eastAsia" w:ascii="仿宋" w:hAnsi="仿宋" w:eastAsia="仿宋" w:cs="仿宋"/>
          <w:color w:val="auto"/>
          <w:sz w:val="32"/>
          <w:szCs w:val="32"/>
        </w:rPr>
        <w:t>绩效评价</w:t>
      </w:r>
      <w:r>
        <w:rPr>
          <w:rFonts w:hint="eastAsia" w:ascii="仿宋" w:hAnsi="仿宋" w:eastAsia="仿宋" w:cs="仿宋"/>
          <w:color w:val="auto"/>
          <w:sz w:val="32"/>
          <w:szCs w:val="32"/>
          <w:lang w:val="en-US" w:eastAsia="zh-CN"/>
        </w:rPr>
        <w:t>指标体系</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指标体系</w:t>
      </w:r>
      <w:r>
        <w:rPr>
          <w:rFonts w:hint="eastAsia" w:ascii="仿宋" w:hAnsi="仿宋" w:eastAsia="仿宋" w:cs="仿宋"/>
          <w:color w:val="auto"/>
          <w:kern w:val="0"/>
          <w:sz w:val="32"/>
          <w:szCs w:val="32"/>
        </w:rPr>
        <w:t>评审（时间为20</w:t>
      </w:r>
      <w:r>
        <w:rPr>
          <w:rFonts w:hint="eastAsia" w:ascii="仿宋" w:hAnsi="仿宋" w:eastAsia="仿宋" w:cs="仿宋"/>
          <w:color w:val="auto"/>
          <w:kern w:val="0"/>
          <w:sz w:val="32"/>
          <w:szCs w:val="32"/>
          <w:lang w:val="en-US" w:eastAsia="zh-CN"/>
        </w:rPr>
        <w:t>23</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上</w:t>
      </w:r>
      <w:r>
        <w:rPr>
          <w:rFonts w:hint="eastAsia" w:ascii="仿宋" w:hAnsi="仿宋" w:eastAsia="仿宋" w:cs="仿宋"/>
          <w:color w:val="auto"/>
          <w:kern w:val="0"/>
          <w:sz w:val="32"/>
          <w:szCs w:val="32"/>
        </w:rPr>
        <w:t>旬）：将</w:t>
      </w:r>
      <w:r>
        <w:rPr>
          <w:rFonts w:hint="eastAsia" w:ascii="仿宋" w:hAnsi="仿宋" w:eastAsia="仿宋" w:cs="仿宋"/>
          <w:color w:val="auto"/>
          <w:sz w:val="32"/>
          <w:szCs w:val="32"/>
        </w:rPr>
        <w:t>《景德镇市昌江区</w:t>
      </w:r>
      <w:r>
        <w:rPr>
          <w:rFonts w:hint="eastAsia" w:ascii="仿宋" w:hAnsi="仿宋" w:eastAsia="仿宋" w:cs="仿宋"/>
          <w:color w:val="auto"/>
          <w:sz w:val="32"/>
          <w:szCs w:val="32"/>
          <w:lang w:val="en-US" w:eastAsia="zh-CN"/>
        </w:rPr>
        <w:t>应急管理局昌江区专业森林消防大队营房改造项目</w:t>
      </w:r>
      <w:r>
        <w:rPr>
          <w:rFonts w:hint="eastAsia" w:ascii="仿宋" w:hAnsi="仿宋" w:eastAsia="仿宋" w:cs="仿宋"/>
          <w:color w:val="auto"/>
          <w:sz w:val="32"/>
          <w:szCs w:val="32"/>
        </w:rPr>
        <w:t>绩效评价</w:t>
      </w:r>
      <w:r>
        <w:rPr>
          <w:rFonts w:hint="eastAsia" w:ascii="仿宋" w:hAnsi="仿宋" w:eastAsia="仿宋" w:cs="仿宋"/>
          <w:color w:val="auto"/>
          <w:sz w:val="32"/>
          <w:szCs w:val="32"/>
          <w:lang w:val="en-US" w:eastAsia="zh-CN"/>
        </w:rPr>
        <w:t>指标体系》</w:t>
      </w:r>
      <w:r>
        <w:rPr>
          <w:rFonts w:hint="eastAsia" w:ascii="仿宋" w:hAnsi="仿宋" w:eastAsia="仿宋" w:cs="仿宋"/>
          <w:color w:val="auto"/>
          <w:kern w:val="0"/>
          <w:sz w:val="32"/>
          <w:szCs w:val="32"/>
        </w:rPr>
        <w:t>初稿进行集中全委员会人员讨论，对可操作性以及完整性提出意见，经过反复论证和完善，定稿后的《</w:t>
      </w:r>
      <w:r>
        <w:rPr>
          <w:rFonts w:hint="eastAsia" w:ascii="仿宋" w:hAnsi="仿宋" w:eastAsia="仿宋" w:cs="仿宋"/>
          <w:color w:val="auto"/>
          <w:kern w:val="0"/>
          <w:sz w:val="32"/>
          <w:szCs w:val="32"/>
          <w:lang w:val="en-US" w:eastAsia="zh-CN"/>
        </w:rPr>
        <w:t>体系</w:t>
      </w:r>
      <w:r>
        <w:rPr>
          <w:rFonts w:hint="eastAsia" w:ascii="仿宋" w:hAnsi="仿宋" w:eastAsia="仿宋" w:cs="仿宋"/>
          <w:color w:val="auto"/>
          <w:kern w:val="0"/>
          <w:sz w:val="32"/>
          <w:szCs w:val="32"/>
        </w:rPr>
        <w:t>》作为</w:t>
      </w:r>
      <w:r>
        <w:rPr>
          <w:rFonts w:hint="eastAsia" w:ascii="仿宋" w:hAnsi="仿宋" w:eastAsia="仿宋" w:cs="仿宋"/>
          <w:color w:val="auto"/>
          <w:kern w:val="0"/>
          <w:sz w:val="32"/>
          <w:szCs w:val="32"/>
          <w:lang w:val="en-US" w:eastAsia="zh-CN"/>
        </w:rPr>
        <w:t>应急局昌江区专业森林消防大队营房改造项目评价</w:t>
      </w:r>
      <w:r>
        <w:rPr>
          <w:rFonts w:hint="eastAsia" w:ascii="仿宋" w:hAnsi="仿宋" w:eastAsia="仿宋" w:cs="仿宋"/>
          <w:color w:val="auto"/>
          <w:kern w:val="0"/>
          <w:sz w:val="32"/>
          <w:szCs w:val="32"/>
        </w:rPr>
        <w:t>的</w:t>
      </w:r>
      <w:r>
        <w:rPr>
          <w:rFonts w:hint="eastAsia" w:ascii="仿宋" w:hAnsi="仿宋" w:eastAsia="仿宋" w:cs="仿宋"/>
          <w:color w:val="auto"/>
          <w:kern w:val="0"/>
          <w:sz w:val="32"/>
          <w:szCs w:val="32"/>
          <w:lang w:val="en-US" w:eastAsia="zh-CN"/>
        </w:rPr>
        <w:t>内容</w:t>
      </w:r>
      <w:r>
        <w:rPr>
          <w:rFonts w:hint="eastAsia" w:ascii="仿宋" w:hAnsi="仿宋" w:eastAsia="仿宋" w:cs="仿宋"/>
          <w:color w:val="auto"/>
          <w:kern w:val="0"/>
          <w:sz w:val="32"/>
          <w:szCs w:val="32"/>
        </w:rPr>
        <w:t>。</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三、综合评价情况及评价结论（附相关评分表）</w:t>
      </w: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1、评价结果</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我们遵循“客观、公正、科学、规范”的原则，分析、利用调查收集的资料（数据），依照由领导小组审核的评价指标体系及评分标准，得出昌江区</w:t>
      </w:r>
      <w:r>
        <w:rPr>
          <w:rFonts w:hint="eastAsia" w:ascii="仿宋" w:hAnsi="仿宋" w:eastAsia="仿宋" w:cs="仿宋"/>
          <w:color w:val="auto"/>
          <w:sz w:val="32"/>
          <w:szCs w:val="32"/>
          <w:lang w:val="en-US" w:eastAsia="zh-CN"/>
        </w:rPr>
        <w:t>应急局昌江区专业森林消防大队营房改造项目</w:t>
      </w:r>
      <w:r>
        <w:rPr>
          <w:rFonts w:hint="eastAsia" w:ascii="仿宋" w:hAnsi="仿宋" w:eastAsia="仿宋" w:cs="仿宋"/>
          <w:color w:val="auto"/>
          <w:sz w:val="32"/>
          <w:szCs w:val="32"/>
        </w:rPr>
        <w:t>支出绩效评价分值为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分，总体评价等级“</w:t>
      </w:r>
      <w:r>
        <w:rPr>
          <w:rFonts w:hint="eastAsia" w:ascii="仿宋" w:hAnsi="仿宋" w:eastAsia="仿宋" w:cs="仿宋"/>
          <w:color w:val="auto"/>
          <w:sz w:val="32"/>
          <w:szCs w:val="32"/>
          <w:lang w:val="en-US" w:eastAsia="zh-CN"/>
        </w:rPr>
        <w:t>优</w:t>
      </w:r>
      <w:r>
        <w:rPr>
          <w:rFonts w:hint="eastAsia" w:ascii="仿宋" w:hAnsi="仿宋" w:eastAsia="仿宋" w:cs="仿宋"/>
          <w:color w:val="auto"/>
          <w:sz w:val="32"/>
          <w:szCs w:val="32"/>
        </w:rPr>
        <w:t>”（详见绩效分析）</w:t>
      </w: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tbl>
      <w:tblPr>
        <w:tblStyle w:val="7"/>
        <w:tblW w:w="8479" w:type="dxa"/>
        <w:tblInd w:w="0" w:type="dxa"/>
        <w:tblLayout w:type="fixed"/>
        <w:tblCellMar>
          <w:top w:w="0" w:type="dxa"/>
          <w:left w:w="0" w:type="dxa"/>
          <w:bottom w:w="0" w:type="dxa"/>
          <w:right w:w="0" w:type="dxa"/>
        </w:tblCellMar>
      </w:tblPr>
      <w:tblGrid>
        <w:gridCol w:w="681"/>
        <w:gridCol w:w="764"/>
        <w:gridCol w:w="886"/>
        <w:gridCol w:w="1123"/>
        <w:gridCol w:w="2280"/>
        <w:gridCol w:w="510"/>
        <w:gridCol w:w="2235"/>
      </w:tblGrid>
      <w:tr>
        <w:tblPrEx>
          <w:tblCellMar>
            <w:top w:w="0" w:type="dxa"/>
            <w:left w:w="0" w:type="dxa"/>
            <w:bottom w:w="0" w:type="dxa"/>
            <w:right w:w="0" w:type="dxa"/>
          </w:tblCellMar>
        </w:tblPrEx>
        <w:trPr>
          <w:trHeight w:val="480" w:hRule="atLeast"/>
        </w:trPr>
        <w:tc>
          <w:tcPr>
            <w:tcW w:w="8479" w:type="dxa"/>
            <w:gridSpan w:val="7"/>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景德镇市昌江区应急局昌江区专业森林消防大队营房改造绩效评价指标体系</w:t>
            </w:r>
          </w:p>
        </w:tc>
      </w:tr>
      <w:tr>
        <w:tblPrEx>
          <w:tblCellMar>
            <w:top w:w="0" w:type="dxa"/>
            <w:left w:w="0" w:type="dxa"/>
            <w:bottom w:w="0" w:type="dxa"/>
            <w:right w:w="0" w:type="dxa"/>
          </w:tblCellMar>
        </w:tblPrEx>
        <w:trPr>
          <w:trHeight w:val="479"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指标</w:t>
            </w:r>
          </w:p>
        </w:tc>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解释</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指标说明及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平分标准</w:t>
            </w:r>
          </w:p>
        </w:tc>
        <w:tc>
          <w:tcPr>
            <w:tcW w:w="510"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center"/>
              <w:textAlignment w:val="center"/>
              <w:rPr>
                <w:rFonts w:hint="eastAsia" w:ascii="仿宋" w:hAnsi="仿宋" w:eastAsia="仿宋" w:cs="仿宋"/>
                <w:b w:val="0"/>
                <w:bCs w:val="0"/>
                <w:i w:val="0"/>
                <w:color w:val="auto"/>
                <w:kern w:val="2"/>
                <w:sz w:val="24"/>
                <w:szCs w:val="24"/>
                <w:u w:val="none"/>
                <w:lang w:val="en-US" w:eastAsia="zh-CN"/>
              </w:rPr>
            </w:pPr>
            <w:r>
              <w:rPr>
                <w:rFonts w:hint="eastAsia" w:ascii="仿宋" w:hAnsi="仿宋" w:eastAsia="仿宋" w:cs="仿宋"/>
                <w:b/>
                <w:bCs/>
                <w:i w:val="0"/>
                <w:color w:val="auto"/>
                <w:kern w:val="0"/>
                <w:sz w:val="24"/>
                <w:szCs w:val="24"/>
                <w:u w:val="none"/>
                <w:lang w:val="en-US" w:eastAsia="zh-CN" w:bidi="ar"/>
              </w:rPr>
              <w:t>得分</w:t>
            </w:r>
          </w:p>
        </w:tc>
        <w:tc>
          <w:tcPr>
            <w:tcW w:w="2235"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center"/>
              <w:textAlignment w:val="center"/>
              <w:rPr>
                <w:rFonts w:hint="eastAsia" w:ascii="仿宋" w:hAnsi="仿宋" w:eastAsia="仿宋" w:cs="仿宋"/>
                <w:b/>
                <w:bCs/>
                <w:i w:val="0"/>
                <w:color w:val="auto"/>
                <w:kern w:val="2"/>
                <w:sz w:val="24"/>
                <w:szCs w:val="24"/>
                <w:u w:val="none"/>
                <w:lang w:val="en-US" w:eastAsia="zh-CN"/>
              </w:rPr>
            </w:pPr>
            <w:r>
              <w:rPr>
                <w:rFonts w:hint="eastAsia" w:ascii="仿宋" w:hAnsi="仿宋" w:eastAsia="仿宋" w:cs="仿宋"/>
                <w:b/>
                <w:bCs/>
                <w:i w:val="0"/>
                <w:color w:val="auto"/>
                <w:kern w:val="0"/>
                <w:sz w:val="24"/>
                <w:szCs w:val="24"/>
                <w:u w:val="none"/>
                <w:lang w:val="en-US" w:eastAsia="zh-CN" w:bidi="ar"/>
              </w:rPr>
              <w:t>得分说明</w:t>
            </w:r>
          </w:p>
        </w:tc>
      </w:tr>
      <w:tr>
        <w:tblPrEx>
          <w:tblCellMar>
            <w:top w:w="0" w:type="dxa"/>
            <w:left w:w="0" w:type="dxa"/>
            <w:bottom w:w="0" w:type="dxa"/>
            <w:right w:w="0" w:type="dxa"/>
          </w:tblCellMar>
        </w:tblPrEx>
        <w:trPr>
          <w:trHeight w:val="397"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决策</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项目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6分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依据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充分性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项目立项是否符合法律法规、相关政策、发展规划以及部门职责，用以反映和考核项目立项依据情况。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center"/>
              <w:textAlignment w:val="center"/>
              <w:rPr>
                <w:rFonts w:hint="eastAsia" w:ascii="仿宋" w:hAnsi="仿宋" w:eastAsia="仿宋" w:cs="仿宋"/>
                <w:b w:val="0"/>
                <w:bCs w:val="0"/>
                <w:i w:val="0"/>
                <w:color w:val="auto"/>
                <w:kern w:val="2"/>
                <w:sz w:val="24"/>
                <w:szCs w:val="24"/>
                <w:u w:val="none"/>
                <w:lang w:val="en-US" w:eastAsia="zh-CN"/>
              </w:rPr>
            </w:pPr>
            <w:r>
              <w:rPr>
                <w:rFonts w:hint="eastAsia" w:ascii="仿宋" w:hAnsi="仿宋" w:eastAsia="仿宋" w:cs="仿宋"/>
                <w:b w:val="0"/>
                <w:bCs w:val="0"/>
                <w:i w:val="0"/>
                <w:color w:val="auto"/>
                <w:kern w:val="0"/>
                <w:sz w:val="24"/>
                <w:szCs w:val="24"/>
                <w:u w:val="none"/>
                <w:lang w:val="en-US" w:eastAsia="zh-CN" w:bidi="ar"/>
              </w:rPr>
              <w:t>3</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firstLine="480" w:firstLineChars="20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该项目按照《中华人民共和国突发事件应对法》《国家突发公共事件总体应急预案》《国务院办公厅关于印发〈突发事件应急预案管理办法〉的通知》《国务院办公厅关于印发〈省（区、市）人民政府突发公共事件总体应急预案框架指南〉的函》要求设立，</w:t>
            </w:r>
            <w:bookmarkStart w:id="0" w:name="_GoBack"/>
            <w:bookmarkEnd w:id="0"/>
            <w:r>
              <w:rPr>
                <w:rFonts w:hint="eastAsia" w:ascii="仿宋" w:hAnsi="仿宋" w:eastAsia="仿宋" w:cs="仿宋"/>
                <w:i w:val="0"/>
                <w:color w:val="auto"/>
                <w:kern w:val="0"/>
                <w:sz w:val="24"/>
                <w:szCs w:val="24"/>
                <w:u w:val="none"/>
                <w:lang w:val="en-US" w:eastAsia="zh-CN" w:bidi="ar"/>
              </w:rPr>
              <w:t>符合国家法律法规、国民经济发展规划和相关政策；符合从严管党的政策要求；与应急职责范围相符，属于部门履职所需；属于公共财政支持范围，是否符合中央、地方事权支出责任划分原则；相关应急同类项目或部门内部相关项目不重复得满分。2022年营房建设验收合格，达到上级验收要求得满分2022年营房建设及时得满分</w:t>
            </w:r>
          </w:p>
          <w:p>
            <w:pPr>
              <w:keepNext w:val="0"/>
              <w:keepLines w:val="0"/>
              <w:pageBreakBefore w:val="0"/>
              <w:widowControl/>
              <w:suppressLineNumbers w:val="0"/>
              <w:kinsoku/>
              <w:wordWrap/>
              <w:overflowPunct/>
              <w:topLinePunct w:val="0"/>
              <w:bidi w:val="0"/>
              <w:adjustRightInd/>
              <w:snapToGrid/>
              <w:spacing w:line="240" w:lineRule="auto"/>
              <w:ind w:right="0" w:rightChars="0" w:firstLine="480" w:firstLineChars="20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营房建成后可提供集中培训场地，提高人员素质，得满分</w:t>
            </w:r>
          </w:p>
          <w:p>
            <w:pPr>
              <w:keepNext w:val="0"/>
              <w:keepLines w:val="0"/>
              <w:pageBreakBefore w:val="0"/>
              <w:widowControl/>
              <w:suppressLineNumbers w:val="0"/>
              <w:kinsoku/>
              <w:wordWrap/>
              <w:overflowPunct/>
              <w:topLinePunct w:val="0"/>
              <w:bidi w:val="0"/>
              <w:adjustRightInd/>
              <w:snapToGrid/>
              <w:spacing w:line="240" w:lineRule="auto"/>
              <w:ind w:right="0" w:rightChars="0"/>
              <w:jc w:val="both"/>
              <w:textAlignment w:val="center"/>
              <w:rPr>
                <w:rFonts w:hint="eastAsia" w:ascii="仿宋" w:hAnsi="仿宋" w:eastAsia="仿宋" w:cs="仿宋"/>
                <w:i w:val="0"/>
                <w:color w:val="auto"/>
                <w:kern w:val="2"/>
                <w:sz w:val="24"/>
                <w:szCs w:val="24"/>
                <w:u w:val="none"/>
                <w:lang w:val="en-US" w:eastAsia="zh-CN"/>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①项目立项是否符合国家法律法规、国民经济发展规划和相关政策；</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②项目立项是否符合行业发展规划和政策要求；</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③项目立项是否与部门职责范围相符，属于部门履职所需；</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④项目是否属于公共财政支持范围，是否符合中央、地方事权支出责任划分原则；</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⑤项目是否与相关部门同类项目或部门内部相关项目重复。</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105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7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立项</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程序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规范性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项目申请、设立过程是否符合相关要求，用以反映和考核项目立项的规范情况。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3</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该项目依据《中华人民共和国突发事件应对法》《国家突发公共事件总体应急预案》《国务院办公厅关于印发〈突发事件应急预案管理办法〉的通知》《国务院办公厅关于印发〈省（区、市）人民政府突发公共事件总体应急预案框架指南〉的函》及区委文件设立符合相关要求得满分。</w:t>
            </w:r>
          </w:p>
        </w:tc>
      </w:tr>
      <w:tr>
        <w:tblPrEx>
          <w:tblCellMar>
            <w:top w:w="0" w:type="dxa"/>
            <w:left w:w="0" w:type="dxa"/>
            <w:bottom w:w="0" w:type="dxa"/>
            <w:right w:w="0" w:type="dxa"/>
          </w:tblCellMar>
        </w:tblPrEx>
        <w:trPr>
          <w:trHeight w:val="6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①项目是否按照规定的程序申请设立；</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1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②审批文件、材料是否符合相关要求；</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9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③事前是否已经过必要的可行性研究、专家论证、风险评估、绩效评估、集体决策。</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8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目标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8分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目标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合理性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4分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项目所设定的绩效目标是否依据充分，是否符合客观实际，用以反映和考核项目绩效目标与项目实施的相符情况。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4</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default"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该项目具有明确的绩效目标，该绩效目标是在考虑往年业务水平的情况下设立，与对应的预算资金相匹配得满分。</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①项目是否有绩效目标；</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②项目绩效目标与实际工作内容是否具有相关性；</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③项目预期产出效益和效果是否符合正常的业绩水平；</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④是否与预算确定的项目投资额或资金量相匹配。</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6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绩效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明确性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4分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依据绩效目标设定的绩效指标是否清晰、细化、可衡量等，用以反映和考核项目绩效目标的明细化情况。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4</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已将该项目细化为具体的指标，按照数量质量进行衡量，与目标任务数对应得满分。</w:t>
            </w: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①是否将项目绩效目标细化分解为具体的绩效指标；</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②是否通过清晰、可衡量的指标值予以体现；</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141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③是否与项目目标任务数或计划数相对应。</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118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8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投入</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6分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预算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编制</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科学性4分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项目预算编制是否经过科学论证、有明确标准，资金额度与年度目标是否相适应，用以反映和考核项目预算编制的科学性、合理性情况。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4</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预算额度测算依据充分，项目资金量与工作任务匹配得满分。</w:t>
            </w:r>
          </w:p>
        </w:tc>
      </w:tr>
      <w:tr>
        <w:tblPrEx>
          <w:tblCellMar>
            <w:top w:w="0" w:type="dxa"/>
            <w:left w:w="0" w:type="dxa"/>
            <w:bottom w:w="0" w:type="dxa"/>
            <w:right w:w="0" w:type="dxa"/>
          </w:tblCellMar>
        </w:tblPrEx>
        <w:trPr>
          <w:trHeight w:val="50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①预算编制是否经过科学论证；</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②预算内容与项目内容是否匹配；</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③预算额度测算依据是否充分，是否按照标准编制；</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④预算确定的项目投资额或资金量是否与工作任务相匹配。</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分配</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合理性2分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项目预算资金分配是否有测算依据，与补助单位或地方实际是否相适应，用以反映和考核项目预算资金分配的科学性、合理性情况。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由于额度测算依据充分，分配合理得满分</w:t>
            </w:r>
          </w:p>
        </w:tc>
      </w:tr>
      <w:tr>
        <w:tblPrEx>
          <w:tblCellMar>
            <w:top w:w="0" w:type="dxa"/>
            <w:left w:w="0" w:type="dxa"/>
            <w:bottom w:w="0" w:type="dxa"/>
            <w:right w:w="0" w:type="dxa"/>
          </w:tblCellMar>
        </w:tblPrEx>
        <w:trPr>
          <w:trHeight w:val="634"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①预算资金分配依据是否充分；</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71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②资金分配额度是否合理，与项目单位或地方实际是否相适应。</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75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评分标准：全部符合得满分，每条不符合扣1分，扣完为止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49"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管理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到位率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实际到位资金与预算资金的比率，用以反映和考核资金落实情况对项目实施的总体保障程度。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5</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61.59万元资金到位率=61.59/61.59=</w:t>
            </w:r>
          </w:p>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100%，得满分。</w:t>
            </w:r>
          </w:p>
        </w:tc>
      </w:tr>
      <w:tr>
        <w:tblPrEx>
          <w:tblCellMar>
            <w:top w:w="0" w:type="dxa"/>
            <w:left w:w="0" w:type="dxa"/>
            <w:bottom w:w="0" w:type="dxa"/>
            <w:right w:w="0" w:type="dxa"/>
          </w:tblCellMar>
        </w:tblPrEx>
        <w:trPr>
          <w:trHeight w:val="540" w:hRule="atLeast"/>
        </w:trPr>
        <w:tc>
          <w:tcPr>
            <w:tcW w:w="681"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资金到位率=（实际到位资金/预算资金）×100%。</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实际到位资金：一定时期（本年度或项目期）内落实到具体项目的资金。</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预算资金：一定时期（本年度或项目期）内预算安排到具体项目的资金。</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评分标准：每降低扣完为止5个百分点扣1分，扣完为止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3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预算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执行率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项目预算资金是否按照计划执行，用以反映或考核项目预算执行情况。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5</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2022年预算执行61.59万元，预算执行率=61.59/61.59=</w:t>
            </w:r>
          </w:p>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100%，得满分。</w:t>
            </w:r>
          </w:p>
        </w:tc>
      </w:tr>
      <w:tr>
        <w:tblPrEx>
          <w:tblCellMar>
            <w:top w:w="0" w:type="dxa"/>
            <w:left w:w="0" w:type="dxa"/>
            <w:bottom w:w="0" w:type="dxa"/>
            <w:right w:w="0" w:type="dxa"/>
          </w:tblCellMar>
        </w:tblPrEx>
        <w:trPr>
          <w:trHeight w:val="54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预算执行率=（实际支出资金/实际到位资金）×100%。</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实际支出资金：一定时期（本年度或项目期）内项目实际支付的资金。</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2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评分标准：预算执行率*分值</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资金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使用</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合规性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项目资金使用是否符合相关的财务管理制度规定，用以反映和考核项目资金的规范运行情况。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5</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①是否符合国家财经法规和财务管理制度以及有关专项资金管理办法的规定；</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②资金的拨付是否有完整的审批程序和手续；</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③是否符合项目预算批复或合同规定的用途；</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④是否存在截留、挤占、挪用、虚列支出等情况。</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评分标准：不符合一条0分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组织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实施</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管理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制度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健全性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项目实施单位的财务和业务管理制度是否健全，用以反映和考核财务和业务管理制度对项目顺利实施的保障情况。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经过查阅资料单位已制定财务和业务管理制度，管理制度合法、合规、完整得满分。</w:t>
            </w: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①是否已制定或具有相应的财务和业务管理制度；</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②财务和业务管理制度是否合法、合规、完整。</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55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评分标准：不符合第一条0分，符合第一条不符合第二条扣1分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制度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执行</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有效性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项目实施是否符合相关管理规定，用以反映和考核相关管理制度的有效执行情况。</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3</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该项目执行符合依据《中华人民共和国突发事件应对法》《国家突发公共事件总体应急预案》《国务院办公厅关于印发〈突发事件应急预案管理办法〉的通知》《国务院办公厅关于印发〈省（区、市）人民政府突发公共事件总体应急预案框架指南〉的函》及项目合同书、验收报告、技术鉴定等资料是否齐全并及时归档，项目实施的人员条件、场地设备、信息支撑等是否落实到位得满分。</w:t>
            </w:r>
          </w:p>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b/>
                <w:bCs/>
                <w:i w:val="0"/>
                <w:color w:val="auto"/>
                <w:kern w:val="0"/>
                <w:sz w:val="24"/>
                <w:szCs w:val="24"/>
                <w:u w:val="none"/>
                <w:lang w:val="en-US" w:eastAsia="zh-CN" w:bidi="ar"/>
              </w:rPr>
            </w:pPr>
          </w:p>
        </w:tc>
      </w:tr>
      <w:tr>
        <w:tblPrEx>
          <w:tblCellMar>
            <w:top w:w="0" w:type="dxa"/>
            <w:left w:w="0" w:type="dxa"/>
            <w:bottom w:w="0" w:type="dxa"/>
            <w:right w:w="0" w:type="dxa"/>
          </w:tblCellMar>
        </w:tblPrEx>
        <w:trPr>
          <w:trHeight w:val="24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①是否遵守相关法律法规和相关管理规定；</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2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②项目调整及支出调整手续是否完备；</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③项目合同书、验收报告、技术鉴定等资料是否齐全并及时归档；</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5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④项目实施的人员条件、场地设备、信息支撑等是否落实到位。</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评分标准：不符合第一条0分，符合第一条不符合2至4条，每条扣1分扣完为止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95"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数量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实际</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完成率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10分</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按照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实际</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情况</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调整为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数量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指标</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项目实施的实际产出数与计划产出数的比率，用以反映和考核项目产出数量目标的实现程度。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10</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2022年按照应急营房建设要求，建设完成1座营房，符合营房建设要求，验收合格得满分。</w:t>
            </w:r>
          </w:p>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b/>
                <w:bCs/>
                <w:i w:val="0"/>
                <w:color w:val="auto"/>
                <w:kern w:val="0"/>
                <w:sz w:val="24"/>
                <w:szCs w:val="24"/>
                <w:u w:val="none"/>
                <w:lang w:val="en-US" w:eastAsia="zh-CN" w:bidi="ar"/>
              </w:rPr>
            </w:pPr>
          </w:p>
        </w:tc>
      </w:tr>
      <w:tr>
        <w:tblPrEx>
          <w:tblCellMar>
            <w:top w:w="0" w:type="dxa"/>
            <w:left w:w="0" w:type="dxa"/>
            <w:bottom w:w="0" w:type="dxa"/>
            <w:right w:w="0" w:type="dxa"/>
          </w:tblCellMar>
        </w:tblPrEx>
        <w:trPr>
          <w:trHeight w:val="214" w:hRule="atLeast"/>
        </w:trPr>
        <w:tc>
          <w:tcPr>
            <w:tcW w:w="681"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实际完成率=（实际产出数/计划产出数）×100%。</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7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实际产出数：一定时期（本年度或项目期）内项目实际产出的产品或提供的服务数量。</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5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计划产出数：项目绩效目标确定的在一定时期（本年度或项目期）内计划产出的产品或提供的服务数量。</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评分标准：计划1次年度大会完成得6分，8个常委会项目，每完成1个得0.5分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firstLine="480" w:firstLineChars="200"/>
              <w:jc w:val="both"/>
              <w:textAlignment w:val="center"/>
              <w:rPr>
                <w:rFonts w:hint="eastAsia" w:ascii="仿宋" w:hAnsi="仿宋" w:eastAsia="仿宋" w:cs="仿宋"/>
                <w:i w:val="0"/>
                <w:color w:val="auto"/>
                <w:kern w:val="2"/>
                <w:sz w:val="24"/>
                <w:szCs w:val="24"/>
                <w:u w:val="none"/>
                <w:lang w:val="en-US" w:eastAsia="zh-CN"/>
              </w:rPr>
            </w:pPr>
          </w:p>
        </w:tc>
      </w:tr>
      <w:tr>
        <w:tblPrEx>
          <w:tblCellMar>
            <w:top w:w="0" w:type="dxa"/>
            <w:left w:w="0" w:type="dxa"/>
            <w:bottom w:w="0" w:type="dxa"/>
            <w:right w:w="0" w:type="dxa"/>
          </w:tblCellMar>
        </w:tblPrEx>
        <w:trPr>
          <w:trHeight w:val="43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质量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质量</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达标率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项目完成的质量达标产出数与实际产出数的比率，用以反映和考核项目产出质量目标的实现程度。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10</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2022年营房建设验收合格，达到上级验收要求得满分。</w:t>
            </w:r>
          </w:p>
        </w:tc>
      </w:tr>
      <w:tr>
        <w:tblPrEx>
          <w:tblCellMar>
            <w:top w:w="0" w:type="dxa"/>
            <w:left w:w="0" w:type="dxa"/>
            <w:bottom w:w="0" w:type="dxa"/>
            <w:right w:w="0"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质量达标率=（质量达标产出数/实际产出数）×100%。</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9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评分标准：质量达标率100%满分。每降低2个百分点扣1分，扣完为止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1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时效</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及时性</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项目实际完成时间与计划完成时间的比较，用以反映和考核项目产出时效目标的实现程度。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=5</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2022年营房建设及时得满分。</w:t>
            </w:r>
          </w:p>
        </w:tc>
      </w:tr>
      <w:tr>
        <w:tblPrEx>
          <w:tblCellMar>
            <w:top w:w="0" w:type="dxa"/>
            <w:left w:w="0" w:type="dxa"/>
            <w:bottom w:w="0" w:type="dxa"/>
            <w:right w:w="0"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实际完成时间：项目实施单位完成该项目实际所耗用的时间。</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7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计划完成时间：按照项目实施计划或相关规定完成该项目所需的时间。</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26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评分标准：未完成0分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7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产出</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成本</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年度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计划</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成本</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节约率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5分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计划成本为预算安排费用</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2"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b/>
                <w:bCs/>
                <w:i w:val="0"/>
                <w:color w:val="auto"/>
                <w:kern w:val="0"/>
                <w:sz w:val="24"/>
                <w:szCs w:val="24"/>
                <w:u w:val="none"/>
                <w:lang w:val="en-US" w:eastAsia="zh-CN" w:bidi="ar"/>
              </w:rPr>
              <w:t>评价要点：</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5</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2022年计划成本费用61.59万元成本结余率=【（61.59-61.59）/61.59】*100%=0%，得满分</w:t>
            </w:r>
          </w:p>
        </w:tc>
      </w:tr>
      <w:tr>
        <w:tblPrEx>
          <w:tblCellMar>
            <w:top w:w="0" w:type="dxa"/>
            <w:left w:w="0" w:type="dxa"/>
            <w:bottom w:w="0" w:type="dxa"/>
            <w:right w:w="0" w:type="dxa"/>
          </w:tblCellMar>
        </w:tblPrEx>
        <w:trPr>
          <w:trHeight w:val="5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886"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p>
        </w:tc>
        <w:tc>
          <w:tcPr>
            <w:tcW w:w="112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成本节约率=[（计划成本-实际成本）/计划成本]×100%。</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实际成本：项目实施单位如期、保质、保量完成既定工作目标实际所耗费的支出。</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计划成本：项目实施单位为完成工作目标计划安排的支出，一般以项目预算为参考。</w:t>
            </w:r>
          </w:p>
        </w:tc>
        <w:tc>
          <w:tcPr>
            <w:tcW w:w="510" w:type="dxa"/>
            <w:vMerge w:val="continue"/>
            <w:tcBorders>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6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评分标准：100%及以下得满分，100%以上0分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755"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30分</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项目</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20分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社会</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消防队员集中出勤率率</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昌江区应急物资储备仓库，在突发应急事件发生后的物资保障率，应满足基本应急需求</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10</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2022年营房建设成后，消防队员集中管理，提高应急出勤率及及时率，得满分。</w:t>
            </w:r>
          </w:p>
        </w:tc>
      </w:tr>
      <w:tr>
        <w:tblPrEx>
          <w:tblCellMar>
            <w:top w:w="0" w:type="dxa"/>
            <w:left w:w="0" w:type="dxa"/>
            <w:bottom w:w="0" w:type="dxa"/>
            <w:right w:w="0" w:type="dxa"/>
          </w:tblCellMar>
        </w:tblPrEx>
        <w:trPr>
          <w:trHeight w:val="4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评分标准：达到目标及以上得满分，每降低1个百分点扣1分，扣完为止</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可持续</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影响</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消防队员业务素质提升率</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仓库物资储备后对灾害的影响降到最小化</w:t>
            </w:r>
          </w:p>
        </w:tc>
        <w:tc>
          <w:tcPr>
            <w:tcW w:w="510" w:type="dxa"/>
            <w:vMerge w:val="restart"/>
            <w:tcBorders>
              <w:top w:val="single" w:color="000000" w:sz="4" w:space="0"/>
              <w:left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10</w:t>
            </w:r>
          </w:p>
        </w:tc>
        <w:tc>
          <w:tcPr>
            <w:tcW w:w="2235" w:type="dxa"/>
            <w:vMerge w:val="restart"/>
            <w:tcBorders>
              <w:top w:val="single" w:color="000000" w:sz="4" w:space="0"/>
              <w:left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rightChars="0"/>
              <w:jc w:val="both"/>
              <w:textAlignment w:val="center"/>
              <w:rPr>
                <w:rFonts w:hint="eastAsia" w:ascii="仿宋" w:hAnsi="仿宋" w:eastAsia="仿宋" w:cs="仿宋"/>
                <w:i w:val="0"/>
                <w:color w:val="auto"/>
                <w:kern w:val="2"/>
                <w:sz w:val="24"/>
                <w:szCs w:val="24"/>
                <w:u w:val="none"/>
                <w:lang w:val="en-US" w:eastAsia="zh-CN"/>
              </w:rPr>
            </w:pPr>
            <w:r>
              <w:rPr>
                <w:rFonts w:hint="eastAsia" w:ascii="仿宋" w:hAnsi="仿宋" w:eastAsia="仿宋" w:cs="仿宋"/>
                <w:i w:val="0"/>
                <w:color w:val="auto"/>
                <w:kern w:val="0"/>
                <w:sz w:val="24"/>
                <w:szCs w:val="24"/>
                <w:u w:val="none"/>
                <w:lang w:val="en-US" w:eastAsia="zh-CN" w:bidi="ar"/>
              </w:rPr>
              <w:t>营房建成后可提供集中培训场地，提高人员素质，得满分。</w:t>
            </w:r>
          </w:p>
        </w:tc>
      </w:tr>
      <w:tr>
        <w:tblPrEx>
          <w:tblCellMar>
            <w:top w:w="0" w:type="dxa"/>
            <w:left w:w="0" w:type="dxa"/>
            <w:bottom w:w="0" w:type="dxa"/>
            <w:right w:w="0" w:type="dxa"/>
          </w:tblCellMar>
        </w:tblPrEx>
        <w:trPr>
          <w:trHeight w:val="29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center"/>
              <w:rPr>
                <w:rFonts w:hint="eastAsia" w:ascii="仿宋" w:hAnsi="仿宋" w:eastAsia="仿宋" w:cs="仿宋"/>
                <w:b/>
                <w:bCs/>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left"/>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评分标准：下降得满分，未下降0分</w:t>
            </w:r>
          </w:p>
        </w:tc>
        <w:tc>
          <w:tcPr>
            <w:tcW w:w="510" w:type="dxa"/>
            <w:vMerge w:val="continue"/>
            <w:tcBorders>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2235" w:type="dxa"/>
            <w:vMerge w:val="continue"/>
            <w:tcBorders>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3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2" w:firstLineChars="200"/>
              <w:jc w:val="both"/>
              <w:rPr>
                <w:rFonts w:hint="eastAsia" w:ascii="仿宋" w:hAnsi="仿宋" w:eastAsia="仿宋" w:cs="仿宋"/>
                <w:b/>
                <w:bCs/>
                <w:i w:val="0"/>
                <w:color w:val="auto"/>
                <w:sz w:val="24"/>
                <w:szCs w:val="24"/>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指标</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10分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人民</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群众</w:t>
            </w:r>
          </w:p>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满意度10分</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人民群众满意度</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人民群众对消防队员出警的满意程度，计划满意度90%</w:t>
            </w:r>
          </w:p>
        </w:tc>
        <w:tc>
          <w:tcPr>
            <w:tcW w:w="51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10</w:t>
            </w:r>
          </w:p>
        </w:tc>
        <w:tc>
          <w:tcPr>
            <w:tcW w:w="2235"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人民满意度为95%，得满分</w:t>
            </w:r>
          </w:p>
        </w:tc>
      </w:tr>
      <w:tr>
        <w:tblPrEx>
          <w:tblCellMar>
            <w:top w:w="0" w:type="dxa"/>
            <w:left w:w="0" w:type="dxa"/>
            <w:bottom w:w="0" w:type="dxa"/>
            <w:right w:w="0"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240" w:lineRule="auto"/>
              <w:ind w:right="0" w:firstLine="480" w:firstLineChars="200"/>
              <w:jc w:val="both"/>
              <w:rPr>
                <w:rFonts w:hint="eastAsia" w:ascii="仿宋" w:hAnsi="仿宋" w:eastAsia="仿宋" w:cs="仿宋"/>
                <w:i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评分标准：达到90%的满分，每降低5个百分点扣1分</w:t>
            </w:r>
          </w:p>
        </w:tc>
        <w:tc>
          <w:tcPr>
            <w:tcW w:w="51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c>
          <w:tcPr>
            <w:tcW w:w="2235"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firstLine="480" w:firstLineChars="200"/>
              <w:jc w:val="both"/>
              <w:textAlignment w:val="center"/>
              <w:rPr>
                <w:rFonts w:hint="eastAsia" w:ascii="仿宋" w:hAnsi="仿宋" w:eastAsia="仿宋" w:cs="仿宋"/>
                <w:i w:val="0"/>
                <w:color w:val="auto"/>
                <w:kern w:val="0"/>
                <w:sz w:val="24"/>
                <w:szCs w:val="24"/>
                <w:u w:val="none"/>
                <w:lang w:val="en-US" w:eastAsia="zh-CN" w:bidi="ar"/>
              </w:rPr>
            </w:pPr>
          </w:p>
        </w:tc>
      </w:tr>
      <w:tr>
        <w:tblPrEx>
          <w:tblCellMar>
            <w:top w:w="0" w:type="dxa"/>
            <w:left w:w="0" w:type="dxa"/>
            <w:bottom w:w="0" w:type="dxa"/>
            <w:right w:w="0" w:type="dxa"/>
          </w:tblCellMar>
        </w:tblPrEx>
        <w:trPr>
          <w:trHeight w:val="435" w:hRule="atLeast"/>
        </w:trPr>
        <w:tc>
          <w:tcPr>
            <w:tcW w:w="5734"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得分合计</w:t>
            </w:r>
          </w:p>
        </w:tc>
        <w:tc>
          <w:tcPr>
            <w:tcW w:w="274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240" w:lineRule="auto"/>
              <w:ind w:right="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100</w:t>
            </w:r>
          </w:p>
        </w:tc>
      </w:tr>
    </w:tbl>
    <w:p>
      <w:pPr>
        <w:pStyle w:val="3"/>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color w:val="auto"/>
          <w:sz w:val="32"/>
          <w:szCs w:val="32"/>
        </w:rPr>
      </w:pP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2、主要绩效</w:t>
      </w:r>
    </w:p>
    <w:p>
      <w:pPr>
        <w:keepNext w:val="0"/>
        <w:keepLines w:val="0"/>
        <w:pageBreakBefore w:val="0"/>
        <w:widowControl/>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color w:val="auto"/>
          <w:spacing w:val="0"/>
          <w:sz w:val="32"/>
          <w:szCs w:val="32"/>
          <w:shd w:val="clear" w:color="auto" w:fill="auto"/>
          <w:lang w:val="en-US" w:eastAsia="zh-CN"/>
        </w:rPr>
      </w:pPr>
      <w:r>
        <w:rPr>
          <w:rFonts w:hint="eastAsia" w:ascii="仿宋" w:hAnsi="仿宋" w:eastAsia="仿宋" w:cs="仿宋"/>
          <w:color w:val="auto"/>
          <w:sz w:val="32"/>
          <w:szCs w:val="32"/>
          <w:lang w:val="en-US" w:eastAsia="zh-CN"/>
        </w:rPr>
        <w:t>2022年昌江区应急局完成营房建设，人员物资全部到位，达到昌江区应急管理需求，通过省市县应急部门验收。</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四、绩效评价指标分析</w:t>
      </w:r>
    </w:p>
    <w:p>
      <w:pPr>
        <w:keepNext w:val="0"/>
        <w:keepLines w:val="0"/>
        <w:pageBreakBefore w:val="0"/>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（一）项目决策情况。</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项目决策情况分值20分设三个二级指标和六个三级指标，总得分20分，综合得分率100%。</w:t>
      </w:r>
    </w:p>
    <w:p>
      <w:pPr>
        <w:keepNext w:val="0"/>
        <w:keepLines w:val="0"/>
        <w:pageBreakBefore w:val="0"/>
        <w:numPr>
          <w:ilvl w:val="0"/>
          <w:numId w:val="2"/>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项目立项（6分）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立项依据充分性（3分），该项目按照《中华人民共和国突发事件应对法》《国家突发公共事件总体应急预案》《国务院办公厅关于印发〈突发事件应急预案管理办法〉的通知》《国务院办公厅关于印发〈省（区、市）人民政府突发公共事件总体应急预案框架指南〉的函》要求设立，符合否符合国家法律法规、国民经济发展规划和相关政策；符合从严管党的政策要求；与应急职责范围相符，属于部门履职所需；属于公共财政支持范围，是否符合中央、地方事权支出责任划分原则；相关应急同类项目或部门内部相关项目不重复得满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立项程序规范性（3分），该项目依据《中华人民共和国突发事件应对法》《国家突发公共事件总体应急预案》《国务院办公厅关于印发〈突发事件应急预案管理办法〉的通知》《国务院办公厅关于印发〈省（区、市）人民政府突发公共事件总体应急预案框架指南〉的函》及区委文件设立符合相关要求得满分。</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B、绩效目标（8分）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1、绩效目标合理性（4分），该项目具有明确的绩效目标，该绩效目标是在考虑往年业务水平的情况下设立，与对应的预算资金相匹配得满分。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2、绩效指标明确性（4分），已将该项目细化为具体的指标，按照数量质量进行衡量，与目标任务数对应得满分。</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C、资金投入（6分）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1、预算编制科学性（4分），预算额度测算依据充分，项目资金量与工作任务匹配得满分。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2、资金分配合理性（2分），由于额度测算依据充分，分配合理得满分。</w:t>
      </w:r>
    </w:p>
    <w:p>
      <w:pPr>
        <w:keepNext w:val="0"/>
        <w:keepLines w:val="0"/>
        <w:pageBreakBefore w:val="0"/>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（二）项目过程情况。</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项目过程情况分值20分设二个二级指标和四个三级指标，总得分20分，综合得分率100%。</w:t>
      </w:r>
    </w:p>
    <w:p>
      <w:pPr>
        <w:keepNext w:val="0"/>
        <w:keepLines w:val="0"/>
        <w:pageBreakBefore w:val="0"/>
        <w:numPr>
          <w:ilvl w:val="0"/>
          <w:numId w:val="3"/>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资金管理（15分）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1、资金到位率（5分），61.59万元资金到位率=61.59/61.59=100%，得满分。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2、预算执行率（5分），2022年预算执行61.59万元，预算执行率=61.59/61.59=100%，得满分。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资金使用合规性(5分），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p>
      <w:pPr>
        <w:keepNext w:val="0"/>
        <w:keepLines w:val="0"/>
        <w:pageBreakBefore w:val="0"/>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B、组织实施（5分）</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1、管理制度健全性（2分），经过查阅资料单位已制定财务和业务管理制度，管理制度合法、合规、完整得满分。</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制度执行有效性（3分），该项目执行符合依据《中华人民共和国突发事件应对法》《国家突发公共事件总体应急预案》《国务院办公厅关于印发〈突发事件应急预案管理办法〉的通知》《国务院办公厅关于印发〈省（区、市）人民政府突发公共事件总体应急预案框架指南〉的函》及项目合同书、验收报告、技术鉴定等资料是否齐全并及时归档，项目实施的人员条件、场地设备、信息支撑等是否落实到位得满分。</w:t>
      </w:r>
    </w:p>
    <w:p>
      <w:pPr>
        <w:keepNext w:val="0"/>
        <w:keepLines w:val="0"/>
        <w:pageBreakBefore w:val="0"/>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（三）项目产出情况。</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项目产出情况分值30分设四个二级指标和四个三级指标，总得分30分，综合得分率100%。</w:t>
      </w:r>
    </w:p>
    <w:p>
      <w:pPr>
        <w:keepNext w:val="0"/>
        <w:keepLines w:val="0"/>
        <w:pageBreakBefore w:val="0"/>
        <w:numPr>
          <w:ilvl w:val="0"/>
          <w:numId w:val="4"/>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产出数量（10分）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1、实际完成率（10分），2022年按照应急营房建设要求，建设完成1座营房，符合营房建设要求，验收合格得满分。</w:t>
      </w:r>
    </w:p>
    <w:p>
      <w:pPr>
        <w:keepNext w:val="0"/>
        <w:keepLines w:val="0"/>
        <w:pageBreakBefore w:val="0"/>
        <w:numPr>
          <w:ilvl w:val="0"/>
          <w:numId w:val="4"/>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产出质量（10分）</w:t>
      </w:r>
    </w:p>
    <w:p>
      <w:pPr>
        <w:keepNext w:val="0"/>
        <w:keepLines w:val="0"/>
        <w:pageBreakBefore w:val="0"/>
        <w:numPr>
          <w:ilvl w:val="0"/>
          <w:numId w:val="0"/>
        </w:numPr>
        <w:kinsoku/>
        <w:wordWrap/>
        <w:overflowPunct/>
        <w:topLinePunct w:val="0"/>
        <w:bidi w:val="0"/>
        <w:adjustRightInd/>
        <w:snapToGrid/>
        <w:spacing w:line="240" w:lineRule="auto"/>
        <w:ind w:right="0" w:rightChars="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1、质量达标率（10分），2022年营房建设验收合格，达到上级验收要求得满分。</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C、产出时效（5分）</w:t>
      </w:r>
    </w:p>
    <w:p>
      <w:pPr>
        <w:keepNext w:val="0"/>
        <w:keepLines w:val="0"/>
        <w:pageBreakBefore w:val="0"/>
        <w:numPr>
          <w:ilvl w:val="0"/>
          <w:numId w:val="5"/>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完成及时性（5分），2022年营房建设及时得满分。</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D、产出成本（5分）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1、年度计划成本节约率（5分），2022年计划成本费用61.59万元成本结余率=【（61.59-61.59）/61.59】*100%=0%，得满分。</w:t>
      </w:r>
    </w:p>
    <w:p>
      <w:pPr>
        <w:keepNext w:val="0"/>
        <w:keepLines w:val="0"/>
        <w:pageBreakBefore w:val="0"/>
        <w:numPr>
          <w:ilvl w:val="0"/>
          <w:numId w:val="0"/>
        </w:numPr>
        <w:kinsoku/>
        <w:wordWrap/>
        <w:overflowPunct/>
        <w:topLinePunct w:val="0"/>
        <w:bidi w:val="0"/>
        <w:adjustRightInd/>
        <w:snapToGrid/>
        <w:spacing w:line="240" w:lineRule="auto"/>
        <w:ind w:leftChars="200" w:right="0" w:rightChars="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项目效益情况。</w:t>
      </w:r>
    </w:p>
    <w:p>
      <w:pPr>
        <w:keepNext w:val="0"/>
        <w:keepLines w:val="0"/>
        <w:pageBreakBefore w:val="0"/>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项目效益情况分值30分设二个二级指标和三个三级指标，总得分30分，综合得分率100%。</w:t>
      </w:r>
    </w:p>
    <w:p>
      <w:pPr>
        <w:keepNext w:val="0"/>
        <w:keepLines w:val="0"/>
        <w:pageBreakBefore w:val="0"/>
        <w:numPr>
          <w:ilvl w:val="0"/>
          <w:numId w:val="6"/>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社会效益指标（20分）</w:t>
      </w:r>
    </w:p>
    <w:p>
      <w:pPr>
        <w:keepNext w:val="0"/>
        <w:keepLines w:val="0"/>
        <w:pageBreakBefore w:val="0"/>
        <w:numPr>
          <w:ilvl w:val="0"/>
          <w:numId w:val="7"/>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消防队员集中出勤率10分，2022年营房建设成后，消防队员集中管理，提高应急出勤率及及时率，得满分。</w:t>
      </w:r>
    </w:p>
    <w:p>
      <w:pPr>
        <w:keepNext w:val="0"/>
        <w:keepLines w:val="0"/>
        <w:pageBreakBefore w:val="0"/>
        <w:numPr>
          <w:ilvl w:val="0"/>
          <w:numId w:val="6"/>
        </w:numPr>
        <w:kinsoku/>
        <w:wordWrap/>
        <w:overflowPunct/>
        <w:topLinePunct w:val="0"/>
        <w:bidi w:val="0"/>
        <w:adjustRightInd/>
        <w:snapToGrid/>
        <w:spacing w:line="240" w:lineRule="auto"/>
        <w:ind w:left="0" w:leftChars="0"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可持续影响（10分）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1、消防队员业务素质提升率（10分）营房建成后可提供集中培训场地，提高人员素质，得满分。</w:t>
      </w:r>
    </w:p>
    <w:p>
      <w:pPr>
        <w:keepNext w:val="0"/>
        <w:keepLines w:val="0"/>
        <w:pageBreakBefore w:val="0"/>
        <w:numPr>
          <w:ilvl w:val="0"/>
          <w:numId w:val="0"/>
        </w:numPr>
        <w:kinsoku/>
        <w:wordWrap/>
        <w:overflowPunct/>
        <w:topLinePunct w:val="0"/>
        <w:bidi w:val="0"/>
        <w:adjustRightInd/>
        <w:snapToGrid/>
        <w:spacing w:line="240" w:lineRule="auto"/>
        <w:ind w:right="0" w:firstLine="643" w:firstLineChars="200"/>
        <w:jc w:val="both"/>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C、人民群众满意度指标(10分）</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outlineLvl w:val="0"/>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color w:val="auto"/>
          <w:sz w:val="32"/>
          <w:szCs w:val="32"/>
          <w:lang w:val="en-US" w:eastAsia="zh-CN"/>
        </w:rPr>
        <w:t>1、人民群众满意度（10分），</w:t>
      </w:r>
      <w:r>
        <w:rPr>
          <w:rFonts w:hint="eastAsia" w:ascii="仿宋" w:hAnsi="仿宋" w:eastAsia="仿宋" w:cs="仿宋"/>
          <w:i w:val="0"/>
          <w:color w:val="auto"/>
          <w:kern w:val="0"/>
          <w:sz w:val="32"/>
          <w:szCs w:val="32"/>
          <w:u w:val="none"/>
          <w:lang w:val="en-US" w:eastAsia="zh-CN" w:bidi="ar"/>
        </w:rPr>
        <w:t>人民满意度为95%，得满分。</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五、主要经验及做法、存在的问题及原因分析</w:t>
      </w:r>
    </w:p>
    <w:p>
      <w:pPr>
        <w:keepNext w:val="0"/>
        <w:keepLines w:val="0"/>
        <w:pageBreakBefore w:val="0"/>
        <w:kinsoku/>
        <w:wordWrap/>
        <w:overflowPunct/>
        <w:topLinePunct w:val="0"/>
        <w:bidi w:val="0"/>
        <w:adjustRightInd/>
        <w:snapToGrid/>
        <w:spacing w:line="240" w:lineRule="auto"/>
        <w:ind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主要经验及做法</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昌江区应急局依据《中华人民共和国突发事件应对法》《国家突发公共事件总体应急预案》《国务院办公厅关于印发〈突发事件应急预案管理办法〉的通知》《国务院办公厅关于印发〈省（区、市）人民政府突发公共事件总体应急预案框架指南〉的函》的文件精神，把人民群众生命财产安全放在首位，以保全保护人民生命财产为工作目标出发，打造高效优质的应急消防队伍保障力度。</w:t>
      </w:r>
    </w:p>
    <w:p>
      <w:pPr>
        <w:keepNext w:val="0"/>
        <w:keepLines w:val="0"/>
        <w:pageBreakBefore w:val="0"/>
        <w:numPr>
          <w:ilvl w:val="0"/>
          <w:numId w:val="7"/>
        </w:numPr>
        <w:kinsoku/>
        <w:wordWrap/>
        <w:overflowPunct/>
        <w:topLinePunct w:val="0"/>
        <w:bidi w:val="0"/>
        <w:adjustRightInd/>
        <w:snapToGrid/>
        <w:spacing w:line="240" w:lineRule="auto"/>
        <w:ind w:left="0" w:leftChars="0" w:righ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存在的问题及原因分析</w:t>
      </w:r>
    </w:p>
    <w:p>
      <w:pPr>
        <w:keepNext w:val="0"/>
        <w:keepLines w:val="0"/>
        <w:pageBreakBefore w:val="0"/>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项目在执行过程中无问题</w:t>
      </w:r>
    </w:p>
    <w:p>
      <w:pPr>
        <w:keepNext w:val="0"/>
        <w:keepLines w:val="0"/>
        <w:pageBreakBefore w:val="0"/>
        <w:numPr>
          <w:ilvl w:val="0"/>
          <w:numId w:val="8"/>
        </w:numPr>
        <w:kinsoku/>
        <w:wordWrap/>
        <w:overflowPunct/>
        <w:topLinePunct w:val="0"/>
        <w:bidi w:val="0"/>
        <w:adjustRightInd/>
        <w:snapToGrid/>
        <w:spacing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有关建议</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建议加强基层单位绩效管理培训。</w:t>
      </w:r>
    </w:p>
    <w:p>
      <w:pPr>
        <w:keepNext w:val="0"/>
        <w:keepLines w:val="0"/>
        <w:pageBreakBefore w:val="0"/>
        <w:numPr>
          <w:ilvl w:val="0"/>
          <w:numId w:val="8"/>
        </w:numPr>
        <w:kinsoku/>
        <w:wordWrap/>
        <w:overflowPunct/>
        <w:topLinePunct w:val="0"/>
        <w:bidi w:val="0"/>
        <w:adjustRightInd/>
        <w:snapToGrid/>
        <w:spacing w:line="240" w:lineRule="auto"/>
        <w:ind w:left="0" w:leftChars="0" w:righ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其他需要说明的问题</w:t>
      </w:r>
    </w:p>
    <w:p>
      <w:pPr>
        <w:keepNext w:val="0"/>
        <w:keepLines w:val="0"/>
        <w:pageBreakBefore w:val="0"/>
        <w:numPr>
          <w:ilvl w:val="0"/>
          <w:numId w:val="0"/>
        </w:numPr>
        <w:kinsoku/>
        <w:wordWrap/>
        <w:overflowPunct/>
        <w:topLinePunct w:val="0"/>
        <w:bidi w:val="0"/>
        <w:adjustRightInd/>
        <w:snapToGrid/>
        <w:spacing w:line="240" w:lineRule="auto"/>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无其他需要说明的问题</w:t>
      </w:r>
    </w:p>
    <w:sectPr>
      <w:footerReference r:id="rId4" w:type="default"/>
      <w:pgSz w:w="11906" w:h="16838"/>
      <w:pgMar w:top="1440" w:right="1803" w:bottom="1440" w:left="1803" w:header="850" w:footer="1587" w:gutter="0"/>
      <w:pgNumType w:fmt="decimal" w:start="1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81E5"/>
    <w:multiLevelType w:val="singleLevel"/>
    <w:tmpl w:val="9F7381E5"/>
    <w:lvl w:ilvl="0" w:tentative="0">
      <w:start w:val="1"/>
      <w:numFmt w:val="decimal"/>
      <w:suff w:val="nothing"/>
      <w:lvlText w:val="%1、"/>
      <w:lvlJc w:val="left"/>
    </w:lvl>
  </w:abstractNum>
  <w:abstractNum w:abstractNumId="1">
    <w:nsid w:val="A9FE5702"/>
    <w:multiLevelType w:val="singleLevel"/>
    <w:tmpl w:val="A9FE5702"/>
    <w:lvl w:ilvl="0" w:tentative="0">
      <w:start w:val="1"/>
      <w:numFmt w:val="decimal"/>
      <w:suff w:val="nothing"/>
      <w:lvlText w:val="%1、"/>
      <w:lvlJc w:val="left"/>
    </w:lvl>
  </w:abstractNum>
  <w:abstractNum w:abstractNumId="2">
    <w:nsid w:val="BED67D6B"/>
    <w:multiLevelType w:val="singleLevel"/>
    <w:tmpl w:val="BED67D6B"/>
    <w:lvl w:ilvl="0" w:tentative="0">
      <w:start w:val="1"/>
      <w:numFmt w:val="upperLetter"/>
      <w:suff w:val="nothing"/>
      <w:lvlText w:val="%1、"/>
      <w:lvlJc w:val="left"/>
    </w:lvl>
  </w:abstractNum>
  <w:abstractNum w:abstractNumId="3">
    <w:nsid w:val="EE03E29E"/>
    <w:multiLevelType w:val="singleLevel"/>
    <w:tmpl w:val="EE03E29E"/>
    <w:lvl w:ilvl="0" w:tentative="0">
      <w:start w:val="6"/>
      <w:numFmt w:val="chineseCounting"/>
      <w:suff w:val="nothing"/>
      <w:lvlText w:val="%1、"/>
      <w:lvlJc w:val="left"/>
      <w:rPr>
        <w:rFonts w:hint="eastAsia"/>
      </w:rPr>
    </w:lvl>
  </w:abstractNum>
  <w:abstractNum w:abstractNumId="4">
    <w:nsid w:val="0925788E"/>
    <w:multiLevelType w:val="singleLevel"/>
    <w:tmpl w:val="0925788E"/>
    <w:lvl w:ilvl="0" w:tentative="0">
      <w:start w:val="1"/>
      <w:numFmt w:val="upperLetter"/>
      <w:suff w:val="nothing"/>
      <w:lvlText w:val="%1、"/>
      <w:lvlJc w:val="left"/>
    </w:lvl>
  </w:abstractNum>
  <w:abstractNum w:abstractNumId="5">
    <w:nsid w:val="0D12CADB"/>
    <w:multiLevelType w:val="singleLevel"/>
    <w:tmpl w:val="0D12CADB"/>
    <w:lvl w:ilvl="0" w:tentative="0">
      <w:start w:val="1"/>
      <w:numFmt w:val="upperLetter"/>
      <w:suff w:val="nothing"/>
      <w:lvlText w:val="%1、"/>
      <w:lvlJc w:val="left"/>
    </w:lvl>
  </w:abstractNum>
  <w:abstractNum w:abstractNumId="6">
    <w:nsid w:val="1D528D09"/>
    <w:multiLevelType w:val="singleLevel"/>
    <w:tmpl w:val="1D528D09"/>
    <w:lvl w:ilvl="0" w:tentative="0">
      <w:start w:val="1"/>
      <w:numFmt w:val="upperLetter"/>
      <w:suff w:val="nothing"/>
      <w:lvlText w:val="%1、"/>
      <w:lvlJc w:val="left"/>
    </w:lvl>
  </w:abstractNum>
  <w:abstractNum w:abstractNumId="7">
    <w:nsid w:val="227EFF47"/>
    <w:multiLevelType w:val="singleLevel"/>
    <w:tmpl w:val="227EFF47"/>
    <w:lvl w:ilvl="0" w:tentative="0">
      <w:start w:val="2"/>
      <w:numFmt w:val="chineseCounting"/>
      <w:suff w:val="space"/>
      <w:lvlText w:val="第%1部分"/>
      <w:lvlJc w:val="left"/>
      <w:rPr>
        <w:rFonts w:hint="eastAsia"/>
      </w:rPr>
    </w:lvl>
  </w:abstractNum>
  <w:num w:numId="1">
    <w:abstractNumId w:val="7"/>
  </w:num>
  <w:num w:numId="2">
    <w:abstractNumId w:val="6"/>
  </w:num>
  <w:num w:numId="3">
    <w:abstractNumId w:val="5"/>
  </w:num>
  <w:num w:numId="4">
    <w:abstractNumId w:val="4"/>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N2IxNDRiOTQyMzYyM2YzZDA5N2Q0MzY2ZTk1YTcifQ=="/>
  </w:docVars>
  <w:rsids>
    <w:rsidRoot w:val="075F38F3"/>
    <w:rsid w:val="075F38F3"/>
    <w:rsid w:val="0EEC3BD2"/>
    <w:rsid w:val="1996623A"/>
    <w:rsid w:val="1F846009"/>
    <w:rsid w:val="2D013BDC"/>
    <w:rsid w:val="2F546463"/>
    <w:rsid w:val="30160AFE"/>
    <w:rsid w:val="33681809"/>
    <w:rsid w:val="36806379"/>
    <w:rsid w:val="44217D23"/>
    <w:rsid w:val="464E4541"/>
    <w:rsid w:val="68323FAB"/>
    <w:rsid w:val="6954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next w:val="4"/>
    <w:qFormat/>
    <w:uiPriority w:val="99"/>
    <w:rPr>
      <w:b/>
    </w:rPr>
  </w:style>
  <w:style w:type="paragraph" w:styleId="4">
    <w:name w:val="Body Text First Indent"/>
    <w:basedOn w:val="3"/>
    <w:qFormat/>
    <w:uiPriority w:val="99"/>
    <w:pPr>
      <w:ind w:firstLine="420" w:firstLineChars="1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kern w:val="0"/>
      <w:szCs w:val="21"/>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17059</Words>
  <Characters>18015</Characters>
  <Lines>0</Lines>
  <Paragraphs>0</Paragraphs>
  <TotalTime>29</TotalTime>
  <ScaleCrop>false</ScaleCrop>
  <LinksUpToDate>false</LinksUpToDate>
  <CharactersWithSpaces>18079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2023-08-26T22:52:00Z</dcterms:created>
  <dc:creator>山谷</dc:creator>
  <cp:lastModifiedBy>Administrator</cp:lastModifiedBy>
  <dcterms:modified xsi:type="dcterms:W3CDTF">2023-09-05T03:01:56Z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34899F03630A4311844E3F24DB62E937_13</vt:lpwstr>
  </property>
</Properties>
</file>