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w:t>
      </w:r>
      <w:r>
        <w:rPr>
          <w:rFonts w:hint="eastAsia" w:ascii="宋体" w:hAnsi="宋体" w:cs="宋体"/>
          <w:b/>
          <w:bCs/>
          <w:sz w:val="44"/>
          <w:szCs w:val="36"/>
          <w:lang w:eastAsia="zh-CN"/>
        </w:rPr>
        <w:t>区</w:t>
      </w:r>
      <w:r>
        <w:rPr>
          <w:rFonts w:hint="eastAsia" w:ascii="宋体" w:hAnsi="宋体" w:cs="宋体"/>
          <w:b/>
          <w:bCs/>
          <w:sz w:val="44"/>
          <w:szCs w:val="36"/>
        </w:rPr>
        <w:t>昌江区城镇发展服务中心2023年度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w:t>
      </w:r>
      <w:r>
        <w:rPr>
          <w:rFonts w:hint="eastAsia" w:ascii="黑体" w:hAnsi="黑体" w:eastAsia="黑体"/>
          <w:b w:val="0"/>
          <w:bCs/>
          <w:sz w:val="32"/>
          <w:szCs w:val="32"/>
          <w:lang w:eastAsia="zh-CN"/>
        </w:rPr>
        <w:t>区</w:t>
      </w:r>
      <w:r>
        <w:rPr>
          <w:rFonts w:hint="eastAsia" w:ascii="黑体" w:hAnsi="黑体" w:eastAsia="黑体"/>
          <w:b w:val="0"/>
          <w:bCs/>
          <w:sz w:val="32"/>
          <w:szCs w:val="32"/>
        </w:rPr>
        <w:t>昌江区城镇发展服务中心概况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w:t>
      </w:r>
      <w:r>
        <w:rPr>
          <w:rFonts w:hint="eastAsia" w:ascii="宋体" w:hAnsi="宋体" w:cs="宋体"/>
          <w:b/>
          <w:sz w:val="44"/>
          <w:szCs w:val="44"/>
          <w:lang w:eastAsia="zh-CN"/>
        </w:rPr>
        <w:t>区</w:t>
      </w:r>
      <w:r>
        <w:rPr>
          <w:rFonts w:hint="eastAsia" w:ascii="宋体" w:hAnsi="宋体" w:cs="宋体"/>
          <w:b/>
          <w:sz w:val="44"/>
          <w:szCs w:val="44"/>
        </w:rPr>
        <w:t>昌江区城镇发展服务中心概况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numPr>
          <w:ilvl w:val="0"/>
          <w:numId w:val="0"/>
        </w:numPr>
        <w:tabs>
          <w:tab w:val="left" w:pos="0"/>
        </w:tabs>
        <w:ind w:left="0" w:leftChars="0" w:firstLine="419" w:firstLineChars="131"/>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一</w:t>
      </w: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rPr>
        <w:t>承担全</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新建、改建、扩建房屋建筑和</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政公用工程抗震设防、超限高层建筑工程抗震设防的监督指导，推广应用工程隔震和减震技术等抗震先进科学技术。承担既有房屋建筑和</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政公用设施工程抗震鉴定和加固管理，组织受损房屋建筑工程抗震性能的应急评估工作。</w:t>
      </w:r>
    </w:p>
    <w:p>
      <w:pPr>
        <w:numPr>
          <w:ilvl w:val="0"/>
          <w:numId w:val="0"/>
        </w:numPr>
        <w:ind w:left="0" w:leftChars="0" w:firstLine="419" w:firstLineChars="131"/>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二</w:t>
      </w: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rPr>
        <w:t>承担全</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城镇燃气行业</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场秩序、安全运行、供应保障的监督指导，对全</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城镇燃气种类、气质成分和燃气燃烧器具适配标识进行信息管理服务，为城镇燃气行业特许经营提供综合服务，配合相关部门参与城镇燃气安全事故和调查工作，对安全生产标准化达标进行监督考评。</w:t>
      </w:r>
    </w:p>
    <w:p>
      <w:pPr>
        <w:numPr>
          <w:ilvl w:val="0"/>
          <w:numId w:val="0"/>
        </w:numPr>
        <w:ind w:left="0" w:leftChars="0" w:firstLine="419" w:firstLineChars="131"/>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三</w:t>
      </w: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rPr>
        <w:t>承担城</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供水和海绵城</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建设规划方案、设计方案、竣工验收等行政许可技术服务，参与海绵城</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和城</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供水事中事后管理等工作。</w:t>
      </w:r>
    </w:p>
    <w:p>
      <w:pPr>
        <w:numPr>
          <w:ilvl w:val="0"/>
          <w:numId w:val="0"/>
        </w:numPr>
        <w:ind w:left="0" w:leftChars="0" w:firstLine="419" w:firstLineChars="131"/>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四</w:t>
      </w: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rPr>
        <w:t>承担全</w:t>
      </w:r>
      <w:r>
        <w:rPr>
          <w:rFonts w:hint="eastAsia" w:ascii="仿宋_GB2312" w:hAnsi="仿宋_GB2312" w:eastAsia="仿宋_GB2312"/>
          <w:color w:val="000000" w:themeColor="text1"/>
          <w:sz w:val="32"/>
          <w:szCs w:val="32"/>
          <w:lang w:eastAsia="zh-CN"/>
        </w:rPr>
        <w:t>区</w:t>
      </w:r>
      <w:r>
        <w:rPr>
          <w:rFonts w:hint="eastAsia" w:ascii="仿宋_GB2312" w:hAnsi="仿宋_GB2312" w:eastAsia="仿宋_GB2312"/>
          <w:color w:val="000000" w:themeColor="text1"/>
          <w:sz w:val="32"/>
          <w:szCs w:val="32"/>
        </w:rPr>
        <w:t>村庄和小城镇的建设、人居环境改善、农村危房改造等村镇建设技术服务的指导工作。</w:t>
      </w:r>
    </w:p>
    <w:p>
      <w:pPr>
        <w:numPr>
          <w:ilvl w:val="0"/>
          <w:numId w:val="0"/>
        </w:numPr>
        <w:ind w:left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五</w:t>
      </w: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rPr>
        <w:t>完成区委、区政府交办的其他任务。</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设立4</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办公室、建设安全股、财务股</w:t>
      </w:r>
      <w:r>
        <w:rPr>
          <w:rFonts w:hint="eastAsia" w:ascii="仿宋_GB2312" w:hAnsi="仿宋_GB2312" w:eastAsia="仿宋_GB2312"/>
          <w:color w:val="000000" w:themeColor="text1"/>
          <w:sz w:val="32"/>
          <w:szCs w:val="32"/>
          <w:lang w:eastAsia="zh-CN"/>
        </w:rPr>
        <w:t>。</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年末在职人员9人，离退休人员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人（不含由养老保险基金发放养老金的离退休人员），其他人员0人。由养老保险基金发放养老金的离退休人员1人。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11.41</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0.79</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pPr>
              <w:jc w:val="right"/>
            </w:pPr>
            <w:r>
              <w:rPr>
                <w:rFonts w:ascii="宋体" w:hAnsi="宋体" w:eastAsia="宋体" w:cs="宋体"/>
                <w:b w:val="0"/>
                <w:i w:val="0"/>
                <w:color w:val="000000"/>
                <w:sz w:val="14"/>
              </w:rPr>
              <w:t>12.18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12.21</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12.21</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12.21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12.21</w:t>
            </w:r>
          </w:p>
        </w:tc>
        <w:tc>
          <w:tcPr>
            <w:tcW w:w="900" w:type="dxa"/>
            <w:vAlign w:val="center"/>
          </w:tcPr>
          <w:p>
            <w:pPr>
              <w:jc w:val="right"/>
            </w:pPr>
            <w:r>
              <w:rPr>
                <w:rFonts w:ascii="宋体" w:hAnsi="宋体" w:eastAsia="宋体" w:cs="宋体"/>
                <w:b w:val="0"/>
                <w:i w:val="0"/>
                <w:color w:val="000000"/>
                <w:sz w:val="9"/>
              </w:rPr>
              <w:t>11.41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w:t>
            </w:r>
          </w:p>
        </w:tc>
        <w:tc>
          <w:tcPr>
            <w:tcW w:w="1420" w:type="dxa"/>
            <w:vAlign w:val="center"/>
          </w:tcPr>
          <w:p>
            <w:pPr>
              <w:jc w:val="left"/>
            </w:pPr>
            <w:r>
              <w:rPr>
                <w:rFonts w:ascii="宋体" w:hAnsi="宋体" w:eastAsia="宋体" w:cs="宋体"/>
                <w:b w:val="0"/>
                <w:i w:val="0"/>
                <w:color w:val="000000"/>
                <w:sz w:val="9"/>
              </w:rPr>
              <w:t>城乡社区支出</w:t>
            </w:r>
          </w:p>
        </w:tc>
        <w:tc>
          <w:tcPr>
            <w:tcW w:w="860" w:type="dxa"/>
            <w:vAlign w:val="center"/>
          </w:tcPr>
          <w:p>
            <w:pPr>
              <w:jc w:val="right"/>
            </w:pPr>
            <w:r>
              <w:rPr>
                <w:rFonts w:ascii="宋体" w:hAnsi="宋体" w:eastAsia="宋体" w:cs="宋体"/>
                <w:b w:val="0"/>
                <w:i w:val="0"/>
                <w:color w:val="000000"/>
                <w:sz w:val="9"/>
              </w:rPr>
              <w:t>12.21</w:t>
            </w:r>
          </w:p>
        </w:tc>
        <w:tc>
          <w:tcPr>
            <w:tcW w:w="900" w:type="dxa"/>
            <w:vAlign w:val="center"/>
          </w:tcPr>
          <w:p>
            <w:pPr>
              <w:jc w:val="right"/>
            </w:pPr>
            <w:r>
              <w:rPr>
                <w:rFonts w:ascii="宋体" w:hAnsi="宋体" w:eastAsia="宋体" w:cs="宋体"/>
                <w:b w:val="0"/>
                <w:i w:val="0"/>
                <w:color w:val="000000"/>
                <w:sz w:val="9"/>
              </w:rPr>
              <w:t>11.41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w:t>
            </w:r>
          </w:p>
        </w:tc>
        <w:tc>
          <w:tcPr>
            <w:tcW w:w="1420" w:type="dxa"/>
            <w:vAlign w:val="center"/>
          </w:tcPr>
          <w:p>
            <w:pPr>
              <w:jc w:val="left"/>
            </w:pPr>
            <w:r>
              <w:rPr>
                <w:rFonts w:ascii="宋体" w:hAnsi="宋体" w:eastAsia="宋体" w:cs="宋体"/>
                <w:b w:val="0"/>
                <w:i w:val="0"/>
                <w:color w:val="000000"/>
                <w:sz w:val="9"/>
              </w:rPr>
              <w:t>城乡社区管理事务</w:t>
            </w:r>
          </w:p>
        </w:tc>
        <w:tc>
          <w:tcPr>
            <w:tcW w:w="860" w:type="dxa"/>
            <w:vAlign w:val="center"/>
          </w:tcPr>
          <w:p>
            <w:pPr>
              <w:jc w:val="right"/>
            </w:pPr>
            <w:r>
              <w:rPr>
                <w:rFonts w:ascii="宋体" w:hAnsi="宋体" w:eastAsia="宋体" w:cs="宋体"/>
                <w:b w:val="0"/>
                <w:i w:val="0"/>
                <w:color w:val="000000"/>
                <w:sz w:val="9"/>
              </w:rPr>
              <w:t>5.20</w:t>
            </w:r>
          </w:p>
        </w:tc>
        <w:tc>
          <w:tcPr>
            <w:tcW w:w="900" w:type="dxa"/>
            <w:vAlign w:val="center"/>
          </w:tcPr>
          <w:p>
            <w:pPr>
              <w:jc w:val="right"/>
            </w:pPr>
            <w:r>
              <w:rPr>
                <w:rFonts w:ascii="宋体" w:hAnsi="宋体" w:eastAsia="宋体" w:cs="宋体"/>
                <w:b w:val="0"/>
                <w:i w:val="0"/>
                <w:color w:val="000000"/>
                <w:sz w:val="9"/>
              </w:rPr>
              <w:t>5.20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5.20</w:t>
            </w:r>
          </w:p>
        </w:tc>
        <w:tc>
          <w:tcPr>
            <w:tcW w:w="900" w:type="dxa"/>
            <w:vAlign w:val="center"/>
          </w:tcPr>
          <w:p>
            <w:pPr>
              <w:jc w:val="right"/>
            </w:pPr>
            <w:r>
              <w:rPr>
                <w:rFonts w:ascii="宋体" w:hAnsi="宋体" w:eastAsia="宋体" w:cs="宋体"/>
                <w:b w:val="0"/>
                <w:i w:val="0"/>
                <w:color w:val="000000"/>
                <w:sz w:val="9"/>
              </w:rPr>
              <w:t>5.20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21299</w:t>
            </w:r>
          </w:p>
        </w:tc>
        <w:tc>
          <w:tcPr>
            <w:tcW w:w="1420" w:type="dxa"/>
            <w:vAlign w:val="center"/>
          </w:tcPr>
          <w:p>
            <w:pPr>
              <w:jc w:val="left"/>
            </w:pPr>
            <w:r>
              <w:rPr>
                <w:rFonts w:ascii="宋体" w:hAnsi="宋体" w:eastAsia="宋体" w:cs="宋体"/>
                <w:b w:val="0"/>
                <w:i w:val="0"/>
                <w:color w:val="000000"/>
                <w:sz w:val="9"/>
              </w:rPr>
              <w:t>其他城乡社区支出</w:t>
            </w:r>
          </w:p>
        </w:tc>
        <w:tc>
          <w:tcPr>
            <w:tcW w:w="860" w:type="dxa"/>
            <w:vAlign w:val="center"/>
          </w:tcPr>
          <w:p>
            <w:pPr>
              <w:jc w:val="right"/>
            </w:pPr>
            <w:r>
              <w:rPr>
                <w:rFonts w:ascii="宋体" w:hAnsi="宋体" w:eastAsia="宋体" w:cs="宋体"/>
                <w:b w:val="0"/>
                <w:i w:val="0"/>
                <w:color w:val="000000"/>
                <w:sz w:val="9"/>
              </w:rPr>
              <w:t>7.01</w:t>
            </w:r>
          </w:p>
        </w:tc>
        <w:tc>
          <w:tcPr>
            <w:tcW w:w="900" w:type="dxa"/>
            <w:vAlign w:val="center"/>
          </w:tcPr>
          <w:p>
            <w:pPr>
              <w:jc w:val="right"/>
            </w:pPr>
            <w:r>
              <w:rPr>
                <w:rFonts w:ascii="宋体" w:hAnsi="宋体" w:eastAsia="宋体" w:cs="宋体"/>
                <w:b w:val="0"/>
                <w:i w:val="0"/>
                <w:color w:val="000000"/>
                <w:sz w:val="9"/>
              </w:rPr>
              <w:t>6.21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2129999</w:t>
            </w:r>
          </w:p>
        </w:tc>
        <w:tc>
          <w:tcPr>
            <w:tcW w:w="1420" w:type="dxa"/>
            <w:vAlign w:val="center"/>
          </w:tcPr>
          <w:p>
            <w:pPr>
              <w:jc w:val="left"/>
            </w:pPr>
            <w:r>
              <w:rPr>
                <w:rFonts w:ascii="宋体" w:hAnsi="宋体" w:eastAsia="宋体" w:cs="宋体"/>
                <w:b w:val="0"/>
                <w:i w:val="0"/>
                <w:color w:val="000000"/>
                <w:sz w:val="9"/>
              </w:rPr>
              <w:t>其他城乡社区支出</w:t>
            </w:r>
          </w:p>
        </w:tc>
        <w:tc>
          <w:tcPr>
            <w:tcW w:w="860" w:type="dxa"/>
            <w:vAlign w:val="center"/>
          </w:tcPr>
          <w:p>
            <w:pPr>
              <w:jc w:val="right"/>
            </w:pPr>
            <w:r>
              <w:rPr>
                <w:rFonts w:ascii="宋体" w:hAnsi="宋体" w:eastAsia="宋体" w:cs="宋体"/>
                <w:b w:val="0"/>
                <w:i w:val="0"/>
                <w:color w:val="000000"/>
                <w:sz w:val="9"/>
              </w:rPr>
              <w:t>7.01</w:t>
            </w:r>
          </w:p>
        </w:tc>
        <w:tc>
          <w:tcPr>
            <w:tcW w:w="900" w:type="dxa"/>
            <w:vAlign w:val="center"/>
          </w:tcPr>
          <w:p>
            <w:pPr>
              <w:jc w:val="right"/>
            </w:pPr>
            <w:r>
              <w:rPr>
                <w:rFonts w:ascii="宋体" w:hAnsi="宋体" w:eastAsia="宋体" w:cs="宋体"/>
                <w:b w:val="0"/>
                <w:i w:val="0"/>
                <w:color w:val="000000"/>
                <w:sz w:val="9"/>
              </w:rPr>
              <w:t>6.21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12.18</w:t>
            </w:r>
          </w:p>
        </w:tc>
        <w:tc>
          <w:tcPr>
            <w:tcW w:w="1000" w:type="dxa"/>
            <w:vAlign w:val="center"/>
          </w:tcPr>
          <w:p>
            <w:pPr>
              <w:jc w:val="right"/>
            </w:pPr>
            <w:r>
              <w:rPr>
                <w:rFonts w:ascii="宋体" w:hAnsi="宋体" w:eastAsia="宋体" w:cs="宋体"/>
                <w:b w:val="0"/>
                <w:i w:val="0"/>
                <w:color w:val="000000"/>
                <w:sz w:val="11"/>
              </w:rPr>
              <w:t>12.18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w:t>
            </w:r>
          </w:p>
        </w:tc>
        <w:tc>
          <w:tcPr>
            <w:tcW w:w="1760" w:type="dxa"/>
            <w:vAlign w:val="center"/>
          </w:tcPr>
          <w:p>
            <w:pPr>
              <w:jc w:val="left"/>
            </w:pPr>
            <w:r>
              <w:rPr>
                <w:rFonts w:ascii="宋体" w:hAnsi="宋体" w:eastAsia="宋体" w:cs="宋体"/>
                <w:b w:val="0"/>
                <w:i w:val="0"/>
                <w:color w:val="000000"/>
                <w:sz w:val="11"/>
              </w:rPr>
              <w:t>城乡社区支出</w:t>
            </w:r>
          </w:p>
        </w:tc>
        <w:tc>
          <w:tcPr>
            <w:tcW w:w="940" w:type="dxa"/>
            <w:vAlign w:val="center"/>
          </w:tcPr>
          <w:p>
            <w:pPr>
              <w:jc w:val="right"/>
            </w:pPr>
            <w:r>
              <w:rPr>
                <w:rFonts w:ascii="宋体" w:hAnsi="宋体" w:eastAsia="宋体" w:cs="宋体"/>
                <w:b w:val="0"/>
                <w:i w:val="0"/>
                <w:color w:val="000000"/>
                <w:sz w:val="11"/>
              </w:rPr>
              <w:t>12.18</w:t>
            </w:r>
          </w:p>
        </w:tc>
        <w:tc>
          <w:tcPr>
            <w:tcW w:w="1000" w:type="dxa"/>
            <w:vAlign w:val="center"/>
          </w:tcPr>
          <w:p>
            <w:pPr>
              <w:jc w:val="right"/>
            </w:pPr>
            <w:r>
              <w:rPr>
                <w:rFonts w:ascii="宋体" w:hAnsi="宋体" w:eastAsia="宋体" w:cs="宋体"/>
                <w:b w:val="0"/>
                <w:i w:val="0"/>
                <w:color w:val="000000"/>
                <w:sz w:val="11"/>
              </w:rPr>
              <w:t>12.18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w:t>
            </w:r>
          </w:p>
        </w:tc>
        <w:tc>
          <w:tcPr>
            <w:tcW w:w="1760" w:type="dxa"/>
            <w:vAlign w:val="center"/>
          </w:tcPr>
          <w:p>
            <w:pPr>
              <w:jc w:val="left"/>
            </w:pPr>
            <w:r>
              <w:rPr>
                <w:rFonts w:ascii="宋体" w:hAnsi="宋体" w:eastAsia="宋体" w:cs="宋体"/>
                <w:b w:val="0"/>
                <w:i w:val="0"/>
                <w:color w:val="000000"/>
                <w:sz w:val="11"/>
              </w:rPr>
              <w:t>城乡社区管理事务</w:t>
            </w:r>
          </w:p>
        </w:tc>
        <w:tc>
          <w:tcPr>
            <w:tcW w:w="940" w:type="dxa"/>
            <w:vAlign w:val="center"/>
          </w:tcPr>
          <w:p>
            <w:pPr>
              <w:jc w:val="right"/>
            </w:pPr>
            <w:r>
              <w:rPr>
                <w:rFonts w:ascii="宋体" w:hAnsi="宋体" w:eastAsia="宋体" w:cs="宋体"/>
                <w:b w:val="0"/>
                <w:i w:val="0"/>
                <w:color w:val="000000"/>
                <w:sz w:val="11"/>
              </w:rPr>
              <w:t>5.20</w:t>
            </w:r>
          </w:p>
        </w:tc>
        <w:tc>
          <w:tcPr>
            <w:tcW w:w="1000" w:type="dxa"/>
            <w:vAlign w:val="center"/>
          </w:tcPr>
          <w:p>
            <w:pPr>
              <w:jc w:val="right"/>
            </w:pPr>
            <w:r>
              <w:rPr>
                <w:rFonts w:ascii="宋体" w:hAnsi="宋体" w:eastAsia="宋体" w:cs="宋体"/>
                <w:b w:val="0"/>
                <w:i w:val="0"/>
                <w:color w:val="000000"/>
                <w:sz w:val="11"/>
              </w:rPr>
              <w:t>5.20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5.20</w:t>
            </w:r>
          </w:p>
        </w:tc>
        <w:tc>
          <w:tcPr>
            <w:tcW w:w="1000" w:type="dxa"/>
            <w:vAlign w:val="center"/>
          </w:tcPr>
          <w:p>
            <w:pPr>
              <w:jc w:val="right"/>
            </w:pPr>
            <w:r>
              <w:rPr>
                <w:rFonts w:ascii="宋体" w:hAnsi="宋体" w:eastAsia="宋体" w:cs="宋体"/>
                <w:b w:val="0"/>
                <w:i w:val="0"/>
                <w:color w:val="000000"/>
                <w:sz w:val="11"/>
              </w:rPr>
              <w:t>5.20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21299</w:t>
            </w:r>
          </w:p>
        </w:tc>
        <w:tc>
          <w:tcPr>
            <w:tcW w:w="1760" w:type="dxa"/>
            <w:vAlign w:val="center"/>
          </w:tcPr>
          <w:p>
            <w:pPr>
              <w:jc w:val="left"/>
            </w:pPr>
            <w:r>
              <w:rPr>
                <w:rFonts w:ascii="宋体" w:hAnsi="宋体" w:eastAsia="宋体" w:cs="宋体"/>
                <w:b w:val="0"/>
                <w:i w:val="0"/>
                <w:color w:val="000000"/>
                <w:sz w:val="11"/>
              </w:rPr>
              <w:t>其他城乡社区支出</w:t>
            </w:r>
          </w:p>
        </w:tc>
        <w:tc>
          <w:tcPr>
            <w:tcW w:w="940" w:type="dxa"/>
            <w:vAlign w:val="center"/>
          </w:tcPr>
          <w:p>
            <w:pPr>
              <w:jc w:val="right"/>
            </w:pPr>
            <w:r>
              <w:rPr>
                <w:rFonts w:ascii="宋体" w:hAnsi="宋体" w:eastAsia="宋体" w:cs="宋体"/>
                <w:b w:val="0"/>
                <w:i w:val="0"/>
                <w:color w:val="000000"/>
                <w:sz w:val="11"/>
              </w:rPr>
              <w:t>6.98</w:t>
            </w:r>
          </w:p>
        </w:tc>
        <w:tc>
          <w:tcPr>
            <w:tcW w:w="1000" w:type="dxa"/>
            <w:vAlign w:val="center"/>
          </w:tcPr>
          <w:p>
            <w:pPr>
              <w:jc w:val="right"/>
            </w:pPr>
            <w:r>
              <w:rPr>
                <w:rFonts w:ascii="宋体" w:hAnsi="宋体" w:eastAsia="宋体" w:cs="宋体"/>
                <w:b w:val="0"/>
                <w:i w:val="0"/>
                <w:color w:val="000000"/>
                <w:sz w:val="11"/>
              </w:rPr>
              <w:t>6.98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2129999</w:t>
            </w:r>
          </w:p>
        </w:tc>
        <w:tc>
          <w:tcPr>
            <w:tcW w:w="1760" w:type="dxa"/>
            <w:vAlign w:val="center"/>
          </w:tcPr>
          <w:p>
            <w:pPr>
              <w:jc w:val="left"/>
            </w:pPr>
            <w:r>
              <w:rPr>
                <w:rFonts w:ascii="宋体" w:hAnsi="宋体" w:eastAsia="宋体" w:cs="宋体"/>
                <w:b w:val="0"/>
                <w:i w:val="0"/>
                <w:color w:val="000000"/>
                <w:sz w:val="11"/>
              </w:rPr>
              <w:t>其他城乡社区支出</w:t>
            </w:r>
          </w:p>
        </w:tc>
        <w:tc>
          <w:tcPr>
            <w:tcW w:w="940" w:type="dxa"/>
            <w:vAlign w:val="center"/>
          </w:tcPr>
          <w:p>
            <w:pPr>
              <w:jc w:val="right"/>
            </w:pPr>
            <w:r>
              <w:rPr>
                <w:rFonts w:ascii="宋体" w:hAnsi="宋体" w:eastAsia="宋体" w:cs="宋体"/>
                <w:b w:val="0"/>
                <w:i w:val="0"/>
                <w:color w:val="000000"/>
                <w:sz w:val="11"/>
              </w:rPr>
              <w:t>6.98</w:t>
            </w:r>
          </w:p>
        </w:tc>
        <w:tc>
          <w:tcPr>
            <w:tcW w:w="1000" w:type="dxa"/>
            <w:vAlign w:val="center"/>
          </w:tcPr>
          <w:p>
            <w:pPr>
              <w:jc w:val="right"/>
            </w:pPr>
            <w:r>
              <w:rPr>
                <w:rFonts w:ascii="宋体" w:hAnsi="宋体" w:eastAsia="宋体" w:cs="宋体"/>
                <w:b w:val="0"/>
                <w:i w:val="0"/>
                <w:color w:val="000000"/>
                <w:sz w:val="11"/>
              </w:rPr>
              <w:t>6.98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11.41</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pPr>
              <w:jc w:val="right"/>
            </w:pPr>
            <w:r>
              <w:rPr>
                <w:rFonts w:ascii="宋体" w:hAnsi="宋体" w:eastAsia="宋体" w:cs="宋体"/>
                <w:b w:val="0"/>
                <w:i w:val="0"/>
                <w:color w:val="000000"/>
                <w:sz w:val="17"/>
              </w:rPr>
              <w:t>11.41</w:t>
            </w:r>
          </w:p>
        </w:tc>
        <w:tc>
          <w:tcPr>
            <w:tcW w:w="1460" w:type="dxa"/>
            <w:vAlign w:val="center"/>
          </w:tcPr>
          <w:p>
            <w:pPr>
              <w:jc w:val="right"/>
            </w:pPr>
            <w:r>
              <w:rPr>
                <w:rFonts w:ascii="宋体" w:hAnsi="宋体" w:eastAsia="宋体" w:cs="宋体"/>
                <w:b w:val="0"/>
                <w:i w:val="0"/>
                <w:color w:val="000000"/>
                <w:sz w:val="17"/>
              </w:rPr>
              <w:t>11.41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11.41</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11.41</w:t>
            </w:r>
          </w:p>
        </w:tc>
        <w:tc>
          <w:tcPr>
            <w:tcW w:w="1460" w:type="dxa"/>
            <w:vAlign w:val="center"/>
          </w:tcPr>
          <w:p>
            <w:pPr>
              <w:jc w:val="right"/>
            </w:pPr>
            <w:r>
              <w:rPr>
                <w:rFonts w:ascii="宋体" w:hAnsi="宋体" w:eastAsia="宋体" w:cs="宋体"/>
                <w:b w:val="0"/>
                <w:i w:val="0"/>
                <w:color w:val="000000"/>
                <w:sz w:val="17"/>
              </w:rPr>
              <w:t>11.41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11.41</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11.41</w:t>
            </w:r>
          </w:p>
        </w:tc>
        <w:tc>
          <w:tcPr>
            <w:tcW w:w="1460" w:type="dxa"/>
            <w:vAlign w:val="center"/>
          </w:tcPr>
          <w:p>
            <w:pPr>
              <w:jc w:val="right"/>
            </w:pPr>
            <w:r>
              <w:rPr>
                <w:rFonts w:ascii="宋体" w:hAnsi="宋体" w:eastAsia="宋体" w:cs="宋体"/>
                <w:b w:val="0"/>
                <w:i w:val="0"/>
                <w:color w:val="000000"/>
                <w:sz w:val="17"/>
              </w:rPr>
              <w:t>11.41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11.41</w:t>
            </w:r>
          </w:p>
        </w:tc>
        <w:tc>
          <w:tcPr>
            <w:tcW w:w="1520" w:type="dxa"/>
            <w:vAlign w:val="center"/>
          </w:tcPr>
          <w:p>
            <w:pPr>
              <w:jc w:val="right"/>
            </w:pPr>
            <w:r>
              <w:rPr>
                <w:rFonts w:ascii="宋体" w:hAnsi="宋体" w:eastAsia="宋体" w:cs="宋体"/>
                <w:b w:val="0"/>
                <w:i w:val="0"/>
                <w:color w:val="000000"/>
                <w:sz w:val="16"/>
              </w:rPr>
              <w:t>11.41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w:t>
            </w:r>
          </w:p>
        </w:tc>
        <w:tc>
          <w:tcPr>
            <w:tcW w:w="2700" w:type="dxa"/>
            <w:vAlign w:val="center"/>
          </w:tcPr>
          <w:p>
            <w:pPr>
              <w:jc w:val="left"/>
            </w:pPr>
            <w:r>
              <w:rPr>
                <w:rFonts w:ascii="宋体" w:hAnsi="宋体" w:eastAsia="宋体" w:cs="宋体"/>
                <w:b w:val="0"/>
                <w:i w:val="0"/>
                <w:color w:val="000000"/>
                <w:sz w:val="16"/>
              </w:rPr>
              <w:t>城乡社区支出</w:t>
            </w:r>
          </w:p>
        </w:tc>
        <w:tc>
          <w:tcPr>
            <w:tcW w:w="1420" w:type="dxa"/>
            <w:vAlign w:val="center"/>
          </w:tcPr>
          <w:p>
            <w:pPr>
              <w:jc w:val="right"/>
            </w:pPr>
            <w:r>
              <w:rPr>
                <w:rFonts w:ascii="宋体" w:hAnsi="宋体" w:eastAsia="宋体" w:cs="宋体"/>
                <w:b w:val="0"/>
                <w:i w:val="0"/>
                <w:color w:val="000000"/>
                <w:sz w:val="16"/>
              </w:rPr>
              <w:t>11.41</w:t>
            </w:r>
          </w:p>
        </w:tc>
        <w:tc>
          <w:tcPr>
            <w:tcW w:w="1520" w:type="dxa"/>
            <w:vAlign w:val="center"/>
          </w:tcPr>
          <w:p>
            <w:pPr>
              <w:jc w:val="right"/>
            </w:pPr>
            <w:r>
              <w:rPr>
                <w:rFonts w:ascii="宋体" w:hAnsi="宋体" w:eastAsia="宋体" w:cs="宋体"/>
                <w:b w:val="0"/>
                <w:i w:val="0"/>
                <w:color w:val="000000"/>
                <w:sz w:val="16"/>
              </w:rPr>
              <w:t>11.41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w:t>
            </w:r>
          </w:p>
        </w:tc>
        <w:tc>
          <w:tcPr>
            <w:tcW w:w="2700" w:type="dxa"/>
            <w:vAlign w:val="center"/>
          </w:tcPr>
          <w:p>
            <w:pPr>
              <w:jc w:val="left"/>
            </w:pPr>
            <w:r>
              <w:rPr>
                <w:rFonts w:ascii="宋体" w:hAnsi="宋体" w:eastAsia="宋体" w:cs="宋体"/>
                <w:b w:val="0"/>
                <w:i w:val="0"/>
                <w:color w:val="000000"/>
                <w:sz w:val="16"/>
              </w:rPr>
              <w:t>城乡社区管理事务</w:t>
            </w:r>
          </w:p>
        </w:tc>
        <w:tc>
          <w:tcPr>
            <w:tcW w:w="1420" w:type="dxa"/>
            <w:vAlign w:val="center"/>
          </w:tcPr>
          <w:p>
            <w:pPr>
              <w:jc w:val="right"/>
            </w:pPr>
            <w:r>
              <w:rPr>
                <w:rFonts w:ascii="宋体" w:hAnsi="宋体" w:eastAsia="宋体" w:cs="宋体"/>
                <w:b w:val="0"/>
                <w:i w:val="0"/>
                <w:color w:val="000000"/>
                <w:sz w:val="16"/>
              </w:rPr>
              <w:t>5.20</w:t>
            </w:r>
          </w:p>
        </w:tc>
        <w:tc>
          <w:tcPr>
            <w:tcW w:w="1520" w:type="dxa"/>
            <w:vAlign w:val="center"/>
          </w:tcPr>
          <w:p>
            <w:pPr>
              <w:jc w:val="right"/>
            </w:pPr>
            <w:r>
              <w:rPr>
                <w:rFonts w:ascii="宋体" w:hAnsi="宋体" w:eastAsia="宋体" w:cs="宋体"/>
                <w:b w:val="0"/>
                <w:i w:val="0"/>
                <w:color w:val="000000"/>
                <w:sz w:val="16"/>
              </w:rPr>
              <w:t>5.20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5.20</w:t>
            </w:r>
          </w:p>
        </w:tc>
        <w:tc>
          <w:tcPr>
            <w:tcW w:w="1520" w:type="dxa"/>
            <w:vAlign w:val="center"/>
          </w:tcPr>
          <w:p>
            <w:pPr>
              <w:jc w:val="right"/>
            </w:pPr>
            <w:r>
              <w:rPr>
                <w:rFonts w:ascii="宋体" w:hAnsi="宋体" w:eastAsia="宋体" w:cs="宋体"/>
                <w:b w:val="0"/>
                <w:i w:val="0"/>
                <w:color w:val="000000"/>
                <w:sz w:val="16"/>
              </w:rPr>
              <w:t>5.20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21299</w:t>
            </w:r>
          </w:p>
        </w:tc>
        <w:tc>
          <w:tcPr>
            <w:tcW w:w="2700" w:type="dxa"/>
            <w:vAlign w:val="center"/>
          </w:tcPr>
          <w:p>
            <w:pPr>
              <w:jc w:val="left"/>
            </w:pPr>
            <w:r>
              <w:rPr>
                <w:rFonts w:ascii="宋体" w:hAnsi="宋体" w:eastAsia="宋体" w:cs="宋体"/>
                <w:b w:val="0"/>
                <w:i w:val="0"/>
                <w:color w:val="000000"/>
                <w:sz w:val="16"/>
              </w:rPr>
              <w:t>其他城乡社区支出</w:t>
            </w:r>
          </w:p>
        </w:tc>
        <w:tc>
          <w:tcPr>
            <w:tcW w:w="1420" w:type="dxa"/>
            <w:vAlign w:val="center"/>
          </w:tcPr>
          <w:p>
            <w:pPr>
              <w:jc w:val="right"/>
            </w:pPr>
            <w:r>
              <w:rPr>
                <w:rFonts w:ascii="宋体" w:hAnsi="宋体" w:eastAsia="宋体" w:cs="宋体"/>
                <w:b w:val="0"/>
                <w:i w:val="0"/>
                <w:color w:val="000000"/>
                <w:sz w:val="16"/>
              </w:rPr>
              <w:t>6.21</w:t>
            </w:r>
          </w:p>
        </w:tc>
        <w:tc>
          <w:tcPr>
            <w:tcW w:w="1520" w:type="dxa"/>
            <w:vAlign w:val="center"/>
          </w:tcPr>
          <w:p>
            <w:pPr>
              <w:jc w:val="right"/>
            </w:pPr>
            <w:r>
              <w:rPr>
                <w:rFonts w:ascii="宋体" w:hAnsi="宋体" w:eastAsia="宋体" w:cs="宋体"/>
                <w:b w:val="0"/>
                <w:i w:val="0"/>
                <w:color w:val="000000"/>
                <w:sz w:val="16"/>
              </w:rPr>
              <w:t>6.21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2129999</w:t>
            </w:r>
          </w:p>
        </w:tc>
        <w:tc>
          <w:tcPr>
            <w:tcW w:w="2700" w:type="dxa"/>
            <w:vAlign w:val="center"/>
          </w:tcPr>
          <w:p>
            <w:pPr>
              <w:jc w:val="left"/>
            </w:pPr>
            <w:r>
              <w:rPr>
                <w:rFonts w:ascii="宋体" w:hAnsi="宋体" w:eastAsia="宋体" w:cs="宋体"/>
                <w:b w:val="0"/>
                <w:i w:val="0"/>
                <w:color w:val="000000"/>
                <w:sz w:val="16"/>
              </w:rPr>
              <w:t>其他城乡社区支出</w:t>
            </w:r>
          </w:p>
        </w:tc>
        <w:tc>
          <w:tcPr>
            <w:tcW w:w="1420" w:type="dxa"/>
            <w:vAlign w:val="center"/>
          </w:tcPr>
          <w:p>
            <w:pPr>
              <w:jc w:val="right"/>
            </w:pPr>
            <w:r>
              <w:rPr>
                <w:rFonts w:ascii="宋体" w:hAnsi="宋体" w:eastAsia="宋体" w:cs="宋体"/>
                <w:b w:val="0"/>
                <w:i w:val="0"/>
                <w:color w:val="000000"/>
                <w:sz w:val="16"/>
              </w:rPr>
              <w:t>6.21</w:t>
            </w:r>
          </w:p>
        </w:tc>
        <w:tc>
          <w:tcPr>
            <w:tcW w:w="1520" w:type="dxa"/>
            <w:vAlign w:val="center"/>
          </w:tcPr>
          <w:p>
            <w:pPr>
              <w:jc w:val="right"/>
            </w:pPr>
            <w:r>
              <w:rPr>
                <w:rFonts w:ascii="宋体" w:hAnsi="宋体" w:eastAsia="宋体" w:cs="宋体"/>
                <w:b w:val="0"/>
                <w:i w:val="0"/>
                <w:color w:val="000000"/>
                <w:sz w:val="16"/>
              </w:rPr>
              <w:t>6.21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6.41</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2.80</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2.53</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0.23</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2.67</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1.21</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pPr>
              <w:jc w:val="right"/>
            </w:pPr>
            <w:r>
              <w:rPr>
                <w:rFonts w:ascii="宋体" w:hAnsi="宋体" w:eastAsia="宋体" w:cs="宋体"/>
                <w:b w:val="0"/>
                <w:i w:val="0"/>
                <w:color w:val="000000"/>
                <w:sz w:val="9"/>
              </w:rPr>
              <w:t>0.20</w:t>
            </w: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2.20</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2.37</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2.20</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8.61</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w:t>
            </w:r>
            <w:r>
              <w:rPr>
                <w:rFonts w:hint="eastAsia" w:ascii="宋体" w:hAnsi="宋体" w:cs="宋体"/>
                <w:sz w:val="20"/>
                <w:lang w:eastAsia="zh-CN"/>
              </w:rPr>
              <w:t>区</w:t>
            </w:r>
            <w:r>
              <w:rPr>
                <w:rFonts w:ascii="宋体" w:hAnsi="宋体" w:eastAsia="宋体" w:cs="宋体"/>
                <w:sz w:val="20"/>
              </w:rPr>
              <w:t>昌江区城镇发展服务中心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w:t>
            </w:r>
            <w:r>
              <w:rPr>
                <w:rFonts w:hint="eastAsia" w:ascii="宋体" w:hAnsi="宋体" w:cs="宋体"/>
                <w:b w:val="0"/>
                <w:i w:val="0"/>
                <w:color w:val="000000"/>
                <w:sz w:val="20"/>
                <w:lang w:eastAsia="zh-CN"/>
              </w:rPr>
              <w:t>区</w:t>
            </w:r>
            <w:r>
              <w:rPr>
                <w:rFonts w:hint="eastAsia" w:ascii="宋体" w:hAnsi="宋体" w:eastAsia="宋体" w:cs="宋体"/>
                <w:b w:val="0"/>
                <w:i w:val="0"/>
                <w:color w:val="000000"/>
                <w:sz w:val="20"/>
              </w:rPr>
              <w:t>昌江区城镇发展服务中心</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2023年度收入总计12.21万元，其中年初结转和结余0.00万元，与上年持平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；使用非财政拨款结余和专用结余0.00万元，与上年持平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；本年收入合计12.21万元，比上年增加12.21万元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color w:val="000000" w:themeColor="text1"/>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本年收入的具体构成：财政拨款收入11.41万元，占93.50%；事业收入0.00万元，占0.00%；经营收入0.00万元，占0.00%；上级补助收入0.00万元，占0.00%；附属单位上缴收入0.00万元，占0.00%；其他收入0.79万元，占6.50%。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2023年度支出总计12.21万元，其中本年支出合计12.18万元，比上年增加12.18万元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sz w:val="32"/>
          <w:szCs w:val="32"/>
        </w:rPr>
        <w:t>；结余分配0.00万元，与上年持平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；年末结转和结余0.03万元，比上年增加0.03万元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本年支出的具体构成：基本支出12.18万元，占100.00%；项目支出0.00万元，占0.00%；经营支出0.00万元，占0.00%；上缴上级支出0.00万元，占0.00%；对附属单位补助支出0.00万元，占0.00%。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2023年度财政拨款本年支出年初预算数0.00万元，决算数11.41万元，完成年初预算的0.00%。其中：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 xml:space="preserve"> </w:t>
      </w:r>
      <w:r>
        <w:rPr>
          <w:rFonts w:hint="eastAsia" w:ascii="仿宋_GB2312" w:hAnsi="仿宋_GB2312" w:eastAsia="仿宋_GB2312"/>
          <w:sz w:val="32"/>
          <w:szCs w:val="32"/>
        </w:rPr>
        <w:t>（一）城乡社区支出（类）年初预算数0.00万元，决算数11.41万元，预决算差异主要原因：</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2023年度一般公共预算财政拨款基本支出11.41万元，其中：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（一）工资福利支出6.41万元，比上年增加6.41万元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（二）商品和服务支出2.80万元，比上年增加2.80万元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（三）对个人和家庭补助支出2.20万元，比上年增加2.20万元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未购买固定资产</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2023年度财政拨款“三公”经费支出全年预算数0.00万元，决算数0.00万元</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。年末使用财政拨款负担费用的公务用车保有量0辆。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本单位无公务接待</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sz w:val="32"/>
          <w:szCs w:val="32"/>
        </w:rPr>
        <w:t>。全年国内公务接待0批，累计接待0人次，主要是：</w:t>
      </w:r>
      <w:r>
        <w:rPr>
          <w:rFonts w:hint="eastAsia" w:ascii="仿宋_GB2312" w:hAnsi="仿宋_GB2312" w:eastAsia="仿宋_GB2312"/>
          <w:color w:val="000000" w:themeColor="text1"/>
          <w:sz w:val="32"/>
          <w:szCs w:val="32"/>
          <w:lang w:val="en-US" w:eastAsia="zh-CN"/>
        </w:rPr>
        <w:t>本单位无公务接待</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其中：外事接待费决算数0.00万元，决算数与上年持平，增长0.00%，主要原因：（此处请补充内容）。全年外事接待0批，累计接待0人次，主要是：（此处请补充内容）。</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2023年度机关运行经费支出0.00万元，决算数与上年持平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本单位为本年新增</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5"/>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w:t>
      </w:r>
      <w:r>
        <w:rPr>
          <w:rFonts w:hint="eastAsia" w:ascii="仿宋_GB2312" w:hAnsi="仿宋_GB2312" w:eastAsia="仿宋_GB2312"/>
          <w:color w:val="000000" w:themeColor="text1"/>
          <w:sz w:val="32"/>
          <w:szCs w:val="32"/>
        </w:rPr>
        <w:t>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%，工程采购授予中小企业合同金额占工程支出金额的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%，服务采购授予中小企业合同金额占服务支出金额的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13.11</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个项目评价结果为“中”，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autoSpaceDE w:val="0"/>
        <w:autoSpaceDN w:val="0"/>
        <w:adjustRightInd w:val="0"/>
        <w:spacing w:line="360" w:lineRule="auto"/>
        <w:ind w:left="-840" w:leftChars="0" w:firstLine="3"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object>
          <v:shape id="_x0000_i1025" o:spt="75" type="#_x0000_t75" style="height:517.5pt;width:518.2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ascii="仿宋_GB2312" w:hAnsi="仿宋_GB2312" w:eastAsia="仿宋_GB2312" w:cs="仿宋_GB2312"/>
          <w:kern w:val="0"/>
          <w:sz w:val="32"/>
          <w:szCs w:val="32"/>
          <w:lang w:eastAsia="zh-CN"/>
        </w:rPr>
        <w:object>
          <v:shape id="_x0000_i1026" o:spt="75" type="#_x0000_t75" style="height:471.75pt;width:518.25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5"/>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（一）财政拨款：反映财政部门当年拨付的非偿还性资金。</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（二）上年结转结余：反映上年全部结转和结余的资金数，包括当年结转结余资金和历年滚存结转结余资金。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（一）公共安全支出反映政府用于维护社会公共安全方面的支出。我院主要反映检察事务的支出。</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（二）社会保障和就业支出反映政府在保障与就业方面的支出。我院主要是反映实行归口管理的行政单位开支的社保医保费用。</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（三）基本支出：指行政事业单位用于保障其机构正常运转、完成日常工作任务而发生的人员支出和公用支出。</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（四）项目支出：指在基本支出之外为完成特定的行政工作任务或事业发展目标发生的支出。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w:t>
      </w:r>
      <w:r>
        <w:rPr>
          <w:rFonts w:hint="eastAsia" w:ascii="仿宋_GB2312" w:hAnsi="仿宋_GB2312" w:eastAsia="仿宋_GB2312"/>
          <w:kern w:val="0"/>
          <w:sz w:val="32"/>
          <w:szCs w:val="32"/>
          <w:lang w:eastAsia="zh-CN"/>
        </w:rPr>
        <w:t>区</w:t>
      </w:r>
      <w:r>
        <w:rPr>
          <w:rFonts w:hint="eastAsia" w:ascii="仿宋_GB2312" w:hAnsi="仿宋_GB2312" w:eastAsia="仿宋_GB2312"/>
          <w:kern w:val="0"/>
          <w:sz w:val="32"/>
          <w:szCs w:val="32"/>
        </w:rPr>
        <w:t>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GU3ZTczNTA5OTc1NDVlOGQ0ZDM1MjgyZGQ2NjkifQ=="/>
  </w:docVars>
  <w:rsids>
    <w:rsidRoot w:val="00000000"/>
    <w:rsid w:val="0D72532F"/>
    <w:rsid w:val="187D1A1A"/>
    <w:rsid w:val="56FA5BD2"/>
    <w:rsid w:val="621C757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uiPriority w:val="0"/>
  </w:style>
  <w:style w:type="table" w:customStyle="1" w:styleId="6">
    <w:name w:val="普通表格1"/>
    <w:semiHidden/>
    <w:uiPriority w:val="0"/>
    <w:tblPr>
      <w:tblCellMar>
        <w:top w:w="0" w:type="dxa"/>
        <w:left w:w="108" w:type="dxa"/>
        <w:bottom w:w="0" w:type="dxa"/>
        <w:right w:w="108" w:type="dxa"/>
      </w:tblCellMar>
    </w:tblPr>
  </w:style>
  <w:style w:type="paragraph" w:customStyle="1" w:styleId="7">
    <w:name w:val="批注文字1"/>
    <w:basedOn w:val="1"/>
    <w:uiPriority w:val="0"/>
    <w:pPr>
      <w:jc w:val="left"/>
    </w:pPr>
  </w:style>
  <w:style w:type="paragraph" w:customStyle="1" w:styleId="8">
    <w:name w:val="批注框文本1"/>
    <w:basedOn w:val="1"/>
    <w:link w:val="9"/>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uiPriority w:val="0"/>
    <w:rPr>
      <w:sz w:val="18"/>
      <w:szCs w:val="18"/>
    </w:rPr>
  </w:style>
  <w:style w:type="paragraph" w:customStyle="1" w:styleId="12">
    <w:name w:val="页眉1"/>
    <w:basedOn w:val="1"/>
    <w:link w:val="13"/>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24</Pages>
  <Words>7016</Words>
  <Characters>8190</Characters>
  <Lines>119</Lines>
  <Paragraphs>33</Paragraphs>
  <TotalTime>2</TotalTime>
  <ScaleCrop>false</ScaleCrop>
  <LinksUpToDate>false</LinksUpToDate>
  <CharactersWithSpaces>8614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2024-09-20T06:40:13Z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9AC4838C0CC34415BD2AEAA334B484BA</vt:lpwstr>
  </property>
</Properties>
</file>