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AD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昌江区住建局</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202</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5</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年</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上半年</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法治政府建设</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情况</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报告</w:t>
      </w:r>
    </w:p>
    <w:p w14:paraId="28E05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仿宋_GB2312" w:hAnsi="仿宋_GB2312" w:eastAsia="仿宋_GB2312" w:cs="仿宋_GB2312"/>
          <w:color w:val="000000"/>
          <w:sz w:val="32"/>
          <w:szCs w:val="32"/>
          <w:lang w:val="en-US" w:eastAsia="zh-CN"/>
        </w:rPr>
      </w:pPr>
    </w:p>
    <w:p w14:paraId="5523DB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中共昌江区委、昌江区人民政府：</w:t>
      </w:r>
    </w:p>
    <w:p w14:paraId="7F2ED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auto"/>
          <w:kern w:val="2"/>
          <w:sz w:val="32"/>
          <w:szCs w:val="32"/>
          <w:lang w:val="en-US" w:eastAsia="zh-CN" w:bidi="ar-SA"/>
        </w:rPr>
        <w:t>202</w:t>
      </w:r>
      <w:r>
        <w:rPr>
          <w:rFonts w:hint="eastAsia"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年以来，区住建局在区委、区政府的坚强</w:t>
      </w:r>
      <w:r>
        <w:rPr>
          <w:rFonts w:hint="eastAsia" w:cs="仿宋_GB2312"/>
          <w:color w:val="auto"/>
          <w:kern w:val="2"/>
          <w:sz w:val="32"/>
          <w:szCs w:val="32"/>
          <w:lang w:val="en-US" w:eastAsia="zh-CN" w:bidi="ar-SA"/>
        </w:rPr>
        <w:t>引领</w:t>
      </w:r>
      <w:r>
        <w:rPr>
          <w:rFonts w:hint="eastAsia" w:ascii="Times New Roman" w:hAnsi="Times New Roman" w:eastAsia="仿宋_GB2312" w:cs="仿宋_GB2312"/>
          <w:color w:val="auto"/>
          <w:kern w:val="2"/>
          <w:sz w:val="32"/>
          <w:szCs w:val="32"/>
          <w:lang w:val="en-US" w:eastAsia="zh-CN" w:bidi="ar-SA"/>
        </w:rPr>
        <w:t>下，在区依法治区办的</w:t>
      </w:r>
      <w:r>
        <w:rPr>
          <w:rFonts w:hint="eastAsia" w:cs="仿宋_GB2312"/>
          <w:color w:val="auto"/>
          <w:kern w:val="2"/>
          <w:sz w:val="32"/>
          <w:szCs w:val="32"/>
          <w:lang w:val="en-US" w:eastAsia="zh-CN" w:bidi="ar-SA"/>
        </w:rPr>
        <w:t>悉心指导</w:t>
      </w:r>
      <w:r>
        <w:rPr>
          <w:rFonts w:hint="eastAsia" w:ascii="Times New Roman" w:hAnsi="Times New Roman" w:eastAsia="仿宋_GB2312" w:cs="仿宋_GB2312"/>
          <w:color w:val="auto"/>
          <w:kern w:val="2"/>
          <w:sz w:val="32"/>
          <w:szCs w:val="32"/>
          <w:lang w:val="en-US" w:eastAsia="zh-CN" w:bidi="ar-SA"/>
        </w:rPr>
        <w:t>下，</w:t>
      </w:r>
      <w:r>
        <w:rPr>
          <w:rFonts w:hint="default" w:ascii="Times New Roman" w:hAnsi="Times New Roman" w:eastAsia="仿宋_GB2312" w:cs="仿宋_GB2312"/>
          <w:color w:val="auto"/>
          <w:kern w:val="2"/>
          <w:sz w:val="32"/>
          <w:szCs w:val="32"/>
          <w:lang w:val="en-US" w:eastAsia="zh-CN" w:bidi="ar-SA"/>
        </w:rPr>
        <w:t>坚持以习近平法治思想为指导，</w:t>
      </w:r>
      <w:r>
        <w:rPr>
          <w:rFonts w:hint="eastAsia" w:cs="仿宋_GB2312"/>
          <w:color w:val="auto"/>
          <w:kern w:val="2"/>
          <w:sz w:val="32"/>
          <w:szCs w:val="32"/>
          <w:lang w:val="en-US" w:eastAsia="zh-CN" w:bidi="ar-SA"/>
        </w:rPr>
        <w:t>积极</w:t>
      </w:r>
      <w:r>
        <w:rPr>
          <w:rFonts w:hint="default" w:ascii="Times New Roman" w:hAnsi="Times New Roman" w:eastAsia="仿宋_GB2312" w:cs="仿宋_GB2312"/>
          <w:color w:val="auto"/>
          <w:kern w:val="2"/>
          <w:sz w:val="32"/>
          <w:szCs w:val="32"/>
          <w:lang w:val="en-US" w:eastAsia="zh-CN" w:bidi="ar-SA"/>
        </w:rPr>
        <w:t>贯彻习近平总书记关于法治建设的重要</w:t>
      </w:r>
      <w:r>
        <w:rPr>
          <w:rFonts w:hint="eastAsia" w:cs="仿宋_GB2312"/>
          <w:color w:val="auto"/>
          <w:kern w:val="2"/>
          <w:sz w:val="32"/>
          <w:szCs w:val="32"/>
          <w:lang w:val="en-US" w:eastAsia="zh-CN" w:bidi="ar-SA"/>
        </w:rPr>
        <w:t>论述</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严格</w:t>
      </w:r>
      <w:r>
        <w:rPr>
          <w:rFonts w:hint="default" w:ascii="Times New Roman" w:hAnsi="Times New Roman" w:eastAsia="仿宋_GB2312" w:cs="仿宋_GB2312"/>
          <w:color w:val="auto"/>
          <w:kern w:val="2"/>
          <w:sz w:val="32"/>
          <w:szCs w:val="32"/>
          <w:lang w:val="en-US" w:eastAsia="zh-CN" w:bidi="ar-SA"/>
        </w:rPr>
        <w:t>落实</w:t>
      </w:r>
      <w:r>
        <w:rPr>
          <w:rFonts w:hint="eastAsia" w:ascii="Times New Roman" w:hAnsi="Times New Roman" w:eastAsia="仿宋_GB2312" w:cs="仿宋_GB2312"/>
          <w:color w:val="auto"/>
          <w:kern w:val="2"/>
          <w:sz w:val="32"/>
          <w:szCs w:val="32"/>
          <w:lang w:val="en-US" w:eastAsia="zh-CN" w:bidi="ar-SA"/>
        </w:rPr>
        <w:t>区</w:t>
      </w:r>
      <w:r>
        <w:rPr>
          <w:rFonts w:hint="default" w:ascii="Times New Roman" w:hAnsi="Times New Roman" w:eastAsia="仿宋_GB2312" w:cs="仿宋_GB2312"/>
          <w:color w:val="auto"/>
          <w:kern w:val="2"/>
          <w:sz w:val="32"/>
          <w:szCs w:val="32"/>
          <w:lang w:val="en-US" w:eastAsia="zh-CN" w:bidi="ar-SA"/>
        </w:rPr>
        <w:t>委依法治</w:t>
      </w:r>
      <w:r>
        <w:rPr>
          <w:rFonts w:hint="eastAsia" w:ascii="Times New Roman" w:hAnsi="Times New Roman" w:eastAsia="仿宋_GB2312" w:cs="仿宋_GB2312"/>
          <w:color w:val="auto"/>
          <w:kern w:val="2"/>
          <w:sz w:val="32"/>
          <w:szCs w:val="32"/>
          <w:lang w:val="en-US" w:eastAsia="zh-CN" w:bidi="ar-SA"/>
        </w:rPr>
        <w:t>区</w:t>
      </w:r>
      <w:r>
        <w:rPr>
          <w:rFonts w:hint="default" w:ascii="Times New Roman" w:hAnsi="Times New Roman" w:eastAsia="仿宋_GB2312" w:cs="仿宋_GB2312"/>
          <w:color w:val="auto"/>
          <w:kern w:val="2"/>
          <w:sz w:val="32"/>
          <w:szCs w:val="32"/>
          <w:lang w:val="en-US" w:eastAsia="zh-CN" w:bidi="ar-SA"/>
        </w:rPr>
        <w:t>办关于法治建设的各项部署</w:t>
      </w:r>
      <w:r>
        <w:rPr>
          <w:rFonts w:hint="eastAsia" w:cs="仿宋_GB2312"/>
          <w:color w:val="auto"/>
          <w:kern w:val="2"/>
          <w:sz w:val="32"/>
          <w:szCs w:val="32"/>
          <w:lang w:val="en-US" w:eastAsia="zh-CN" w:bidi="ar-SA"/>
        </w:rPr>
        <w:t>要求</w:t>
      </w:r>
      <w:r>
        <w:rPr>
          <w:rFonts w:hint="default" w:ascii="Times New Roman" w:hAnsi="Times New Roman" w:eastAsia="仿宋_GB2312" w:cs="仿宋_GB2312"/>
          <w:color w:val="auto"/>
          <w:kern w:val="2"/>
          <w:sz w:val="32"/>
          <w:szCs w:val="32"/>
          <w:lang w:val="en-US" w:eastAsia="zh-CN" w:bidi="ar-SA"/>
        </w:rPr>
        <w:t>，</w:t>
      </w:r>
      <w:r>
        <w:rPr>
          <w:rFonts w:hint="eastAsia" w:cs="仿宋_GB2312"/>
          <w:color w:val="auto"/>
          <w:kern w:val="2"/>
          <w:sz w:val="32"/>
          <w:szCs w:val="32"/>
          <w:lang w:val="en-US" w:eastAsia="zh-CN" w:bidi="ar-SA"/>
        </w:rPr>
        <w:t>通过</w:t>
      </w:r>
      <w:r>
        <w:rPr>
          <w:rFonts w:hint="default" w:ascii="Times New Roman" w:hAnsi="Times New Roman" w:eastAsia="仿宋_GB2312" w:cs="仿宋_GB2312"/>
          <w:color w:val="auto"/>
          <w:kern w:val="2"/>
          <w:sz w:val="32"/>
          <w:szCs w:val="32"/>
          <w:lang w:val="en-US" w:eastAsia="zh-CN" w:bidi="ar-SA"/>
        </w:rPr>
        <w:t>完善法治建设工作机制</w:t>
      </w:r>
      <w:r>
        <w:rPr>
          <w:rFonts w:hint="eastAsia" w:ascii="Times New Roman" w:hAnsi="Times New Roman"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运用法治思维和法治方式深化改革，</w:t>
      </w:r>
      <w:r>
        <w:rPr>
          <w:rFonts w:hint="eastAsia" w:cs="仿宋_GB2312"/>
          <w:color w:val="auto"/>
          <w:kern w:val="2"/>
          <w:sz w:val="32"/>
          <w:szCs w:val="32"/>
          <w:lang w:val="en-US" w:eastAsia="zh-CN" w:bidi="ar-SA"/>
        </w:rPr>
        <w:t>持续</w:t>
      </w:r>
      <w:r>
        <w:rPr>
          <w:rFonts w:hint="default" w:ascii="Times New Roman" w:hAnsi="Times New Roman" w:eastAsia="仿宋_GB2312" w:cs="仿宋_GB2312"/>
          <w:color w:val="auto"/>
          <w:kern w:val="2"/>
          <w:sz w:val="32"/>
          <w:szCs w:val="32"/>
          <w:lang w:val="en-US" w:eastAsia="zh-CN" w:bidi="ar-SA"/>
        </w:rPr>
        <w:t>优化法治化营商环境，</w:t>
      </w:r>
      <w:r>
        <w:rPr>
          <w:rFonts w:hint="eastAsia" w:cs="仿宋_GB2312"/>
          <w:color w:val="auto"/>
          <w:kern w:val="2"/>
          <w:sz w:val="32"/>
          <w:szCs w:val="32"/>
          <w:lang w:val="en-US" w:eastAsia="zh-CN" w:bidi="ar-SA"/>
        </w:rPr>
        <w:t>强化普法宣传教育</w:t>
      </w:r>
      <w:r>
        <w:rPr>
          <w:rFonts w:hint="default" w:ascii="Times New Roman" w:hAnsi="Times New Roman" w:eastAsia="仿宋_GB2312" w:cs="仿宋_GB2312"/>
          <w:color w:val="auto"/>
          <w:kern w:val="2"/>
          <w:sz w:val="32"/>
          <w:szCs w:val="32"/>
          <w:lang w:val="en-US" w:eastAsia="zh-CN" w:bidi="ar-SA"/>
        </w:rPr>
        <w:t>，</w:t>
      </w:r>
      <w:r>
        <w:rPr>
          <w:rFonts w:hint="eastAsia" w:ascii="仿宋_GB2312" w:hAnsi="仿宋_GB2312" w:eastAsia="仿宋_GB2312" w:cs="仿宋_GB2312"/>
          <w:color w:val="000000"/>
          <w:sz w:val="32"/>
          <w:szCs w:val="32"/>
        </w:rPr>
        <w:t>为</w:t>
      </w:r>
      <w:r>
        <w:rPr>
          <w:rFonts w:hint="eastAsia" w:ascii="仿宋_GB2312" w:hAnsi="仿宋_GB2312" w:cs="仿宋_GB2312"/>
          <w:color w:val="000000"/>
          <w:sz w:val="32"/>
          <w:szCs w:val="32"/>
          <w:lang w:val="en-US" w:eastAsia="zh-CN"/>
        </w:rPr>
        <w:t>昌江区</w:t>
      </w:r>
      <w:r>
        <w:rPr>
          <w:rFonts w:hint="eastAsia" w:ascii="仿宋_GB2312" w:hAnsi="仿宋_GB2312" w:eastAsia="仿宋_GB2312" w:cs="仿宋_GB2312"/>
          <w:color w:val="000000"/>
          <w:sz w:val="32"/>
          <w:szCs w:val="32"/>
        </w:rPr>
        <w:t>住建领域高质量发展</w:t>
      </w:r>
      <w:r>
        <w:rPr>
          <w:rFonts w:hint="eastAsia" w:ascii="仿宋_GB2312" w:hAnsi="仿宋_GB2312" w:cs="仿宋_GB2312"/>
          <w:color w:val="000000"/>
          <w:sz w:val="32"/>
          <w:szCs w:val="32"/>
          <w:lang w:eastAsia="zh-CN"/>
        </w:rPr>
        <w:t>筑牢了坚实的</w:t>
      </w:r>
      <w:r>
        <w:rPr>
          <w:rFonts w:hint="eastAsia" w:ascii="仿宋_GB2312" w:hAnsi="仿宋_GB2312" w:eastAsia="仿宋_GB2312" w:cs="仿宋_GB2312"/>
          <w:color w:val="000000"/>
          <w:sz w:val="32"/>
          <w:szCs w:val="32"/>
        </w:rPr>
        <w:t>法治</w:t>
      </w:r>
      <w:r>
        <w:rPr>
          <w:rFonts w:hint="eastAsia" w:ascii="仿宋_GB2312" w:hAnsi="仿宋_GB2312" w:cs="仿宋_GB2312"/>
          <w:color w:val="000000"/>
          <w:sz w:val="32"/>
          <w:szCs w:val="32"/>
          <w:lang w:eastAsia="zh-CN"/>
        </w:rPr>
        <w:t>根基</w:t>
      </w:r>
      <w:r>
        <w:rPr>
          <w:rFonts w:hint="eastAsia" w:ascii="仿宋_GB2312" w:hAnsi="仿宋_GB2312" w:eastAsia="仿宋_GB2312" w:cs="仿宋_GB2312"/>
          <w:color w:val="000000"/>
          <w:sz w:val="32"/>
          <w:szCs w:val="32"/>
        </w:rPr>
        <w:t>。现将</w:t>
      </w:r>
      <w:r>
        <w:rPr>
          <w:rFonts w:hint="eastAsia" w:ascii="仿宋_GB2312" w:hAnsi="仿宋_GB2312" w:cs="仿宋_GB2312"/>
          <w:color w:val="000000"/>
          <w:sz w:val="32"/>
          <w:szCs w:val="32"/>
          <w:lang w:eastAsia="zh-CN"/>
        </w:rPr>
        <w:t>区住建</w:t>
      </w:r>
      <w:r>
        <w:rPr>
          <w:rFonts w:hint="eastAsia" w:ascii="仿宋_GB2312" w:hAnsi="仿宋_GB2312" w:eastAsia="仿宋_GB2312" w:cs="仿宋_GB2312"/>
          <w:color w:val="000000"/>
          <w:sz w:val="32"/>
          <w:szCs w:val="32"/>
        </w:rPr>
        <w:t>局</w:t>
      </w:r>
      <w:r>
        <w:rPr>
          <w:rFonts w:hint="eastAsia" w:ascii="仿宋_GB2312" w:hAnsi="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cs="仿宋_GB2312"/>
          <w:color w:val="000000"/>
          <w:sz w:val="32"/>
          <w:szCs w:val="32"/>
          <w:lang w:eastAsia="zh-CN"/>
        </w:rPr>
        <w:t>上班年法治政府建设</w:t>
      </w:r>
      <w:r>
        <w:rPr>
          <w:rFonts w:hint="eastAsia" w:ascii="仿宋_GB2312" w:hAnsi="仿宋_GB2312" w:eastAsia="仿宋_GB2312" w:cs="仿宋_GB2312"/>
          <w:color w:val="000000"/>
          <w:sz w:val="32"/>
          <w:szCs w:val="32"/>
        </w:rPr>
        <w:t>工作情况</w:t>
      </w:r>
      <w:r>
        <w:rPr>
          <w:rFonts w:hint="eastAsia" w:ascii="仿宋_GB2312" w:hAnsi="仿宋_GB2312" w:cs="仿宋_GB2312"/>
          <w:color w:val="000000"/>
          <w:sz w:val="32"/>
          <w:szCs w:val="32"/>
          <w:lang w:eastAsia="zh-CN"/>
        </w:rPr>
        <w:t>报告</w:t>
      </w:r>
      <w:r>
        <w:rPr>
          <w:rFonts w:hint="eastAsia" w:ascii="仿宋_GB2312" w:hAnsi="仿宋_GB2312" w:eastAsia="仿宋_GB2312" w:cs="仿宋_GB2312"/>
          <w:color w:val="000000"/>
          <w:sz w:val="32"/>
          <w:szCs w:val="32"/>
        </w:rPr>
        <w:t>如下：</w:t>
      </w:r>
    </w:p>
    <w:p w14:paraId="1368D11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主要举措及取得的成效</w:t>
      </w:r>
    </w:p>
    <w:p w14:paraId="42CB36C0">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（一）深入学习贯彻习近平法治思想</w:t>
      </w:r>
    </w:p>
    <w:p w14:paraId="11FAC805">
      <w:pPr>
        <w:numPr>
          <w:ilvl w:val="0"/>
          <w:numId w:val="0"/>
        </w:numPr>
        <w:ind w:firstLine="672" w:firstLineChars="200"/>
        <w:rPr>
          <w:rFonts w:hint="eastAsia" w:ascii="方正仿宋_GB2312" w:hAnsi="方正仿宋_GB2312" w:eastAsia="方正仿宋_GB2312" w:cs="方正仿宋_GB2312"/>
          <w:color w:val="000000"/>
          <w:spacing w:val="8"/>
          <w:kern w:val="0"/>
          <w:sz w:val="32"/>
          <w:szCs w:val="32"/>
          <w:shd w:val="clear" w:fill="FFFFFF"/>
          <w:lang w:val="en-US" w:eastAsia="zh-CN" w:bidi="ar"/>
        </w:rPr>
      </w:pPr>
      <w:r>
        <w:rPr>
          <w:rFonts w:hint="eastAsia" w:ascii="方正仿宋_GB2312" w:hAnsi="方正仿宋_GB2312" w:eastAsia="方正仿宋_GB2312" w:cs="方正仿宋_GB2312"/>
          <w:color w:val="000000"/>
          <w:spacing w:val="8"/>
          <w:kern w:val="0"/>
          <w:sz w:val="32"/>
          <w:szCs w:val="32"/>
          <w:shd w:val="clear" w:fill="FFFFFF"/>
          <w:lang w:val="en-US" w:eastAsia="zh-CN" w:bidi="ar"/>
        </w:rPr>
        <w:t>区住房和城乡建设局始终坚守法治理念，坚定不移地推进依法行政工作。我们充分利用党组会议、党组理论学习中心组以及全局干部职工大会等多种场合，精心策划并组织了多场集中学习活动，深入学习习近平法治思想与《中华人民共和国民法典》《中华人民共和国公务员法》《中华人民共和国建筑法》《中华人民共和国保守国家秘密法》《中华人民共和国消防法》《中华人民共和国行政处罚法》《中华人民共和国安全生产法》以及《物业管理条例》和新颁布的《中华人民共和国反有组织犯罪法》等一系列相关法律法规。这些举措旨在激励广大党员干部积极参与到学习中来，以实际行动提升他们的政治站位和专业素养。</w:t>
      </w:r>
    </w:p>
    <w:p w14:paraId="1602A11C">
      <w:pPr>
        <w:numPr>
          <w:ilvl w:val="0"/>
          <w:numId w:val="0"/>
        </w:numPr>
        <w:ind w:firstLine="640" w:firstLineChars="200"/>
        <w:rPr>
          <w:rFonts w:hint="eastAsia" w:ascii="楷体" w:hAnsi="楷体" w:eastAsia="楷体" w:cs="楷体"/>
          <w:b w:val="0"/>
          <w:bCs w:val="0"/>
          <w:color w:val="000000"/>
          <w:sz w:val="32"/>
          <w:szCs w:val="32"/>
          <w:lang w:eastAsia="zh-CN"/>
        </w:rPr>
      </w:pPr>
      <w:r>
        <w:rPr>
          <w:rFonts w:hint="eastAsia" w:ascii="楷体" w:hAnsi="楷体" w:eastAsia="楷体" w:cs="楷体"/>
          <w:b w:val="0"/>
          <w:bCs w:val="0"/>
          <w:color w:val="000000"/>
          <w:sz w:val="32"/>
          <w:szCs w:val="32"/>
          <w:lang w:eastAsia="zh-CN"/>
        </w:rPr>
        <w:t>（二）强化组织领导，高度重视法治工作</w:t>
      </w:r>
    </w:p>
    <w:p w14:paraId="0614EFA9">
      <w:pPr>
        <w:keepNext w:val="0"/>
        <w:keepLines w:val="0"/>
        <w:widowControl/>
        <w:suppressLineNumbers w:val="0"/>
        <w:ind w:firstLine="672" w:firstLineChars="200"/>
        <w:jc w:val="left"/>
        <w:rPr>
          <w:rFonts w:hint="eastAsia" w:ascii="方正仿宋_GB2312" w:hAnsi="方正仿宋_GB2312" w:eastAsia="方正仿宋_GB2312" w:cs="方正仿宋_GB2312"/>
          <w:color w:val="000000"/>
          <w:spacing w:val="8"/>
          <w:kern w:val="0"/>
          <w:sz w:val="32"/>
          <w:szCs w:val="32"/>
          <w:shd w:val="clear" w:fill="FFFFFF"/>
          <w:lang w:val="en-US" w:eastAsia="zh-CN" w:bidi="ar"/>
        </w:rPr>
      </w:pPr>
      <w:r>
        <w:rPr>
          <w:rFonts w:hint="eastAsia" w:ascii="方正仿宋_GB2312" w:hAnsi="方正仿宋_GB2312" w:eastAsia="方正仿宋_GB2312" w:cs="方正仿宋_GB2312"/>
          <w:color w:val="000000"/>
          <w:spacing w:val="8"/>
          <w:kern w:val="0"/>
          <w:sz w:val="32"/>
          <w:szCs w:val="32"/>
          <w:shd w:val="clear" w:fill="FFFFFF"/>
          <w:lang w:val="en-US" w:eastAsia="zh-CN" w:bidi="ar"/>
        </w:rPr>
        <w:t>区住建局将法治工作纳入年度工作计划，制定工作方案，细化工作任务，全面深入推进依法行政工作，始终把依法行政工作当作构建和谐社会、建设法治政府的关键举措来抓。区住建局主要负责人积极履行推进法治建设第一责任人职责，成立推进依法行政工作领导小组，由区住建局党委（党组）书记、局长谭新成担任组长，程月明、王晓彦为副组长，切实履行推进法治建设第一责任人职责。相关科室负责人为成员，负责组织、协调、推进依法行政工作，切实加强了对住建领域依法行政工作的领导。</w:t>
      </w:r>
    </w:p>
    <w:p w14:paraId="607A6E35">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（三）依法行政，有效防范化解矛盾</w:t>
      </w:r>
    </w:p>
    <w:p w14:paraId="766042B2">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000000"/>
          <w:spacing w:val="8"/>
          <w:kern w:val="0"/>
          <w:sz w:val="32"/>
          <w:szCs w:val="32"/>
          <w:shd w:val="clear" w:fill="FFFFFF"/>
          <w:lang w:val="en-US" w:eastAsia="zh-CN" w:bidi="ar"/>
        </w:rPr>
        <w:t>区住建局制定了以教育帮助为主的信访工作思路，畅通了群众利益诉求渠道，使群众反映的合法合理诉求得到了有效化解。同时，区住建局及执法部门主动作为，广泛开展矛盾纠纷排查调处工作，并对矛盾纠纷排查调处实行动态管理。2025年上半年，累计受理“12345”热线工单114件，城镇发展服务中心接收信访63件，网上信访共12件，问政4件，市住建局转办3件，接待来人来访35人次，信息公开1件，行政案件3件，受理率和办结率均为100%，帮助群众补办各种资料84人次，高质量完成年度人大代表建议和政协提案主办件的答复办理工作，积极回应社会关切。</w:t>
      </w:r>
    </w:p>
    <w:p w14:paraId="50130FE3">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（四）积极实践部署，加强规范落实</w:t>
      </w:r>
    </w:p>
    <w:p w14:paraId="28268874">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加强规范性文件监管，</w:t>
      </w:r>
      <w:r>
        <w:rPr>
          <w:rFonts w:hint="eastAsia" w:ascii="方正仿宋_GB2312" w:hAnsi="方正仿宋_GB2312" w:eastAsia="方正仿宋_GB2312" w:cs="方正仿宋_GB2312"/>
          <w:color w:val="auto"/>
          <w:kern w:val="2"/>
          <w:sz w:val="32"/>
          <w:szCs w:val="32"/>
          <w:lang w:val="en-US" w:eastAsia="zh-CN" w:bidi="ar-SA"/>
        </w:rPr>
        <w:t>一是切实强化规范性文件的备案审查工作。建立健全规范性文件的前置审核机制，优化工作流程，对各级各类规范性文件严格把控政治方向、政策导向、质量标准以及程序合规性和时间效率。对于不符合法律法规与政策规定的内容，要及时予以修订和完善，坚决杜绝文件在存在明显问题的情况下通过审议或发布，确保每一份文件都能做到科学严谨、风格正派且行之有效。二是积极开展规范性文件的清理行动。遵循党内法规及规范性文件清理的工作部署，针对现有规范性文件展开专项清理工作。此举旨在全面提升全局依法行政的整体水平。</w:t>
      </w:r>
    </w:p>
    <w:p w14:paraId="49EDD766">
      <w:pPr>
        <w:keepNext w:val="0"/>
        <w:keepLines w:val="0"/>
        <w:widowControl/>
        <w:numPr>
          <w:ilvl w:val="0"/>
          <w:numId w:val="0"/>
        </w:numPr>
        <w:suppressLineNumbers w:val="0"/>
        <w:ind w:firstLine="640" w:firstLineChars="200"/>
        <w:jc w:val="left"/>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（五）加强法治政府建设工作保障情况</w:t>
      </w:r>
    </w:p>
    <w:p w14:paraId="550E2A94">
      <w:pPr>
        <w:keepNext w:val="0"/>
        <w:keepLines w:val="0"/>
        <w:widowControl/>
        <w:suppressLineNumbers w:val="0"/>
        <w:ind w:firstLine="640" w:firstLineChars="200"/>
        <w:jc w:val="left"/>
        <w:rPr>
          <w:rFonts w:hint="eastAsia" w:ascii="方正仿宋_GB2312" w:hAnsi="方正仿宋_GB2312" w:eastAsia="仿宋_GB2312" w:cs="方正仿宋_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一是</w:t>
      </w:r>
      <w:r>
        <w:rPr>
          <w:rFonts w:hint="eastAsia" w:ascii="方正仿宋_GB2312" w:hAnsi="方正仿宋_GB2312" w:eastAsia="方正仿宋_GB2312" w:cs="方正仿宋_GB2312"/>
          <w:b w:val="0"/>
          <w:bCs w:val="0"/>
          <w:color w:val="000000"/>
          <w:sz w:val="32"/>
          <w:szCs w:val="32"/>
          <w:lang w:val="en-US" w:eastAsia="zh-CN"/>
        </w:rPr>
        <w:t>在城镇燃气安全工作方面。我局深入贯彻习近平总书记关于安全生产工作的重要指示精神，</w:t>
      </w:r>
      <w:r>
        <w:rPr>
          <w:rFonts w:hint="eastAsia" w:ascii="仿宋_GB2312" w:hAnsi="仿宋_GB2312" w:eastAsia="仿宋_GB2312" w:cs="仿宋_GB2312"/>
          <w:sz w:val="32"/>
          <w:szCs w:val="32"/>
        </w:rPr>
        <w:t>今年以来,对辖区内燃气经营单位及液化石油气配送点检查9次，使用燃气的企业128家次，发现85处安全隐患，对使用燃气的流动摊位检查574户次，发现重大安全隐患3处，已全部整改完毕。配合对辖区内燃气梭式窑检查3次，积极推进瓶改管，协调华润燃气完成米堡宝快餐店、昌江文旅食堂等场所“瓶改管”</w:t>
      </w:r>
      <w:r>
        <w:rPr>
          <w:rFonts w:hint="eastAsia" w:ascii="仿宋_GB2312" w:hAnsi="仿宋_GB2312" w:cs="仿宋_GB2312"/>
          <w:sz w:val="32"/>
          <w:szCs w:val="32"/>
          <w:lang w:eastAsia="zh-CN"/>
        </w:rPr>
        <w:t>。</w:t>
      </w:r>
    </w:p>
    <w:p w14:paraId="4B768616">
      <w:pPr>
        <w:keepNext w:val="0"/>
        <w:keepLines w:val="0"/>
        <w:widowControl/>
        <w:suppressLineNumbers w:val="0"/>
        <w:ind w:firstLine="640" w:firstLineChars="200"/>
        <w:jc w:val="left"/>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二是在推动物业管理服务法治化方面。我局致力于探索引导小区治理法治化的有效路径，通过有序的小区治理促进社区治理水平的整体提升。</w:t>
      </w:r>
      <w:r>
        <w:rPr>
          <w:rFonts w:hint="eastAsia" w:ascii="仿宋_GB2312" w:hAnsi="仿宋_GB2312" w:eastAsia="仿宋_GB2312" w:cs="仿宋_GB2312"/>
          <w:kern w:val="2"/>
          <w:sz w:val="32"/>
          <w:szCs w:val="32"/>
          <w:lang w:val="en-US" w:eastAsia="zh-CN" w:bidi="ar-SA"/>
        </w:rPr>
        <w:t>收到反映问题共15件，已解决14件，正在整改跟进1件，现场督查小区物业服务履约情况20余次，指导30个小区公示小区2024年度停车费、广告费等5类公共收益公示，总金额约42万元，同步设立专项监督电话接受业主质询。发布住宅小区物业服务项目 “红黑榜”,约谈3家物业服务企业，下发工作督办单2份。组织辖区内42家物业服务企业参加全国消防安全专题培训会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累计发现 40 处非机动车堵塞消防通道问题并建立整改台账,推进电动自行车充电设施建设，全区电动自行车充电桩端口15568个，新增电动自行车充电桩端口768个，达到标准住宅小区217个。</w:t>
      </w:r>
    </w:p>
    <w:p w14:paraId="2B550BD6">
      <w:pPr>
        <w:keepNext w:val="0"/>
        <w:keepLines w:val="0"/>
        <w:widowControl/>
        <w:suppressLineNumbers w:val="0"/>
        <w:ind w:firstLine="640" w:firstLineChars="200"/>
        <w:jc w:val="left"/>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三是在优化营商环境方面。</w:t>
      </w:r>
      <w:r>
        <w:rPr>
          <w:rFonts w:hint="eastAsia" w:ascii="仿宋_GB2312" w:hAnsi="仿宋_GB2312" w:eastAsia="仿宋_GB2312" w:cs="仿宋_GB2312"/>
          <w:sz w:val="32"/>
          <w:szCs w:val="32"/>
        </w:rPr>
        <w:t>开展“放管服效”改革，</w:t>
      </w:r>
      <w:r>
        <w:rPr>
          <w:rFonts w:hint="eastAsia" w:ascii="仿宋_GB2312" w:hAnsi="仿宋_GB2312" w:eastAsia="仿宋_GB2312" w:cs="仿宋_GB2312"/>
          <w:sz w:val="32"/>
          <w:szCs w:val="32"/>
          <w:lang w:eastAsia="zh-CN"/>
        </w:rPr>
        <w:t>合力</w:t>
      </w:r>
      <w:r>
        <w:rPr>
          <w:rFonts w:hint="eastAsia" w:ascii="仿宋_GB2312" w:hAnsi="仿宋_GB2312" w:eastAsia="仿宋_GB2312" w:cs="仿宋_GB2312"/>
          <w:sz w:val="32"/>
          <w:szCs w:val="32"/>
        </w:rPr>
        <w:t>优化工程审批流程，建立“五个一”工作机制。在营商环境政企圆桌会中，积极协调解决企业反馈问题。</w:t>
      </w:r>
    </w:p>
    <w:p w14:paraId="4D5EDD83">
      <w:pPr>
        <w:keepNext w:val="0"/>
        <w:keepLines w:val="0"/>
        <w:widowControl/>
        <w:suppressLineNumbers w:val="0"/>
        <w:ind w:firstLine="640" w:firstLineChars="200"/>
        <w:jc w:val="left"/>
        <w:rPr>
          <w:rFonts w:hint="eastAsia" w:ascii="方正仿宋_GB2312" w:hAnsi="方正仿宋_GB2312" w:eastAsia="方正仿宋_GB2312" w:cs="方正仿宋_GB2312"/>
          <w:b w:val="0"/>
          <w:bCs w:val="0"/>
          <w:color w:val="000000"/>
          <w:sz w:val="32"/>
          <w:szCs w:val="32"/>
          <w:lang w:val="en-US" w:eastAsia="zh-CN"/>
        </w:rPr>
      </w:pPr>
      <w:r>
        <w:rPr>
          <w:rFonts w:hint="eastAsia" w:ascii="方正仿宋_GB2312" w:hAnsi="方正仿宋_GB2312" w:eastAsia="方正仿宋_GB2312" w:cs="方正仿宋_GB2312"/>
          <w:b w:val="0"/>
          <w:bCs w:val="0"/>
          <w:color w:val="000000"/>
          <w:sz w:val="32"/>
          <w:szCs w:val="32"/>
          <w:lang w:val="en-US" w:eastAsia="zh-CN"/>
        </w:rPr>
        <w:t>四是在全面推进政务公开方面。我局积极参与与区属相关部门、市住建局政务服务科和城建科的合作交流，在日常工作中完成了“放管服”改革、社会信用体系建设和“双随机、一公开”监管等多个领域的材料上传。据统计，2025年上半年我局主动公开的政府信息共计13条。</w:t>
      </w:r>
    </w:p>
    <w:p w14:paraId="5EFA34CE">
      <w:pPr>
        <w:keepNext w:val="0"/>
        <w:keepLines w:val="0"/>
        <w:widowControl/>
        <w:suppressLineNumbers w:val="0"/>
        <w:ind w:firstLine="640" w:firstLineChars="200"/>
        <w:jc w:val="left"/>
        <w:rPr>
          <w:rFonts w:hint="eastAsia" w:ascii="楷体" w:hAnsi="楷体" w:eastAsia="楷体" w:cs="楷体"/>
          <w:color w:val="auto"/>
          <w:kern w:val="2"/>
          <w:sz w:val="32"/>
          <w:szCs w:val="32"/>
          <w:lang w:val="en-US" w:eastAsia="zh-CN" w:bidi="ar-SA"/>
        </w:rPr>
      </w:pPr>
      <w:r>
        <w:rPr>
          <w:rFonts w:hint="eastAsia" w:ascii="楷体" w:hAnsi="楷体" w:eastAsia="楷体" w:cs="楷体"/>
          <w:b w:val="0"/>
          <w:bCs w:val="0"/>
          <w:color w:val="000000"/>
          <w:sz w:val="32"/>
          <w:szCs w:val="32"/>
          <w:lang w:val="en-US" w:eastAsia="zh-CN"/>
        </w:rPr>
        <w:t>（六）广泛宣传，营造浓厚氛围</w:t>
      </w:r>
    </w:p>
    <w:p w14:paraId="2E38BDAD">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1.落实领导干部学法制度。制定了领导干部学法计划，通过党组中心组学习、专题讲座等形式，组织领导干部学习宪法、法律和党内法规，提高领导干部的法治意识和依法决策能力。</w:t>
      </w:r>
    </w:p>
    <w:p w14:paraId="54A47E81">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落实部门普法责任。严格落实“谁执法谁普法”责任制。为营造住房和建设领域良好法治环境，实施全行业全领域普法，开展清单式普法，根据中央、省、市、区委有关文件精神，我局结合工作实际，梳理、制定《昌江区住房和建设局普法责任清单》，详细列明我单位普法职责、普法重点和普法形式等，全面推进“谁执法谁普法”责任制落实、落细。加强执法过程中的实时普法，推进普法进工地、进村居，广泛宣传住建系统的法律法规和主要职能职责。</w:t>
      </w:r>
    </w:p>
    <w:p w14:paraId="6DF075AA">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3.加强执法人员培训。将法治培训纳入执法人员年度培训计划，采取集中培训、岗位练兵、案例分析等形式，加强对执法人员的业务培训和法律知识培训，提高执法人员的执法水平和法律素养。</w:t>
      </w:r>
    </w:p>
    <w:p w14:paraId="4190F39B">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开展法治宣传活动。结合“4.15”安全宣传日、“安全生产月”主题宣传咨询日活动等，通过发放宣传资料、举办法律咨询、开展法治讲座等形式，向广大群众宣传法律法规知识，提高群众的法律意识和维权意识。</w:t>
      </w:r>
    </w:p>
    <w:p w14:paraId="14B0A4A0">
      <w:pPr>
        <w:ind w:firstLine="640" w:firstLineChars="200"/>
        <w:rPr>
          <w:rFonts w:hint="eastAsia" w:ascii="黑体" w:hAnsi="宋体" w:eastAsia="黑体" w:cs="黑体"/>
          <w:b w:val="0"/>
          <w:bCs w:val="0"/>
          <w:color w:val="000000"/>
          <w:sz w:val="32"/>
          <w:szCs w:val="32"/>
          <w:lang w:eastAsia="zh-CN"/>
        </w:rPr>
      </w:pPr>
      <w:r>
        <w:rPr>
          <w:rFonts w:hint="eastAsia" w:ascii="黑体" w:hAnsi="宋体" w:eastAsia="黑体" w:cs="黑体"/>
          <w:b w:val="0"/>
          <w:bCs w:val="0"/>
          <w:color w:val="000000"/>
          <w:sz w:val="32"/>
          <w:szCs w:val="32"/>
          <w:lang w:val="en-US" w:eastAsia="zh-CN"/>
        </w:rPr>
        <w:t>二、</w:t>
      </w:r>
      <w:r>
        <w:rPr>
          <w:rFonts w:hint="eastAsia" w:ascii="黑体" w:hAnsi="宋体" w:eastAsia="黑体" w:cs="黑体"/>
          <w:b w:val="0"/>
          <w:bCs w:val="0"/>
          <w:color w:val="000000"/>
          <w:sz w:val="32"/>
          <w:szCs w:val="32"/>
          <w:lang w:eastAsia="zh-CN"/>
        </w:rPr>
        <w:t>主要存在问题</w:t>
      </w:r>
    </w:p>
    <w:p w14:paraId="0E9B575E">
      <w:pPr>
        <w:numPr>
          <w:ilvl w:val="0"/>
          <w:numId w:val="2"/>
        </w:numPr>
        <w:ind w:firstLine="640" w:firstLineChars="200"/>
        <w:rPr>
          <w:rFonts w:hint="eastAsia" w:ascii="楷体" w:hAnsi="楷体" w:eastAsia="楷体" w:cs="楷体"/>
          <w:b w:val="0"/>
          <w:bCs w:val="0"/>
          <w:color w:val="000000"/>
          <w:sz w:val="32"/>
          <w:szCs w:val="32"/>
          <w:lang w:eastAsia="zh-CN"/>
        </w:rPr>
      </w:pPr>
      <w:r>
        <w:rPr>
          <w:rFonts w:hint="eastAsia" w:ascii="楷体" w:hAnsi="楷体" w:eastAsia="楷体" w:cs="楷体"/>
          <w:b w:val="0"/>
          <w:bCs w:val="0"/>
          <w:color w:val="000000"/>
          <w:sz w:val="32"/>
          <w:szCs w:val="32"/>
          <w:lang w:eastAsia="zh-CN"/>
        </w:rPr>
        <w:t>法治建设工作发展不平衡</w:t>
      </w:r>
    </w:p>
    <w:p w14:paraId="1D4470D8">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部分科室对法治建设工作重视不够，工作开展不够积极主动，存在敷衍应付的现象。法治建设工作在不同科室之间存在发展不平衡的问题。</w:t>
      </w:r>
    </w:p>
    <w:p w14:paraId="5737C9B6">
      <w:pPr>
        <w:numPr>
          <w:ilvl w:val="0"/>
          <w:numId w:val="2"/>
        </w:numPr>
        <w:ind w:firstLine="640" w:firstLineChars="200"/>
        <w:rPr>
          <w:rFonts w:hint="eastAsia" w:ascii="楷体" w:hAnsi="楷体" w:eastAsia="楷体" w:cs="楷体"/>
          <w:b w:val="0"/>
          <w:bCs w:val="0"/>
          <w:color w:val="000000"/>
          <w:sz w:val="32"/>
          <w:szCs w:val="32"/>
          <w:lang w:eastAsia="zh-CN"/>
        </w:rPr>
      </w:pPr>
      <w:r>
        <w:rPr>
          <w:rFonts w:hint="eastAsia" w:ascii="楷体" w:hAnsi="楷体" w:eastAsia="楷体" w:cs="楷体"/>
          <w:b w:val="0"/>
          <w:bCs w:val="0"/>
          <w:color w:val="000000"/>
          <w:sz w:val="32"/>
          <w:szCs w:val="32"/>
          <w:lang w:val="en-US" w:eastAsia="zh-CN"/>
        </w:rPr>
        <w:t>执法人员素质有待提高</w:t>
      </w:r>
    </w:p>
    <w:p w14:paraId="4D93C8FD">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部分执法人员的业务水平和执法能力还不能完全适应新形势下执法工作的需要，存在执法不规范、不严格的问题。执法人员的法律素养和综合素质有待进一步提高。</w:t>
      </w:r>
    </w:p>
    <w:p w14:paraId="0CB676E0">
      <w:pPr>
        <w:numPr>
          <w:ilvl w:val="0"/>
          <w:numId w:val="2"/>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法治宣传教育的形式和内容还不够丰富</w:t>
      </w:r>
    </w:p>
    <w:p w14:paraId="180AA2F5">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法治宣传教育的形式和内容还比较单一，缺乏创新性和吸引力。法治宣传教育的覆盖面还不够广，部分群众的法律意识还比较淡薄。</w:t>
      </w:r>
    </w:p>
    <w:p w14:paraId="28D0A1BA">
      <w:pPr>
        <w:numPr>
          <w:ilvl w:val="0"/>
          <w:numId w:val="2"/>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行政执法监督还存在薄弱环节</w:t>
      </w:r>
    </w:p>
    <w:p w14:paraId="20AEF000">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行政执法监督机制还不够健全，监督力度还不够大。对行政执法行为的监督还存在一些薄弱环节</w:t>
      </w:r>
    </w:p>
    <w:p w14:paraId="6C7F3E4A">
      <w:pPr>
        <w:ind w:firstLine="640" w:firstLineChars="200"/>
        <w:rPr>
          <w:rFonts w:hint="eastAsia" w:ascii="黑体" w:hAnsi="宋体" w:eastAsia="黑体" w:cs="黑体"/>
          <w:b w:val="0"/>
          <w:bCs w:val="0"/>
          <w:color w:val="000000"/>
          <w:sz w:val="32"/>
          <w:szCs w:val="32"/>
          <w:lang w:eastAsia="zh-CN"/>
        </w:rPr>
      </w:pPr>
      <w:r>
        <w:rPr>
          <w:rFonts w:hint="eastAsia" w:ascii="黑体" w:hAnsi="宋体" w:eastAsia="黑体" w:cs="黑体"/>
          <w:b w:val="0"/>
          <w:bCs w:val="0"/>
          <w:color w:val="000000"/>
          <w:sz w:val="32"/>
          <w:szCs w:val="32"/>
          <w:lang w:val="en-US" w:eastAsia="zh-CN"/>
        </w:rPr>
        <w:t>三、2025年下半年</w:t>
      </w:r>
      <w:r>
        <w:rPr>
          <w:rFonts w:hint="eastAsia" w:ascii="黑体" w:hAnsi="宋体" w:eastAsia="黑体" w:cs="黑体"/>
          <w:b w:val="0"/>
          <w:bCs w:val="0"/>
          <w:color w:val="000000"/>
          <w:sz w:val="32"/>
          <w:szCs w:val="32"/>
          <w:lang w:eastAsia="zh-CN"/>
        </w:rPr>
        <w:t>工作打算</w:t>
      </w:r>
    </w:p>
    <w:p w14:paraId="0E75FC16">
      <w:pPr>
        <w:numPr>
          <w:ilvl w:val="0"/>
          <w:numId w:val="0"/>
        </w:numPr>
        <w:ind w:firstLine="640" w:firstLineChars="200"/>
        <w:rPr>
          <w:rFonts w:hint="eastAsia" w:ascii="黑体" w:hAnsi="宋体" w:eastAsia="黑体" w:cs="黑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（一）加强组织领导，推动法治建设工作均衡发展</w:t>
      </w:r>
    </w:p>
    <w:p w14:paraId="6A064789">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进一步加强对法治建设工作的组织领导，加大对法治建设工作的投入力度，确保法治建设工作顺利开展。加强对各科室法治建设工作的指导和督促检查，推动法治建设工作均衡发展。</w:t>
      </w:r>
    </w:p>
    <w:p w14:paraId="5C93D661">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（二）加强队伍建设，提高执法人员素质</w:t>
      </w:r>
    </w:p>
    <w:p w14:paraId="3B4C0E26">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加大对执法人员的培训力度，通过举办培训班、专题讲座、案例分析等形式，提高执法人员的业务水平和执法能力。加强对执法人员的职业道德教育和廉政教育，提高执法人员的法律素养和综合素质。</w:t>
      </w:r>
    </w:p>
    <w:p w14:paraId="79DA1581">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（三）创新法治宣传教育形式和内容，提高法治宣传教育效果</w:t>
      </w:r>
    </w:p>
    <w:p w14:paraId="0F0F503D">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不断创新法治宣传教育形式和内容，增强法治宣传教育的针对性和实效性。充分利用互联网、微信、微博等新媒体平台，开展形式多样的法治宣传教育活动。加强对重点人群的法治宣传教育，提高法治宣传教育的覆盖面。</w:t>
      </w:r>
    </w:p>
    <w:p w14:paraId="71EAEBA9">
      <w:pPr>
        <w:numPr>
          <w:ilvl w:val="0"/>
          <w:numId w:val="0"/>
        </w:numPr>
        <w:ind w:firstLine="640" w:firstLineChars="200"/>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（四）加强行政执法监督，规范行政执法行为</w:t>
      </w:r>
    </w:p>
    <w:p w14:paraId="34165CA8">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进一步健全行政执法监督机制，加大对行政执法行为的监督力度。加强对自由裁量权的监督，规范行政执法行为。建立健全行政执法责任追究制度，对违法执法行为严肃追究责任。</w:t>
      </w:r>
    </w:p>
    <w:p w14:paraId="15AD774E">
      <w:pPr>
        <w:keepNext w:val="0"/>
        <w:keepLines w:val="0"/>
        <w:pageBreakBefore w:val="0"/>
        <w:widowControl w:val="0"/>
        <w:kinsoku/>
        <w:wordWrap/>
        <w:overflowPunct w:val="0"/>
        <w:topLinePunct w:val="0"/>
        <w:autoSpaceDE/>
        <w:autoSpaceDN/>
        <w:bidi w:val="0"/>
        <w:adjustRightInd/>
        <w:snapToGrid w:val="0"/>
        <w:spacing w:line="660" w:lineRule="exact"/>
        <w:ind w:firstLine="640" w:firstLineChars="200"/>
        <w:jc w:val="both"/>
        <w:textAlignment w:val="auto"/>
        <w:outlineLvl w:val="9"/>
        <w:rPr>
          <w:rFonts w:hint="default" w:ascii="Times New Roman" w:hAnsi="Times New Roman"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w:t>
      </w:r>
      <w:r>
        <w:rPr>
          <w:rFonts w:hint="eastAsia"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年</w:t>
      </w:r>
      <w:r>
        <w:rPr>
          <w:rFonts w:hint="eastAsia" w:cs="仿宋_GB2312"/>
          <w:color w:val="auto"/>
          <w:kern w:val="2"/>
          <w:sz w:val="32"/>
          <w:szCs w:val="32"/>
          <w:lang w:val="en-US" w:eastAsia="zh-CN" w:bidi="ar-SA"/>
        </w:rPr>
        <w:t>上半年</w:t>
      </w:r>
      <w:r>
        <w:rPr>
          <w:rFonts w:hint="eastAsia" w:ascii="Times New Roman" w:hAnsi="Times New Roman" w:eastAsia="仿宋_GB2312" w:cs="仿宋_GB2312"/>
          <w:color w:val="auto"/>
          <w:kern w:val="2"/>
          <w:sz w:val="32"/>
          <w:szCs w:val="32"/>
          <w:lang w:val="en-US" w:eastAsia="zh-CN" w:bidi="ar-SA"/>
        </w:rPr>
        <w:t>我局在法治建设工作中取得了一定的成绩，但也存在一些问题和不足。在今后的工作中，我局将以习近平新时代中国特色社会主义思想为指导，深入贯彻落实党的二十大和二十届二中、三中全会精神，紧紧围绕法治政府建设目标，坚持问题导向，采取有效措施，不断加强法治建设，为维护市场秩序、促进经济发展做出更大的贡献。</w:t>
      </w:r>
    </w:p>
    <w:p w14:paraId="2867CAF6">
      <w:pPr>
        <w:keepNext w:val="0"/>
        <w:keepLines w:val="0"/>
        <w:pageBreakBefore w:val="0"/>
        <w:widowControl w:val="0"/>
        <w:kinsoku/>
        <w:wordWrap/>
        <w:overflowPunct w:val="0"/>
        <w:topLinePunct w:val="0"/>
        <w:autoSpaceDE/>
        <w:autoSpaceDN/>
        <w:bidi w:val="0"/>
        <w:adjustRightInd/>
        <w:snapToGrid w:val="0"/>
        <w:spacing w:line="660" w:lineRule="exact"/>
        <w:ind w:firstLine="640" w:firstLineChars="200"/>
        <w:jc w:val="both"/>
        <w:textAlignment w:val="auto"/>
        <w:outlineLvl w:val="9"/>
        <w:rPr>
          <w:rFonts w:hint="default" w:ascii="Times New Roman" w:hAnsi="Times New Roman" w:cs="仿宋_GB2312"/>
          <w:color w:val="auto"/>
          <w:kern w:val="2"/>
          <w:sz w:val="32"/>
          <w:szCs w:val="32"/>
          <w:lang w:val="en-US" w:eastAsia="zh-CN" w:bidi="ar-SA"/>
        </w:rPr>
      </w:pPr>
    </w:p>
    <w:p w14:paraId="04E44929">
      <w:pPr>
        <w:keepNext w:val="0"/>
        <w:keepLines w:val="0"/>
        <w:pageBreakBefore w:val="0"/>
        <w:widowControl w:val="0"/>
        <w:kinsoku/>
        <w:wordWrap/>
        <w:overflowPunct w:val="0"/>
        <w:topLinePunct w:val="0"/>
        <w:autoSpaceDE/>
        <w:autoSpaceDN/>
        <w:bidi w:val="0"/>
        <w:adjustRightInd/>
        <w:snapToGrid w:val="0"/>
        <w:spacing w:line="660" w:lineRule="exact"/>
        <w:ind w:firstLine="640" w:firstLineChars="200"/>
        <w:jc w:val="both"/>
        <w:textAlignment w:val="auto"/>
        <w:outlineLvl w:val="9"/>
        <w:rPr>
          <w:rFonts w:hint="default" w:ascii="Times New Roman" w:hAnsi="Times New Roman" w:cs="仿宋_GB2312"/>
          <w:color w:val="auto"/>
          <w:kern w:val="2"/>
          <w:sz w:val="32"/>
          <w:szCs w:val="32"/>
          <w:lang w:val="en-US" w:eastAsia="zh-CN" w:bidi="ar-SA"/>
        </w:rPr>
      </w:pPr>
    </w:p>
    <w:p w14:paraId="1063D963">
      <w:pPr>
        <w:keepNext w:val="0"/>
        <w:keepLines w:val="0"/>
        <w:pageBreakBefore w:val="0"/>
        <w:widowControl w:val="0"/>
        <w:kinsoku/>
        <w:wordWrap/>
        <w:overflowPunct w:val="0"/>
        <w:topLinePunct w:val="0"/>
        <w:autoSpaceDE/>
        <w:autoSpaceDN/>
        <w:bidi w:val="0"/>
        <w:adjustRightInd/>
        <w:snapToGrid w:val="0"/>
        <w:spacing w:line="660" w:lineRule="exact"/>
        <w:ind w:firstLine="640" w:firstLineChars="200"/>
        <w:jc w:val="right"/>
        <w:textAlignment w:val="auto"/>
        <w:outlineLvl w:val="9"/>
        <w:rPr>
          <w:rFonts w:hint="eastAsia"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昌江区住房和城乡建设局</w:t>
      </w:r>
    </w:p>
    <w:p w14:paraId="513C5F1B">
      <w:pPr>
        <w:keepNext w:val="0"/>
        <w:keepLines w:val="0"/>
        <w:pageBreakBefore w:val="0"/>
        <w:widowControl w:val="0"/>
        <w:kinsoku/>
        <w:wordWrap/>
        <w:overflowPunct w:val="0"/>
        <w:topLinePunct w:val="0"/>
        <w:autoSpaceDE/>
        <w:autoSpaceDN/>
        <w:bidi w:val="0"/>
        <w:adjustRightInd/>
        <w:snapToGrid w:val="0"/>
        <w:spacing w:line="660" w:lineRule="exact"/>
        <w:ind w:firstLine="640" w:firstLineChars="200"/>
        <w:jc w:val="right"/>
        <w:textAlignment w:val="auto"/>
        <w:outlineLvl w:val="9"/>
        <w:rPr>
          <w:rFonts w:hint="eastAsia" w:cs="仿宋_GB2312"/>
          <w:color w:val="auto"/>
          <w:kern w:val="2"/>
          <w:sz w:val="32"/>
          <w:szCs w:val="32"/>
          <w:lang w:val="en-US" w:eastAsia="zh-CN" w:bidi="ar-SA"/>
        </w:rPr>
      </w:pPr>
      <w:bookmarkStart w:id="0" w:name="_GoBack"/>
      <w:bookmarkEnd w:id="0"/>
      <w:r>
        <w:rPr>
          <w:rFonts w:hint="eastAsia" w:cs="仿宋_GB2312"/>
          <w:color w:val="auto"/>
          <w:kern w:val="2"/>
          <w:sz w:val="32"/>
          <w:szCs w:val="32"/>
          <w:lang w:val="en-US" w:eastAsia="zh-CN" w:bidi="ar-SA"/>
        </w:rPr>
        <w:t>2025年6月30日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56693"/>
    <w:multiLevelType w:val="singleLevel"/>
    <w:tmpl w:val="92B56693"/>
    <w:lvl w:ilvl="0" w:tentative="0">
      <w:start w:val="1"/>
      <w:numFmt w:val="chineseCounting"/>
      <w:suff w:val="nothing"/>
      <w:lvlText w:val="（%1）"/>
      <w:lvlJc w:val="left"/>
      <w:rPr>
        <w:rFonts w:hint="eastAsia"/>
      </w:rPr>
    </w:lvl>
  </w:abstractNum>
  <w:abstractNum w:abstractNumId="1">
    <w:nsid w:val="B32C0399"/>
    <w:multiLevelType w:val="singleLevel"/>
    <w:tmpl w:val="B32C039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U0ZGZkYmI3YjViYjFmNjYwOWUwZDA5YWIzODEifQ=="/>
    <w:docVar w:name="KSO_WPS_MARK_KEY" w:val="7b97e99e-f399-4bdc-9c5a-9b2d66b516cf"/>
  </w:docVars>
  <w:rsids>
    <w:rsidRoot w:val="3BC157D9"/>
    <w:rsid w:val="0A8729A8"/>
    <w:rsid w:val="162F115D"/>
    <w:rsid w:val="16CF0A25"/>
    <w:rsid w:val="32DD166E"/>
    <w:rsid w:val="397B72CC"/>
    <w:rsid w:val="399872FE"/>
    <w:rsid w:val="3B152840"/>
    <w:rsid w:val="3BC157D9"/>
    <w:rsid w:val="3FD68060"/>
    <w:rsid w:val="50BF564B"/>
    <w:rsid w:val="50FA083D"/>
    <w:rsid w:val="59AF2775"/>
    <w:rsid w:val="59CE06BC"/>
    <w:rsid w:val="7D7B08EB"/>
    <w:rsid w:val="7FCF03E0"/>
    <w:rsid w:val="D6BF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cs="宋体"/>
      <w:sz w:val="27"/>
      <w:szCs w:val="27"/>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2024-03-06T15:51:00Z</dcterms:created>
  <dc:creator>19332</dc:creator>
  <cp:lastModifiedBy>cjqadmin</cp:lastModifiedBy>
  <dcterms:modified xsi:type="dcterms:W3CDTF">2025-06-30T15:56:24Z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B77C93A1B1044FF82EF961686FF31D38_43</vt:lpwstr>
  </property>
</Properties>
</file>