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BD78">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关于进一步规范</w:t>
      </w:r>
      <w:r>
        <w:rPr>
          <w:rFonts w:hint="eastAsia" w:asciiTheme="minorEastAsia" w:hAnsiTheme="minorEastAsia" w:eastAsiaTheme="minorEastAsia" w:cstheme="minorEastAsia"/>
          <w:b/>
          <w:bCs/>
          <w:sz w:val="44"/>
          <w:szCs w:val="44"/>
          <w:lang w:val="en-US" w:eastAsia="zh-CN"/>
        </w:rPr>
        <w:t>昌江区</w:t>
      </w:r>
      <w:r>
        <w:rPr>
          <w:rFonts w:hint="eastAsia" w:asciiTheme="minorEastAsia" w:hAnsiTheme="minorEastAsia" w:eastAsiaTheme="minorEastAsia" w:cstheme="minorEastAsia"/>
          <w:b/>
          <w:bCs/>
          <w:sz w:val="44"/>
          <w:szCs w:val="44"/>
        </w:rPr>
        <w:t>住宅小区公共收益使用管理相关工作的通知</w:t>
      </w:r>
    </w:p>
    <w:p w14:paraId="5FF57EB9">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cstheme="minorEastAsia"/>
          <w:b/>
          <w:bCs/>
          <w:sz w:val="44"/>
          <w:szCs w:val="44"/>
          <w:lang w:eastAsia="zh-CN"/>
        </w:rPr>
        <w:t>（</w:t>
      </w:r>
      <w:r>
        <w:rPr>
          <w:rFonts w:hint="eastAsia" w:asciiTheme="minorEastAsia" w:hAnsiTheme="minorEastAsia" w:cstheme="minorEastAsia"/>
          <w:b/>
          <w:bCs/>
          <w:sz w:val="44"/>
          <w:szCs w:val="44"/>
          <w:lang w:val="en-US" w:eastAsia="zh-CN"/>
        </w:rPr>
        <w:t>征求意见稿</w:t>
      </w:r>
      <w:bookmarkStart w:id="0" w:name="_GoBack"/>
      <w:bookmarkEnd w:id="0"/>
      <w:r>
        <w:rPr>
          <w:rFonts w:hint="eastAsia" w:asciiTheme="minorEastAsia" w:hAnsiTheme="minorEastAsia" w:cstheme="minorEastAsia"/>
          <w:b/>
          <w:bCs/>
          <w:sz w:val="44"/>
          <w:szCs w:val="44"/>
          <w:lang w:eastAsia="zh-CN"/>
        </w:rPr>
        <w:t>）</w:t>
      </w:r>
    </w:p>
    <w:p w14:paraId="5D1A4584">
      <w:pPr>
        <w:rPr>
          <w:rFonts w:hint="default" w:ascii="Times New Roman" w:hAnsi="Times New Roman" w:eastAsia="仿宋" w:cs="Times New Roman"/>
          <w:sz w:val="32"/>
          <w:szCs w:val="32"/>
        </w:rPr>
      </w:pPr>
    </w:p>
    <w:p w14:paraId="6A97B73D">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w:t>
      </w:r>
      <w:r>
        <w:rPr>
          <w:rFonts w:hint="default" w:ascii="Times New Roman" w:hAnsi="Times New Roman" w:eastAsia="仿宋" w:cs="Times New Roman"/>
          <w:sz w:val="32"/>
          <w:szCs w:val="32"/>
          <w:lang w:val="en-US" w:eastAsia="zh-CN"/>
        </w:rPr>
        <w:t>街道（乡镇）民生服务办公室、</w:t>
      </w:r>
      <w:r>
        <w:rPr>
          <w:rFonts w:hint="eastAsia" w:ascii="Times New Roman" w:hAnsi="Times New Roman" w:eastAsia="仿宋" w:cs="Times New Roman"/>
          <w:sz w:val="32"/>
          <w:szCs w:val="32"/>
          <w:lang w:val="en-US" w:eastAsia="zh-CN"/>
        </w:rPr>
        <w:t>辖区内各</w:t>
      </w:r>
      <w:r>
        <w:rPr>
          <w:rFonts w:hint="default" w:ascii="Times New Roman" w:hAnsi="Times New Roman" w:eastAsia="仿宋" w:cs="Times New Roman"/>
          <w:sz w:val="32"/>
          <w:szCs w:val="32"/>
        </w:rPr>
        <w:t>物业服务企业：</w:t>
      </w:r>
    </w:p>
    <w:p w14:paraId="67A558BE">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为规范</w:t>
      </w:r>
      <w:r>
        <w:rPr>
          <w:rFonts w:hint="default" w:ascii="Times New Roman" w:hAnsi="Times New Roman" w:eastAsia="仿宋" w:cs="Times New Roman"/>
          <w:sz w:val="32"/>
          <w:szCs w:val="32"/>
          <w:lang w:val="en-US" w:eastAsia="zh-CN"/>
        </w:rPr>
        <w:t>昌江区</w:t>
      </w:r>
      <w:r>
        <w:rPr>
          <w:rFonts w:hint="default" w:ascii="Times New Roman" w:hAnsi="Times New Roman" w:eastAsia="仿宋" w:cs="Times New Roman"/>
          <w:sz w:val="32"/>
          <w:szCs w:val="32"/>
        </w:rPr>
        <w:t>住宅小区利用共有部分获取公共收益的归集、使用和管理，规范引导物业服务企业、业主委员会行为，维护业主权益，根据</w:t>
      </w:r>
      <w:r>
        <w:rPr>
          <w:rFonts w:hint="default" w:ascii="Times New Roman" w:hAnsi="Times New Roman" w:eastAsia="仿宋" w:cs="Times New Roman"/>
          <w:sz w:val="32"/>
          <w:szCs w:val="32"/>
          <w:lang w:val="en-US" w:eastAsia="zh-CN"/>
        </w:rPr>
        <w:t>《中华人民共和国民法典》《江西省物业管理条例》等</w:t>
      </w:r>
      <w:r>
        <w:rPr>
          <w:rFonts w:hint="default" w:ascii="Times New Roman" w:hAnsi="Times New Roman" w:eastAsia="仿宋" w:cs="Times New Roman"/>
          <w:sz w:val="32"/>
          <w:szCs w:val="32"/>
        </w:rPr>
        <w:t>相关</w:t>
      </w:r>
      <w:r>
        <w:rPr>
          <w:rFonts w:hint="default" w:ascii="Times New Roman" w:hAnsi="Times New Roman" w:eastAsia="仿宋" w:cs="Times New Roman"/>
          <w:sz w:val="32"/>
          <w:szCs w:val="32"/>
          <w:lang w:val="en-US" w:eastAsia="zh-CN"/>
        </w:rPr>
        <w:t>法律法规及文件</w:t>
      </w:r>
      <w:r>
        <w:rPr>
          <w:rFonts w:hint="default" w:ascii="Times New Roman" w:hAnsi="Times New Roman" w:eastAsia="仿宋" w:cs="Times New Roman"/>
          <w:sz w:val="32"/>
          <w:szCs w:val="32"/>
        </w:rPr>
        <w:t>规定，现将有关事项通知如下：</w:t>
      </w:r>
    </w:p>
    <w:p w14:paraId="2D9A9BFB">
      <w:pPr>
        <w:ind w:firstLine="640" w:firstLineChars="200"/>
        <w:rPr>
          <w:rFonts w:hint="default" w:ascii="Times New Roman" w:hAnsi="Times New Roman" w:eastAsia="仿宋" w:cs="Times New Roman"/>
          <w:sz w:val="32"/>
          <w:szCs w:val="32"/>
        </w:rPr>
      </w:pPr>
      <w:r>
        <w:rPr>
          <w:rFonts w:hint="eastAsia" w:ascii="黑体" w:hAnsi="黑体" w:eastAsia="黑体" w:cs="黑体"/>
          <w:sz w:val="32"/>
          <w:szCs w:val="32"/>
        </w:rPr>
        <w:t>一、公共收益范围</w:t>
      </w:r>
    </w:p>
    <w:p w14:paraId="07B99A28">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公共收益，是指利用住宅小区物业管理区域内业主的共有部位、共有设施设备，用于生产、经营、租赁等获取的收入，扣除法定税收、能耗、人工等管理成本后，获得的收益。一般公共收益包括但不限于：</w:t>
      </w:r>
    </w:p>
    <w:p w14:paraId="4253807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（一）利用非规划类车位、业主共有道路或场地停放车辆所得的收益；</w:t>
      </w:r>
    </w:p>
    <w:p w14:paraId="6929DCA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（二）利用业主共有场地开展商业活动及投放快递柜、饮水机等设施所得的收益；</w:t>
      </w:r>
    </w:p>
    <w:p w14:paraId="5E5A872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（三）利用业主共有场地、灯箱、单元门、外墙、屋面、围墙、大门道闸等设置户外广告，以及利用电梯轿厢、单元门厅、走廊通道等设置室内广告所得的收益；</w:t>
      </w:r>
    </w:p>
    <w:p w14:paraId="1232FE8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（四）利用全体业主共有的文体设施所得的收益；</w:t>
      </w:r>
    </w:p>
    <w:p w14:paraId="5DC10A3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（五）利用业主共有的配套房屋所得的收益；</w:t>
      </w:r>
    </w:p>
    <w:p w14:paraId="4B4F359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（六）对通信运营商设立的通信基站等设备所收取的占地费或场地费；</w:t>
      </w:r>
    </w:p>
    <w:p w14:paraId="4FDFBC6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（七）公共收益利息等其他收入。</w:t>
      </w:r>
    </w:p>
    <w:p w14:paraId="59B1D96B">
      <w:pPr>
        <w:ind w:firstLine="640" w:firstLineChars="200"/>
        <w:rPr>
          <w:rFonts w:hint="default" w:ascii="黑体" w:hAnsi="黑体" w:eastAsia="黑体" w:cs="黑体"/>
          <w:sz w:val="32"/>
          <w:szCs w:val="32"/>
        </w:rPr>
      </w:pPr>
      <w:r>
        <w:rPr>
          <w:rFonts w:hint="default" w:ascii="黑体" w:hAnsi="黑体" w:eastAsia="黑体" w:cs="黑体"/>
          <w:sz w:val="32"/>
          <w:szCs w:val="32"/>
        </w:rPr>
        <w:t>二、公共收益获取</w:t>
      </w:r>
    </w:p>
    <w:p w14:paraId="4CA4EFE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小区公共收益的获取应当符合</w:t>
      </w:r>
      <w:r>
        <w:rPr>
          <w:rFonts w:hint="default" w:ascii="Times New Roman" w:hAnsi="Times New Roman" w:eastAsia="仿宋" w:cs="Times New Roman"/>
          <w:sz w:val="32"/>
          <w:szCs w:val="32"/>
          <w:lang w:eastAsia="zh-CN"/>
        </w:rPr>
        <w:t>《中华人民共和国民法典》</w:t>
      </w:r>
      <w:r>
        <w:rPr>
          <w:rFonts w:hint="default" w:ascii="Times New Roman" w:hAnsi="Times New Roman" w:eastAsia="仿宋" w:cs="Times New Roman"/>
          <w:sz w:val="32"/>
          <w:szCs w:val="32"/>
          <w:lang w:val="en-US" w:eastAsia="zh-CN"/>
        </w:rPr>
        <w:t>第六章业主的建筑物区分所有权</w:t>
      </w:r>
      <w:r>
        <w:rPr>
          <w:rFonts w:hint="default" w:ascii="Times New Roman" w:hAnsi="Times New Roman" w:eastAsia="仿宋" w:cs="Times New Roman"/>
          <w:sz w:val="32"/>
          <w:szCs w:val="32"/>
        </w:rPr>
        <w:t>的规定，不得擅自改变房屋及设施设备的用途，不得妨碍业主和使用人正常使用物业，不得影响物业使用安全。签订公共收益合同应遵循下列程序：</w:t>
      </w:r>
    </w:p>
    <w:p w14:paraId="75D7A54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（一）前期物业服务期间（成立业主大会前），利用非规划类车位、业主共有道路或场地停放车辆获取的收益，其管理成本应当在《前期物业服务合同》中予以约定。其他公共收益由物业服务企业签订合同后</w:t>
      </w:r>
      <w:r>
        <w:rPr>
          <w:rFonts w:hint="default" w:ascii="Times New Roman" w:hAnsi="Times New Roman" w:eastAsia="仿宋" w:cs="Times New Roman"/>
          <w:sz w:val="32"/>
          <w:szCs w:val="32"/>
          <w:lang w:val="en-US" w:eastAsia="zh-CN"/>
        </w:rPr>
        <w:t>30日</w:t>
      </w:r>
      <w:r>
        <w:rPr>
          <w:rFonts w:hint="default" w:ascii="Times New Roman" w:hAnsi="Times New Roman" w:eastAsia="仿宋" w:cs="Times New Roman"/>
          <w:sz w:val="32"/>
          <w:szCs w:val="32"/>
        </w:rPr>
        <w:t>内向</w:t>
      </w:r>
      <w:r>
        <w:rPr>
          <w:rFonts w:hint="default" w:ascii="Times New Roman" w:hAnsi="Times New Roman" w:eastAsia="仿宋" w:cs="Times New Roman"/>
          <w:sz w:val="32"/>
          <w:szCs w:val="32"/>
          <w:lang w:val="en-US" w:eastAsia="zh-CN"/>
        </w:rPr>
        <w:t>所在社区居委会报备</w:t>
      </w:r>
      <w:r>
        <w:rPr>
          <w:rFonts w:hint="default" w:ascii="Times New Roman" w:hAnsi="Times New Roman" w:eastAsia="仿宋" w:cs="Times New Roman"/>
          <w:sz w:val="32"/>
          <w:szCs w:val="32"/>
        </w:rPr>
        <w:t>。物业服务企业代为收取、保管业主公共收益资金的管理费扣除比例，普通住宅前期物业期间，按不超过收益资金的40%扣除。</w:t>
      </w:r>
    </w:p>
    <w:p w14:paraId="398C4713">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（二）业主大会成立后，公共收益的获取应当依法</w:t>
      </w:r>
      <w:r>
        <w:rPr>
          <w:rFonts w:hint="default" w:ascii="Times New Roman" w:hAnsi="Times New Roman" w:eastAsia="仿宋" w:cs="Times New Roman"/>
          <w:sz w:val="32"/>
          <w:szCs w:val="32"/>
          <w:lang w:val="en-US" w:eastAsia="zh-CN"/>
        </w:rPr>
        <w:t>按照《中华人民共和国民法典》第278条之规定，</w:t>
      </w:r>
      <w:r>
        <w:rPr>
          <w:rFonts w:hint="default" w:ascii="Times New Roman" w:hAnsi="Times New Roman" w:eastAsia="仿宋" w:cs="Times New Roman"/>
          <w:sz w:val="32"/>
          <w:szCs w:val="32"/>
        </w:rPr>
        <w:t>经业主大会表决同意。业主委员会签订合同后</w:t>
      </w:r>
      <w:r>
        <w:rPr>
          <w:rFonts w:hint="default" w:ascii="Times New Roman" w:hAnsi="Times New Roman" w:eastAsia="仿宋" w:cs="Times New Roman"/>
          <w:sz w:val="32"/>
          <w:szCs w:val="32"/>
          <w:lang w:val="en-US" w:eastAsia="zh-CN"/>
        </w:rPr>
        <w:t>30日</w:t>
      </w:r>
      <w:r>
        <w:rPr>
          <w:rFonts w:hint="default" w:ascii="Times New Roman" w:hAnsi="Times New Roman" w:eastAsia="仿宋" w:cs="Times New Roman"/>
          <w:sz w:val="32"/>
          <w:szCs w:val="32"/>
        </w:rPr>
        <w:t>内向</w:t>
      </w:r>
      <w:r>
        <w:rPr>
          <w:rFonts w:hint="default" w:ascii="Times New Roman" w:hAnsi="Times New Roman" w:eastAsia="仿宋" w:cs="Times New Roman"/>
          <w:sz w:val="32"/>
          <w:szCs w:val="32"/>
          <w:lang w:val="en-US" w:eastAsia="zh-CN"/>
        </w:rPr>
        <w:t>所在地社区居委会报备。</w:t>
      </w:r>
    </w:p>
    <w:p w14:paraId="558ADCC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（三）业主委员会、物业服务企业将签订的合同应当在小区及楼道宣传栏</w:t>
      </w:r>
      <w:r>
        <w:rPr>
          <w:rFonts w:hint="default" w:ascii="Times New Roman" w:hAnsi="Times New Roman" w:eastAsia="仿宋" w:cs="Times New Roman"/>
          <w:sz w:val="32"/>
          <w:szCs w:val="32"/>
          <w:lang w:val="en-US" w:eastAsia="zh-CN"/>
        </w:rPr>
        <w:t>公示不少于15天，</w:t>
      </w:r>
      <w:r>
        <w:rPr>
          <w:rFonts w:hint="default" w:ascii="Times New Roman" w:hAnsi="Times New Roman" w:eastAsia="仿宋" w:cs="Times New Roman"/>
          <w:sz w:val="32"/>
          <w:szCs w:val="32"/>
        </w:rPr>
        <w:t>内容应包含共用部位具体位置、公共收益来源、收益周期、收入金额、管理成本、分配方式等内容。</w:t>
      </w:r>
    </w:p>
    <w:p w14:paraId="10AAD96E">
      <w:pPr>
        <w:ind w:firstLine="640" w:firstLineChars="200"/>
        <w:rPr>
          <w:rFonts w:hint="default" w:ascii="Times New Roman" w:hAnsi="Times New Roman" w:eastAsia="仿宋" w:cs="Times New Roman"/>
          <w:sz w:val="32"/>
          <w:szCs w:val="32"/>
        </w:rPr>
      </w:pPr>
      <w:r>
        <w:rPr>
          <w:rFonts w:hint="default" w:ascii="黑体" w:hAnsi="黑体" w:eastAsia="黑体" w:cs="黑体"/>
          <w:sz w:val="32"/>
          <w:szCs w:val="32"/>
        </w:rPr>
        <w:t>三、公共收益权属</w:t>
      </w:r>
    </w:p>
    <w:p w14:paraId="5D015F9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小区公共收益扣除管理运营合理成本后</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不超过收益资金的40%扣除</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，剩余部分归全体业主所有。</w:t>
      </w:r>
    </w:p>
    <w:p w14:paraId="561F0331">
      <w:pPr>
        <w:ind w:firstLine="640" w:firstLineChars="200"/>
        <w:rPr>
          <w:rFonts w:hint="default" w:ascii="黑体" w:hAnsi="黑体" w:eastAsia="黑体" w:cs="黑体"/>
          <w:sz w:val="32"/>
          <w:szCs w:val="32"/>
        </w:rPr>
      </w:pPr>
      <w:r>
        <w:rPr>
          <w:rFonts w:hint="default" w:ascii="黑体" w:hAnsi="黑体" w:eastAsia="黑体" w:cs="黑体"/>
          <w:sz w:val="32"/>
          <w:szCs w:val="32"/>
          <w:lang w:val="en-US" w:eastAsia="zh-CN"/>
        </w:rPr>
        <w:t>四</w:t>
      </w:r>
      <w:r>
        <w:rPr>
          <w:rFonts w:hint="default" w:ascii="黑体" w:hAnsi="黑体" w:eastAsia="黑体" w:cs="黑体"/>
          <w:sz w:val="32"/>
          <w:szCs w:val="32"/>
        </w:rPr>
        <w:t>、</w:t>
      </w:r>
      <w:r>
        <w:rPr>
          <w:rFonts w:hint="default" w:ascii="黑体" w:hAnsi="黑体" w:eastAsia="黑体" w:cs="黑体"/>
          <w:sz w:val="32"/>
          <w:szCs w:val="32"/>
          <w:lang w:val="en-US" w:eastAsia="zh-CN"/>
        </w:rPr>
        <w:t>公</w:t>
      </w:r>
      <w:r>
        <w:rPr>
          <w:rFonts w:hint="default" w:ascii="黑体" w:hAnsi="黑体" w:eastAsia="黑体" w:cs="黑体"/>
          <w:sz w:val="32"/>
          <w:szCs w:val="32"/>
        </w:rPr>
        <w:t>共收益账户管理</w:t>
      </w:r>
    </w:p>
    <w:p w14:paraId="74DB26C0">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共收益监管账户是指前期物业服务企业在银行开设的，或者业主大会委托的管理单位在银行代为开设的。一个物业管理区域应当开设一个专户存储公共收益，不得以任何个人名义进行存储和管理。公共收益应当专户储存、单独列账、独立核</w:t>
      </w:r>
      <w:r>
        <w:rPr>
          <w:rFonts w:hint="default" w:ascii="Times New Roman" w:hAnsi="Times New Roman" w:eastAsia="仿宋" w:cs="Times New Roman"/>
          <w:sz w:val="32"/>
          <w:szCs w:val="32"/>
          <w:lang w:val="en-US" w:eastAsia="zh-CN"/>
        </w:rPr>
        <w:t>算、每半年进行公示，公</w:t>
      </w:r>
      <w:r>
        <w:rPr>
          <w:rFonts w:hint="default" w:ascii="Times New Roman" w:hAnsi="Times New Roman" w:eastAsia="仿宋" w:cs="Times New Roman"/>
          <w:sz w:val="32"/>
          <w:szCs w:val="32"/>
        </w:rPr>
        <w:t>共收益管理单位不得伪造、变造、隐匿、故意销毁公共收益相关会计资料。</w:t>
      </w:r>
    </w:p>
    <w:p w14:paraId="1D2A0AD0">
      <w:pPr>
        <w:ind w:firstLine="640" w:firstLineChars="200"/>
        <w:rPr>
          <w:rFonts w:hint="default" w:ascii="黑体" w:hAnsi="黑体" w:eastAsia="黑体" w:cs="黑体"/>
          <w:sz w:val="32"/>
          <w:szCs w:val="32"/>
        </w:rPr>
      </w:pPr>
      <w:r>
        <w:rPr>
          <w:rFonts w:hint="default" w:ascii="黑体" w:hAnsi="黑体" w:eastAsia="黑体" w:cs="黑体"/>
          <w:sz w:val="32"/>
          <w:szCs w:val="32"/>
          <w:lang w:val="en-US" w:eastAsia="zh-CN"/>
        </w:rPr>
        <w:t>五</w:t>
      </w:r>
      <w:r>
        <w:rPr>
          <w:rFonts w:hint="default" w:ascii="黑体" w:hAnsi="黑体" w:eastAsia="黑体" w:cs="黑体"/>
          <w:sz w:val="32"/>
          <w:szCs w:val="32"/>
        </w:rPr>
        <w:t>、公共收益经营管理</w:t>
      </w:r>
    </w:p>
    <w:p w14:paraId="76E516B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前期物业服务期间（成立业主大会前），小区公共收益暂由物业服务企业经营管理。物业服务企业在代为管理公共收益期间应当遵循勤勉尽职、诚实守信原则，如实登记账目明细，并留存与公共收益相关的发票、收据、银行对账单、合同等凭证，在业主大会成立后将加盖企业公章的明细账目和相关凭证提交业主大会。</w:t>
      </w:r>
    </w:p>
    <w:p w14:paraId="341E85C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业主大会成立后，公共收益管理单位由业主共同决定，业主可以委托业主委员会、物业管理委员会、物业服务企业管理公共收益。业主可以按法定程序在管理规约、议事规则、物业服务合同中约定公共收益管理单位、管理费用、分配比例、分配方式等。</w:t>
      </w:r>
    </w:p>
    <w:p w14:paraId="2B5D9AC8">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业主公共收益委托物业服务企业管理的，委托管理合同期限不得超过物业服务合同中约定的合同期限；业主大会授权业主委员会或者物业管理委员会管理的，授权期限不得超过业主委员会或者物业管理委员会任期。授权委托书、物业服务合同或者委托合同应当在签订之日起7日内，在住宅小区和各楼栋出入口等显著位置公示，公示期不少于30日。</w:t>
      </w:r>
    </w:p>
    <w:p w14:paraId="6C30D7AA">
      <w:pPr>
        <w:ind w:firstLine="640" w:firstLineChars="200"/>
        <w:rPr>
          <w:rFonts w:hint="default" w:ascii="黑体" w:hAnsi="黑体" w:eastAsia="黑体" w:cs="黑体"/>
          <w:sz w:val="32"/>
          <w:szCs w:val="32"/>
        </w:rPr>
      </w:pPr>
      <w:r>
        <w:rPr>
          <w:rFonts w:hint="default" w:ascii="黑体" w:hAnsi="黑体" w:eastAsia="黑体" w:cs="黑体"/>
          <w:sz w:val="32"/>
          <w:szCs w:val="32"/>
        </w:rPr>
        <w:t>六、公共收益使用范围</w:t>
      </w:r>
    </w:p>
    <w:p w14:paraId="5D5CC7A0">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公共收益应当主要用于补充房屋专项维修资金，按照《中华人民共和国民法典》第278条经业主大会</w:t>
      </w:r>
      <w:r>
        <w:rPr>
          <w:rFonts w:hint="default" w:ascii="Times New Roman" w:hAnsi="Times New Roman" w:eastAsia="仿宋" w:cs="Times New Roman"/>
          <w:sz w:val="32"/>
          <w:szCs w:val="32"/>
          <w:lang w:val="en-US" w:eastAsia="zh-CN"/>
        </w:rPr>
        <w:t>表决同意</w:t>
      </w:r>
      <w:r>
        <w:rPr>
          <w:rFonts w:hint="default" w:ascii="Times New Roman" w:hAnsi="Times New Roman" w:eastAsia="仿宋" w:cs="Times New Roman"/>
          <w:sz w:val="32"/>
          <w:szCs w:val="32"/>
        </w:rPr>
        <w:t>，公共收益可以用于下列支出：</w:t>
      </w:r>
    </w:p>
    <w:p w14:paraId="72DA12A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（一）共用部位、共用设施设备的更新、改造、维修养护费用和共用设施设备保险；</w:t>
      </w:r>
    </w:p>
    <w:p w14:paraId="5860DD9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（二）共用部位、共用设施设备的应急处置费用；</w:t>
      </w:r>
    </w:p>
    <w:p w14:paraId="76C53414">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（三）筹备成立召开业主大会和业主委员会工作经费；</w:t>
      </w:r>
    </w:p>
    <w:p w14:paraId="451B554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（四）业主委员会人员的报酬或补贴；</w:t>
      </w:r>
    </w:p>
    <w:p w14:paraId="3D10791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（五）对公共收益的审计、信息公开费用、税费；</w:t>
      </w:r>
    </w:p>
    <w:p w14:paraId="644966E0">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（六）业主共同决定用于物业服务的其他费用。</w:t>
      </w:r>
    </w:p>
    <w:p w14:paraId="4F98D84E">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共收益管理单位应在小区管理规约、公共收益使用办法中约定公共收益列支的相关内容，应当制定公共收益年度使用计划，经业主大会决定后使用公共收益。任何单位和个人不得非法侵占、处分或者挪用公共收益。</w:t>
      </w:r>
    </w:p>
    <w:p w14:paraId="0E4293A1">
      <w:pPr>
        <w:ind w:firstLine="640" w:firstLineChars="200"/>
        <w:rPr>
          <w:rFonts w:hint="default" w:ascii="黑体" w:hAnsi="黑体" w:eastAsia="黑体" w:cs="黑体"/>
          <w:sz w:val="32"/>
          <w:szCs w:val="32"/>
        </w:rPr>
      </w:pPr>
      <w:r>
        <w:rPr>
          <w:rFonts w:hint="default" w:ascii="黑体" w:hAnsi="黑体" w:eastAsia="黑体" w:cs="黑体"/>
          <w:sz w:val="32"/>
          <w:szCs w:val="32"/>
        </w:rPr>
        <w:t>七、公共收益使用程序</w:t>
      </w:r>
    </w:p>
    <w:p w14:paraId="587A4900">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前期物业服务期间（成立业主大会前），由物业服务企业制定公共收益使用方案。使用方案应当包括业主公共收益资金用途、预算、项目实施时间安排、监督方式以及是否需要审计审价等内容。符合使用范围的提交全体或相关业主，按照《中华人民共和国民法典》第278条进行表决，表决通过后由物业服务企业组织实施。</w:t>
      </w:r>
    </w:p>
    <w:p w14:paraId="0FFF353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业主大会成立后，符合小区议事规则、管理规约规定的，由业主委员会制定公共收益使用方案，提交全体或相关业主进行表决，按照《中华人民共和国民法典》第278条进行表决，表决通过后由业主委员会组织实施。</w:t>
      </w:r>
    </w:p>
    <w:p w14:paraId="66A552C5">
      <w:pPr>
        <w:ind w:firstLine="640" w:firstLineChars="200"/>
        <w:rPr>
          <w:rFonts w:hint="default" w:ascii="黑体" w:hAnsi="黑体" w:eastAsia="黑体" w:cs="黑体"/>
          <w:sz w:val="32"/>
          <w:szCs w:val="32"/>
        </w:rPr>
      </w:pPr>
      <w:r>
        <w:rPr>
          <w:rFonts w:hint="default" w:ascii="黑体" w:hAnsi="黑体" w:eastAsia="黑体" w:cs="黑体"/>
          <w:sz w:val="32"/>
          <w:szCs w:val="32"/>
        </w:rPr>
        <w:t>八、公共收益公示管理</w:t>
      </w:r>
    </w:p>
    <w:p w14:paraId="6EF7264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共收益应当单独列账、按规定公布账目。公共收益管理单位应当每半年对公共收益予以结算，并将具体收支事项明细表公示张贴于小区及楼道内宣传栏，同时通过小区业主微信群等方式告知全体业主，公示期不少于1个月。公示情况同步所在地物业管理部门留档。业主有异议的，业主委员会或物业服务企业等应当自受理异议申请的5日内接受业主查询。业主对查询内容仍有异议的，</w:t>
      </w:r>
      <w:r>
        <w:rPr>
          <w:rFonts w:hint="default" w:ascii="Times New Roman" w:hAnsi="Times New Roman" w:eastAsia="仿宋" w:cs="Times New Roman"/>
          <w:sz w:val="32"/>
          <w:szCs w:val="32"/>
          <w:lang w:val="en-US" w:eastAsia="zh-CN"/>
        </w:rPr>
        <w:t>告知属地社区或昌江区城镇发展服务中心</w:t>
      </w:r>
      <w:r>
        <w:rPr>
          <w:rFonts w:hint="default" w:ascii="Times New Roman" w:hAnsi="Times New Roman" w:eastAsia="仿宋" w:cs="Times New Roman"/>
          <w:sz w:val="32"/>
          <w:szCs w:val="32"/>
        </w:rPr>
        <w:t>及时协调处理。</w:t>
      </w:r>
    </w:p>
    <w:p w14:paraId="584D319C">
      <w:pPr>
        <w:ind w:firstLine="640" w:firstLineChars="200"/>
        <w:rPr>
          <w:rFonts w:hint="default" w:ascii="黑体" w:hAnsi="黑体" w:eastAsia="黑体" w:cs="黑体"/>
          <w:sz w:val="32"/>
          <w:szCs w:val="32"/>
        </w:rPr>
      </w:pPr>
      <w:r>
        <w:rPr>
          <w:rFonts w:hint="default" w:ascii="黑体" w:hAnsi="黑体" w:eastAsia="黑体" w:cs="黑体"/>
          <w:sz w:val="32"/>
          <w:szCs w:val="32"/>
        </w:rPr>
        <w:t>九、公共收益指导监督</w:t>
      </w:r>
    </w:p>
    <w:p w14:paraId="196E26A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（一）前期物业服务期间（成立业主大会前），物业服务企业应当将公共收益的收支情况纳入年度财务审计，社区居委会要加强监督。</w:t>
      </w:r>
    </w:p>
    <w:p w14:paraId="45A913B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（二）业主大会成立后，业主委员会应当将公共收益的收支情况、业主委员会工作经费纳入年度财务审计，并向所在地社区居委会报备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社区居委会要加强监督审核。年度审计费用从小区公共收益中列支。</w:t>
      </w:r>
    </w:p>
    <w:p w14:paraId="53187F44">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（三）业主委员会任期届满前，应当在换届改选小组的指导下将公共收益的使用情况、业主委员会工作经费纳入换届财务审计。</w:t>
      </w:r>
    </w:p>
    <w:p w14:paraId="67A5CC74">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（四）前期物业服务期间、业主大会成立后以及业主委员会任期届满均需对审计结果在物业小区宣传栏公告30日，并接受业主查询。</w:t>
      </w:r>
    </w:p>
    <w:p w14:paraId="774A6768">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业主对审计结果有异议的，经业主总户数和总面积数20%以上业主联名向所在地街道办事处提出书面申请后，由街道办事处组织另行审计。审计结果异议成立的，审计费用从公共收益资金中列支；审计结果异议不成立的，审计费用由联名业主共同承担。</w:t>
      </w:r>
    </w:p>
    <w:p w14:paraId="46384E3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（六）业主发现公共收益管理单位有违反本小区公共收益归集使用行为的，经业主总户数和总面积数20%以上业主联名向所在地街道办事处提出书面申请后，由街道办事处</w:t>
      </w:r>
      <w:r>
        <w:rPr>
          <w:rFonts w:hint="default" w:ascii="Times New Roman" w:hAnsi="Times New Roman" w:eastAsia="仿宋" w:cs="Times New Roman"/>
          <w:sz w:val="32"/>
          <w:szCs w:val="32"/>
          <w:lang w:val="en-US" w:eastAsia="zh-CN"/>
        </w:rPr>
        <w:t>进行核查，或</w:t>
      </w:r>
      <w:r>
        <w:rPr>
          <w:rFonts w:hint="default" w:ascii="Times New Roman" w:hAnsi="Times New Roman" w:eastAsia="仿宋" w:cs="Times New Roman"/>
          <w:sz w:val="32"/>
          <w:szCs w:val="32"/>
        </w:rPr>
        <w:t>可依法向人民法院提起民事诉讼，维护业主合法权益。</w:t>
      </w:r>
    </w:p>
    <w:p w14:paraId="05C7151D">
      <w:pPr>
        <w:ind w:firstLine="640" w:firstLineChars="200"/>
        <w:rPr>
          <w:rFonts w:hint="default" w:ascii="黑体" w:hAnsi="黑体" w:eastAsia="黑体" w:cs="黑体"/>
          <w:sz w:val="32"/>
          <w:szCs w:val="32"/>
        </w:rPr>
      </w:pPr>
      <w:r>
        <w:rPr>
          <w:rFonts w:hint="default" w:ascii="黑体" w:hAnsi="黑体" w:eastAsia="黑体" w:cs="黑体"/>
          <w:sz w:val="32"/>
          <w:szCs w:val="32"/>
        </w:rPr>
        <w:t>十、公共收益移交形式</w:t>
      </w:r>
    </w:p>
    <w:p w14:paraId="2881AF0D">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（一）物业服务终止或更换的，应在物业服务合同终止之日</w:t>
      </w:r>
      <w:r>
        <w:rPr>
          <w:rFonts w:hint="default" w:ascii="Times New Roman" w:hAnsi="Times New Roman" w:eastAsia="仿宋" w:cs="Times New Roman"/>
          <w:sz w:val="32"/>
          <w:szCs w:val="32"/>
          <w:lang w:val="en-US" w:eastAsia="zh-CN"/>
        </w:rPr>
        <w:t>后30</w:t>
      </w:r>
      <w:r>
        <w:rPr>
          <w:rFonts w:hint="default" w:ascii="Times New Roman" w:hAnsi="Times New Roman" w:eastAsia="仿宋" w:cs="Times New Roman"/>
          <w:sz w:val="32"/>
          <w:szCs w:val="32"/>
        </w:rPr>
        <w:t>日内，由物业服务企业向业主委员会移交公共收益相关资料，包括凭证、报表、对账单等。无业主委员会的，由社区居委会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物业管理委员会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进行资料保存。</w:t>
      </w:r>
    </w:p>
    <w:p w14:paraId="5AFDC1A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（二）成立业主大会后，物业服务企业应当将加盖企业公章的收益明细账目和相关凭证移交业主委员会，有关资金应在社区居委会的监管下进行移交。</w:t>
      </w:r>
    </w:p>
    <w:p w14:paraId="1B805FE0">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街道办事处组织换届小组进行换届的，业主委员会应当自换届小组成立10日内，将公共收益相关资料移交换届小组。换届小组应当在新一届业主委员会选举完成10日内，将其保管的公共收益相关资料移交新一届业主委员会。</w:t>
      </w:r>
    </w:p>
    <w:p w14:paraId="3EBA072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业主委员会集体辞职、任期届满仍未选举产生新一届业主委员会或委员人数不足二分之一的，原业主委员会应在10日内将其保管的公共收益相关材料移交社区居委会暂时保管。待新一届业主委员会产生后，由社区居委会与其进行移交。</w:t>
      </w:r>
    </w:p>
    <w:p w14:paraId="4A30B54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（五）物业服务企业、业主委员会不按规定移交公共收益的由社区居委会督促其移交；拒不移交的由街道办事处召集物业管理联席会议协调解决。</w:t>
      </w:r>
    </w:p>
    <w:p w14:paraId="7319EEC8">
      <w:pPr>
        <w:ind w:firstLine="640" w:firstLineChars="200"/>
        <w:rPr>
          <w:rFonts w:hint="default" w:ascii="Times New Roman" w:hAnsi="Times New Roman" w:eastAsia="仿宋" w:cs="Times New Roman"/>
          <w:sz w:val="32"/>
          <w:szCs w:val="32"/>
        </w:rPr>
      </w:pPr>
      <w:r>
        <w:rPr>
          <w:rFonts w:hint="default" w:ascii="黑体" w:hAnsi="黑体" w:eastAsia="黑体" w:cs="黑体"/>
          <w:sz w:val="32"/>
          <w:szCs w:val="32"/>
        </w:rPr>
        <w:t>十一、公共收益违规行为的处罚</w:t>
      </w:r>
    </w:p>
    <w:p w14:paraId="0DF32818">
      <w:pPr>
        <w:ind w:firstLine="640" w:firstLineChars="200"/>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对物业服务企业、业主委员会不按规定管理、使用、公示、移交小区公共收益的，除法律法规规定的上述监管处罚措施外，将其纳入物业服务企业信用考核，依据考核规定予以扣分处理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业主委员会或其成员则按照《昌江区业主委员会及其成员履职负面清单》进行处理</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情节严重的，将移交公安机关处置。</w:t>
      </w:r>
    </w:p>
    <w:p w14:paraId="000D0B18">
      <w:pPr>
        <w:rPr>
          <w:rFonts w:hint="default" w:ascii="Times New Roman" w:hAnsi="Times New Roman" w:eastAsia="仿宋" w:cs="Times New Roman"/>
          <w:sz w:val="32"/>
          <w:szCs w:val="32"/>
        </w:rPr>
      </w:pPr>
    </w:p>
    <w:p w14:paraId="10B9940D">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小区公共收益收支情况表</w:t>
      </w:r>
      <w:r>
        <w:rPr>
          <w:rFonts w:hint="default" w:ascii="Times New Roman" w:hAnsi="Times New Roman" w:eastAsia="仿宋" w:cs="Times New Roman"/>
          <w:sz w:val="32"/>
          <w:szCs w:val="32"/>
        </w:rPr>
        <w:t>（示范文本）》</w:t>
      </w:r>
    </w:p>
    <w:p w14:paraId="27D2BE55">
      <w:pPr>
        <w:rPr>
          <w:rFonts w:hint="default" w:ascii="Times New Roman" w:hAnsi="Times New Roman" w:eastAsia="仿宋" w:cs="Times New Roman"/>
          <w:sz w:val="32"/>
          <w:szCs w:val="32"/>
        </w:rPr>
      </w:pPr>
    </w:p>
    <w:p w14:paraId="58457476">
      <w:pPr>
        <w:rPr>
          <w:rFonts w:hint="default" w:ascii="Times New Roman" w:hAnsi="Times New Roman" w:eastAsia="仿宋" w:cs="Times New Roman"/>
          <w:sz w:val="32"/>
          <w:szCs w:val="32"/>
        </w:rPr>
      </w:pPr>
    </w:p>
    <w:p w14:paraId="04273029">
      <w:pPr>
        <w:ind w:firstLine="4160" w:firstLineChars="13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昌江区住房和城乡建设局</w:t>
      </w:r>
    </w:p>
    <w:p w14:paraId="4FA0831E">
      <w:pPr>
        <w:ind w:firstLine="4800" w:firstLineChars="1500"/>
        <w:rPr>
          <w:rFonts w:hint="eastAsia" w:ascii="仿宋" w:hAnsi="仿宋" w:eastAsia="仿宋" w:cs="仿宋"/>
          <w:i w:val="0"/>
          <w:iCs w:val="0"/>
          <w:caps w:val="0"/>
          <w:color w:val="000000"/>
          <w:spacing w:val="0"/>
          <w:sz w:val="32"/>
          <w:szCs w:val="32"/>
          <w:shd w:val="clear" w:fill="FFFFFF"/>
          <w:lang w:val="en-US" w:eastAsia="zh-CN"/>
        </w:rPr>
      </w:pPr>
      <w:r>
        <w:rPr>
          <w:rFonts w:hint="default" w:ascii="Times New Roman" w:hAnsi="Times New Roman" w:eastAsia="仿宋" w:cs="Times New Roman"/>
          <w:sz w:val="32"/>
          <w:szCs w:val="32"/>
          <w:lang w:val="en-US" w:eastAsia="zh-CN"/>
        </w:rPr>
        <w:t xml:space="preserve">2025年4月10日    </w:t>
      </w:r>
    </w:p>
    <w:p w14:paraId="2F58341F">
      <w:pPr>
        <w:wordWrap/>
        <w:jc w:val="right"/>
        <w:rPr>
          <w:rFonts w:hint="eastAsia" w:ascii="宋体" w:hAnsi="宋体" w:eastAsia="宋体" w:cs="宋体"/>
          <w:i w:val="0"/>
          <w:iCs w:val="0"/>
          <w:caps w:val="0"/>
          <w:color w:val="000000"/>
          <w:spacing w:val="0"/>
          <w:sz w:val="30"/>
          <w:szCs w:val="30"/>
          <w:shd w:val="clear" w:fill="FFFFFF"/>
          <w:lang w:val="en-US" w:eastAsia="zh-CN"/>
        </w:rPr>
      </w:pPr>
    </w:p>
    <w:p w14:paraId="50857343">
      <w:pPr>
        <w:wordWrap/>
        <w:jc w:val="right"/>
        <w:rPr>
          <w:rFonts w:hint="eastAsia" w:ascii="宋体" w:hAnsi="宋体" w:eastAsia="宋体" w:cs="宋体"/>
          <w:i w:val="0"/>
          <w:iCs w:val="0"/>
          <w:caps w:val="0"/>
          <w:color w:val="000000"/>
          <w:spacing w:val="0"/>
          <w:sz w:val="30"/>
          <w:szCs w:val="30"/>
          <w:shd w:val="clear" w:fill="FFFFFF"/>
          <w:lang w:val="en-US" w:eastAsia="zh-CN"/>
        </w:rPr>
      </w:pPr>
    </w:p>
    <w:p w14:paraId="659C2FC3">
      <w:pPr>
        <w:wordWrap/>
        <w:jc w:val="right"/>
        <w:rPr>
          <w:rFonts w:hint="eastAsia" w:ascii="宋体" w:hAnsi="宋体" w:eastAsia="宋体" w:cs="宋体"/>
          <w:i w:val="0"/>
          <w:iCs w:val="0"/>
          <w:caps w:val="0"/>
          <w:color w:val="000000"/>
          <w:spacing w:val="0"/>
          <w:sz w:val="30"/>
          <w:szCs w:val="30"/>
          <w:shd w:val="clear" w:fill="FFFFFF"/>
          <w:lang w:val="en-US" w:eastAsia="zh-CN"/>
        </w:rPr>
      </w:pPr>
    </w:p>
    <w:p w14:paraId="0893CC96">
      <w:pPr>
        <w:wordWrap/>
        <w:jc w:val="right"/>
        <w:rPr>
          <w:rFonts w:hint="eastAsia" w:ascii="宋体" w:hAnsi="宋体" w:eastAsia="宋体" w:cs="宋体"/>
          <w:i w:val="0"/>
          <w:iCs w:val="0"/>
          <w:caps w:val="0"/>
          <w:color w:val="000000"/>
          <w:spacing w:val="0"/>
          <w:sz w:val="30"/>
          <w:szCs w:val="30"/>
          <w:shd w:val="clear" w:fill="FFFFFF"/>
          <w:lang w:val="en-US" w:eastAsia="zh-CN"/>
        </w:rPr>
      </w:pPr>
    </w:p>
    <w:p w14:paraId="1FE3591D">
      <w:pPr>
        <w:wordWrap/>
        <w:jc w:val="both"/>
        <w:rPr>
          <w:rFonts w:hint="eastAsia" w:ascii="宋体" w:hAnsi="宋体" w:eastAsia="宋体" w:cs="宋体"/>
          <w:i w:val="0"/>
          <w:iCs w:val="0"/>
          <w:caps w:val="0"/>
          <w:color w:val="000000"/>
          <w:spacing w:val="0"/>
          <w:sz w:val="30"/>
          <w:szCs w:val="30"/>
          <w:shd w:val="clear" w:fill="FFFFFF"/>
          <w:lang w:val="en-US" w:eastAsia="zh-CN"/>
        </w:rPr>
      </w:pPr>
    </w:p>
    <w:p w14:paraId="63C4D462">
      <w:pPr>
        <w:jc w:val="center"/>
        <w:rPr>
          <w:rFonts w:hint="default" w:ascii="Times New Roman" w:hAnsi="Times New Roman" w:eastAsia="方正小标宋_GBK" w:cs="Times New Roman"/>
          <w:sz w:val="44"/>
          <w:szCs w:val="44"/>
          <w:lang w:val="en-US" w:eastAsia="zh-CN"/>
        </w:rPr>
        <w:sectPr>
          <w:pgSz w:w="11906" w:h="16838"/>
          <w:pgMar w:top="1440" w:right="1800" w:bottom="1440" w:left="1800" w:header="851" w:footer="992" w:gutter="0"/>
          <w:cols w:space="425" w:num="1"/>
          <w:docGrid w:type="lines" w:linePitch="312" w:charSpace="0"/>
        </w:sectPr>
      </w:pPr>
    </w:p>
    <w:p w14:paraId="43CE7548">
      <w:pPr>
        <w:jc w:val="center"/>
        <w:rPr>
          <w:rFonts w:hint="eastAsia"/>
          <w:lang w:val="en-US" w:eastAsia="zh-CN"/>
        </w:rPr>
      </w:pPr>
      <w:r>
        <w:rPr>
          <w:rFonts w:hint="default" w:ascii="Times New Roman" w:hAnsi="Times New Roman" w:eastAsia="方正小标宋_GBK" w:cs="Times New Roman"/>
          <w:sz w:val="44"/>
          <w:szCs w:val="44"/>
          <w:lang w:val="en-US" w:eastAsia="zh-CN"/>
        </w:rPr>
        <w:t>202</w:t>
      </w:r>
      <w:r>
        <w:rPr>
          <w:rFonts w:hint="default" w:ascii="Times New Roman" w:hAnsi="Times New Roman" w:eastAsia="方正小标宋_GBK" w:cs="Times New Roman"/>
          <w:sz w:val="44"/>
          <w:szCs w:val="44"/>
          <w:u w:val="single"/>
          <w:lang w:val="en-US" w:eastAsia="zh-CN"/>
        </w:rPr>
        <w:t xml:space="preserve">  </w:t>
      </w:r>
      <w:r>
        <w:rPr>
          <w:rFonts w:hint="default" w:ascii="Times New Roman" w:hAnsi="Times New Roman" w:eastAsia="方正小标宋_GBK" w:cs="Times New Roman"/>
          <w:sz w:val="44"/>
          <w:szCs w:val="44"/>
          <w:lang w:val="en-US" w:eastAsia="zh-CN"/>
        </w:rPr>
        <w:t>年</w:t>
      </w:r>
      <w:r>
        <w:rPr>
          <w:rFonts w:hint="default" w:ascii="Times New Roman" w:hAnsi="Times New Roman" w:eastAsia="方正小标宋_GBK" w:cs="Times New Roman"/>
          <w:sz w:val="44"/>
          <w:szCs w:val="44"/>
          <w:u w:val="single"/>
          <w:lang w:val="en-US" w:eastAsia="zh-CN"/>
        </w:rPr>
        <w:t xml:space="preserve"> </w:t>
      </w:r>
      <w:r>
        <w:rPr>
          <w:rFonts w:hint="eastAsia" w:ascii="Times New Roman" w:eastAsia="方正小标宋_GBK" w:cs="Times New Roman"/>
          <w:sz w:val="44"/>
          <w:szCs w:val="44"/>
          <w:u w:val="none"/>
          <w:lang w:val="en-US" w:eastAsia="zh-CN"/>
        </w:rPr>
        <w:t>半年</w:t>
      </w:r>
      <w:r>
        <w:rPr>
          <w:rFonts w:hint="default" w:ascii="Times New Roman" w:hAnsi="Times New Roman" w:eastAsia="方正小标宋_GBK" w:cs="Times New Roman"/>
          <w:sz w:val="44"/>
          <w:szCs w:val="44"/>
          <w:lang w:val="en-US" w:eastAsia="zh-CN"/>
        </w:rPr>
        <w:t>公共收益收支情况表</w:t>
      </w:r>
    </w:p>
    <w:p w14:paraId="23BB41A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8"/>
          <w:szCs w:val="28"/>
          <w:u w:val="single"/>
          <w:lang w:val="en-US" w:eastAsia="zh-CN"/>
        </w:rPr>
      </w:pPr>
      <w:r>
        <w:rPr>
          <w:rFonts w:hint="default" w:ascii="Times New Roman" w:hAnsi="Times New Roman" w:eastAsia="黑体" w:cs="Times New Roman"/>
          <w:sz w:val="28"/>
          <w:szCs w:val="28"/>
          <w:lang w:val="en-US" w:eastAsia="zh-CN"/>
        </w:rPr>
        <w:t>街道（乡镇）：</w:t>
      </w:r>
      <w:r>
        <w:rPr>
          <w:rFonts w:hint="default" w:ascii="Times New Roman" w:hAnsi="Times New Roman" w:eastAsia="黑体" w:cs="Times New Roman"/>
          <w:sz w:val="28"/>
          <w:szCs w:val="28"/>
          <w:u w:val="single"/>
          <w:lang w:val="en-US" w:eastAsia="zh-CN"/>
        </w:rPr>
        <w:t xml:space="preserve">         </w:t>
      </w:r>
      <w:r>
        <w:rPr>
          <w:rFonts w:hint="default" w:ascii="Times New Roman" w:hAnsi="Times New Roman" w:eastAsia="黑体" w:cs="Times New Roman"/>
          <w:sz w:val="28"/>
          <w:szCs w:val="28"/>
          <w:u w:val="none"/>
          <w:lang w:val="en-US" w:eastAsia="zh-CN"/>
        </w:rPr>
        <w:t xml:space="preserve"> </w:t>
      </w:r>
      <w:r>
        <w:rPr>
          <w:rFonts w:hint="default" w:ascii="Times New Roman" w:hAnsi="Times New Roman" w:eastAsia="黑体" w:cs="Times New Roman"/>
          <w:sz w:val="28"/>
          <w:szCs w:val="28"/>
          <w:lang w:val="en-US" w:eastAsia="zh-CN"/>
        </w:rPr>
        <w:t>社区（村）</w:t>
      </w:r>
      <w:r>
        <w:rPr>
          <w:rFonts w:hint="default" w:ascii="Times New Roman" w:hAnsi="Times New Roman" w:eastAsia="黑体" w:cs="Times New Roman"/>
          <w:sz w:val="28"/>
          <w:szCs w:val="28"/>
          <w:u w:val="none"/>
          <w:lang w:val="en-US" w:eastAsia="zh-CN"/>
        </w:rPr>
        <w:t>：</w:t>
      </w:r>
      <w:r>
        <w:rPr>
          <w:rFonts w:hint="default" w:ascii="Times New Roman" w:hAnsi="Times New Roman" w:eastAsia="黑体" w:cs="Times New Roman"/>
          <w:sz w:val="28"/>
          <w:szCs w:val="28"/>
          <w:u w:val="single"/>
          <w:lang w:val="en-US" w:eastAsia="zh-CN"/>
        </w:rPr>
        <w:t xml:space="preserve">           </w:t>
      </w:r>
      <w:r>
        <w:rPr>
          <w:rFonts w:hint="default" w:ascii="Times New Roman" w:hAnsi="Times New Roman" w:eastAsia="黑体" w:cs="Times New Roman"/>
          <w:sz w:val="28"/>
          <w:szCs w:val="28"/>
          <w:u w:val="none"/>
          <w:lang w:val="en-US" w:eastAsia="zh-CN"/>
        </w:rPr>
        <w:t xml:space="preserve"> </w:t>
      </w:r>
      <w:r>
        <w:rPr>
          <w:rFonts w:hint="default" w:ascii="Times New Roman" w:hAnsi="Times New Roman" w:eastAsia="黑体" w:cs="Times New Roman"/>
          <w:sz w:val="28"/>
          <w:szCs w:val="28"/>
          <w:lang w:val="en-US" w:eastAsia="zh-CN"/>
        </w:rPr>
        <w:t>物业项目名称：</w:t>
      </w:r>
      <w:r>
        <w:rPr>
          <w:rFonts w:hint="default" w:ascii="Times New Roman" w:hAnsi="Times New Roman" w:eastAsia="黑体" w:cs="Times New Roman"/>
          <w:sz w:val="28"/>
          <w:szCs w:val="28"/>
          <w:u w:val="single"/>
          <w:lang w:val="en-US" w:eastAsia="zh-CN"/>
        </w:rPr>
        <w:t xml:space="preserve">             </w:t>
      </w:r>
    </w:p>
    <w:p w14:paraId="7613C4C6">
      <w:pPr>
        <w:keepNext w:val="0"/>
        <w:keepLines w:val="0"/>
        <w:pageBreakBefore w:val="0"/>
        <w:widowControl w:val="0"/>
        <w:kinsoku/>
        <w:wordWrap/>
        <w:overflowPunct/>
        <w:topLinePunct w:val="0"/>
        <w:autoSpaceDE/>
        <w:autoSpaceDN/>
        <w:bidi w:val="0"/>
        <w:adjustRightInd/>
        <w:snapToGrid/>
        <w:spacing w:line="400" w:lineRule="exact"/>
        <w:ind w:firstLine="1680" w:firstLineChars="6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290195</wp:posOffset>
                </wp:positionV>
                <wp:extent cx="1047750" cy="0"/>
                <wp:effectExtent l="0" t="6350" r="0" b="6350"/>
                <wp:wrapNone/>
                <wp:docPr id="1" name="直接连接符 1"/>
                <wp:cNvGraphicFramePr/>
                <a:graphic xmlns:a="http://schemas.openxmlformats.org/drawingml/2006/main">
                  <a:graphicData uri="http://schemas.microsoft.com/office/word/2010/wordprocessingShape">
                    <wps:wsp>
                      <wps:cNvCnPr/>
                      <wps:spPr>
                        <a:xfrm>
                          <a:off x="375285" y="1744345"/>
                          <a:ext cx="10477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22.85pt;height:0pt;width:82.5pt;z-index:251659264;mso-width-relative:page;mso-height-relative:page;" filled="f" stroked="t" coordsize="21600,21600" o:gfxdata="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Gdyx3VAAAABwEAAA8AAAAAAAAAAQAgAAAAIgAAAGRycy9kb3ducmV2LnhtbFBLAQIUABQAAAAI&#10;AIdO4kDtFBwP8AEAAL0DAAAOAAAAAAAAAAEAIAAAACQBAABkcnMvZTJvRG9jLnhtbFBLBQYAAAAA&#10;BgAGAFkBAACGBQAAAAA=&#10;">
                <v:fill on="f" focussize="0,0"/>
                <v:stroke weight="1pt" color="#000000 [3213]" miterlimit="8" joinstyle="miter"/>
                <v:imagedata o:title=""/>
                <o:lock v:ext="edit" aspectratio="f"/>
              </v:line>
            </w:pict>
          </mc:Fallback>
        </mc:AlternateContent>
      </w:r>
      <w:r>
        <w:rPr>
          <w:rFonts w:hint="default" w:ascii="Times New Roman" w:hAnsi="Times New Roman" w:eastAsia="黑体" w:cs="Times New Roman"/>
          <w:sz w:val="28"/>
          <w:szCs w:val="28"/>
          <w:lang w:val="en-US" w:eastAsia="zh-CN"/>
        </w:rPr>
        <w:t>小区全体业主：</w:t>
      </w:r>
    </w:p>
    <w:p w14:paraId="6E5DA55F">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default" w:ascii="Times New Roman" w:hAnsi="Times New Roman" w:cs="Times New Roman"/>
          <w:w w:val="90"/>
          <w:sz w:val="28"/>
          <w:szCs w:val="28"/>
          <w:lang w:val="en-US" w:eastAsia="zh-CN"/>
        </w:rPr>
      </w:pPr>
      <w:r>
        <w:rPr>
          <w:rFonts w:hint="default" w:ascii="Times New Roman" w:hAnsi="Times New Roman" w:eastAsia="黑体" w:cs="Times New Roman"/>
          <w:w w:val="90"/>
          <w:sz w:val="28"/>
          <w:szCs w:val="28"/>
          <w:lang w:val="en-US" w:eastAsia="zh-CN"/>
        </w:rPr>
        <w:t>根据《中华人民共和国民法典》《物业管理条例》《江西省物业管理条例》等相关法律法规及本项目《物业服务合同》《管理规约》等相关约定，现将本项目公共收益收支情况公示如下：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1"/>
        <w:gridCol w:w="735"/>
        <w:gridCol w:w="1830"/>
        <w:gridCol w:w="1517"/>
      </w:tblGrid>
      <w:tr w14:paraId="17C5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253081E">
            <w:pPr>
              <w:jc w:val="center"/>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项  目</w:t>
            </w:r>
          </w:p>
        </w:tc>
        <w:tc>
          <w:tcPr>
            <w:tcW w:w="735" w:type="dxa"/>
            <w:vAlign w:val="center"/>
          </w:tcPr>
          <w:p w14:paraId="216F5209">
            <w:pPr>
              <w:jc w:val="center"/>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序列</w:t>
            </w:r>
          </w:p>
        </w:tc>
        <w:tc>
          <w:tcPr>
            <w:tcW w:w="1830" w:type="dxa"/>
            <w:vAlign w:val="center"/>
          </w:tcPr>
          <w:p w14:paraId="1DE79DCF">
            <w:pPr>
              <w:jc w:val="center"/>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金额（元）</w:t>
            </w:r>
          </w:p>
        </w:tc>
        <w:tc>
          <w:tcPr>
            <w:tcW w:w="1517" w:type="dxa"/>
            <w:vAlign w:val="center"/>
          </w:tcPr>
          <w:p w14:paraId="533DECDA">
            <w:pPr>
              <w:jc w:val="center"/>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周期</w:t>
            </w:r>
          </w:p>
        </w:tc>
      </w:tr>
      <w:tr w14:paraId="7822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88AD265">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b/>
                <w:bCs/>
                <w:sz w:val="28"/>
                <w:szCs w:val="28"/>
                <w:vertAlign w:val="baseline"/>
                <w:lang w:val="en-US" w:eastAsia="zh-CN"/>
              </w:rPr>
              <w:t>1.业主共有部分经营收入</w:t>
            </w:r>
          </w:p>
        </w:tc>
        <w:tc>
          <w:tcPr>
            <w:tcW w:w="735" w:type="dxa"/>
            <w:vAlign w:val="center"/>
          </w:tcPr>
          <w:p w14:paraId="2320903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w:t>
            </w:r>
          </w:p>
        </w:tc>
        <w:tc>
          <w:tcPr>
            <w:tcW w:w="1830" w:type="dxa"/>
            <w:vAlign w:val="center"/>
          </w:tcPr>
          <w:p w14:paraId="58B9B0CE">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6539667D">
            <w:pPr>
              <w:jc w:val="center"/>
              <w:rPr>
                <w:rFonts w:hint="default" w:ascii="Times New Roman" w:hAnsi="Times New Roman" w:eastAsia="黑体" w:cs="Times New Roman"/>
                <w:sz w:val="24"/>
                <w:szCs w:val="24"/>
                <w:vertAlign w:val="baseline"/>
                <w:lang w:val="en-US" w:eastAsia="zh-CN"/>
              </w:rPr>
            </w:pPr>
          </w:p>
        </w:tc>
      </w:tr>
      <w:tr w14:paraId="6376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6329C196">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w:t>
            </w:r>
            <w:r>
              <w:rPr>
                <w:rFonts w:hint="default" w:ascii="Times New Roman" w:hAnsi="Times New Roman" w:eastAsia="黑体" w:cs="Times New Roman"/>
                <w:b/>
                <w:bCs/>
                <w:sz w:val="24"/>
                <w:szCs w:val="24"/>
                <w:vertAlign w:val="baseline"/>
                <w:lang w:val="en-US" w:eastAsia="zh-CN"/>
              </w:rPr>
              <w:t>1.1公共停车场地收入</w:t>
            </w:r>
          </w:p>
        </w:tc>
        <w:tc>
          <w:tcPr>
            <w:tcW w:w="735" w:type="dxa"/>
            <w:vAlign w:val="center"/>
          </w:tcPr>
          <w:p w14:paraId="5214EC49">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w:t>
            </w:r>
          </w:p>
        </w:tc>
        <w:tc>
          <w:tcPr>
            <w:tcW w:w="1830" w:type="dxa"/>
            <w:vAlign w:val="center"/>
          </w:tcPr>
          <w:p w14:paraId="62AC662D">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B8F5C7D">
            <w:pPr>
              <w:jc w:val="center"/>
              <w:rPr>
                <w:rFonts w:hint="default" w:ascii="Times New Roman" w:hAnsi="Times New Roman" w:eastAsia="黑体" w:cs="Times New Roman"/>
                <w:sz w:val="24"/>
                <w:szCs w:val="24"/>
                <w:vertAlign w:val="baseline"/>
                <w:lang w:val="en-US" w:eastAsia="zh-CN"/>
              </w:rPr>
            </w:pPr>
          </w:p>
        </w:tc>
      </w:tr>
      <w:tr w14:paraId="6EBA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02316F43">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1.1.1车位月租收入</w:t>
            </w:r>
          </w:p>
        </w:tc>
        <w:tc>
          <w:tcPr>
            <w:tcW w:w="735" w:type="dxa"/>
            <w:vAlign w:val="center"/>
          </w:tcPr>
          <w:p w14:paraId="727B1EC0">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w:t>
            </w:r>
          </w:p>
        </w:tc>
        <w:tc>
          <w:tcPr>
            <w:tcW w:w="1830" w:type="dxa"/>
            <w:vAlign w:val="center"/>
          </w:tcPr>
          <w:p w14:paraId="1FDB2A0E">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0F5E1A5F">
            <w:pPr>
              <w:jc w:val="center"/>
              <w:rPr>
                <w:rFonts w:hint="default" w:ascii="Times New Roman" w:hAnsi="Times New Roman" w:eastAsia="黑体" w:cs="Times New Roman"/>
                <w:sz w:val="24"/>
                <w:szCs w:val="24"/>
                <w:vertAlign w:val="baseline"/>
                <w:lang w:val="en-US" w:eastAsia="zh-CN"/>
              </w:rPr>
            </w:pPr>
          </w:p>
        </w:tc>
      </w:tr>
      <w:tr w14:paraId="6C5D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134D776F">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1.1.2车位临停收入</w:t>
            </w:r>
          </w:p>
        </w:tc>
        <w:tc>
          <w:tcPr>
            <w:tcW w:w="735" w:type="dxa"/>
            <w:vAlign w:val="center"/>
          </w:tcPr>
          <w:p w14:paraId="6E4BB5E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w:t>
            </w:r>
          </w:p>
        </w:tc>
        <w:tc>
          <w:tcPr>
            <w:tcW w:w="1830" w:type="dxa"/>
            <w:vAlign w:val="center"/>
          </w:tcPr>
          <w:p w14:paraId="1945330E">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089C0E1C">
            <w:pPr>
              <w:jc w:val="center"/>
              <w:rPr>
                <w:rFonts w:hint="default" w:ascii="Times New Roman" w:hAnsi="Times New Roman" w:eastAsia="黑体" w:cs="Times New Roman"/>
                <w:sz w:val="24"/>
                <w:szCs w:val="24"/>
                <w:vertAlign w:val="baseline"/>
                <w:lang w:val="en-US" w:eastAsia="zh-CN"/>
              </w:rPr>
            </w:pPr>
          </w:p>
        </w:tc>
      </w:tr>
      <w:tr w14:paraId="24B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0569AEBA">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w:t>
            </w:r>
            <w:r>
              <w:rPr>
                <w:rFonts w:hint="default" w:ascii="Times New Roman" w:hAnsi="Times New Roman" w:eastAsia="黑体" w:cs="Times New Roman"/>
                <w:b/>
                <w:bCs/>
                <w:sz w:val="24"/>
                <w:szCs w:val="24"/>
                <w:vertAlign w:val="baseline"/>
                <w:lang w:val="en-US" w:eastAsia="zh-CN"/>
              </w:rPr>
              <w:t>1.2广告经营收入</w:t>
            </w:r>
          </w:p>
        </w:tc>
        <w:tc>
          <w:tcPr>
            <w:tcW w:w="735" w:type="dxa"/>
            <w:vAlign w:val="center"/>
          </w:tcPr>
          <w:p w14:paraId="6D7AFBA9">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5</w:t>
            </w:r>
          </w:p>
        </w:tc>
        <w:tc>
          <w:tcPr>
            <w:tcW w:w="1830" w:type="dxa"/>
            <w:vAlign w:val="center"/>
          </w:tcPr>
          <w:p w14:paraId="4C3A0CDD">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4FC48534">
            <w:pPr>
              <w:jc w:val="center"/>
              <w:rPr>
                <w:rFonts w:hint="default" w:ascii="Times New Roman" w:hAnsi="Times New Roman" w:eastAsia="黑体" w:cs="Times New Roman"/>
                <w:sz w:val="24"/>
                <w:szCs w:val="24"/>
                <w:vertAlign w:val="baseline"/>
                <w:lang w:val="en-US" w:eastAsia="zh-CN"/>
              </w:rPr>
            </w:pPr>
          </w:p>
        </w:tc>
      </w:tr>
      <w:tr w14:paraId="0F94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B3E99B3">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1.2.1电梯</w:t>
            </w:r>
            <w:r>
              <w:rPr>
                <w:rFonts w:hint="eastAsia" w:ascii="Times New Roman" w:hAnsi="Times New Roman" w:eastAsia="黑体" w:cs="Times New Roman"/>
                <w:sz w:val="24"/>
                <w:szCs w:val="24"/>
                <w:vertAlign w:val="baseline"/>
                <w:lang w:val="en-US" w:eastAsia="zh-CN"/>
              </w:rPr>
              <w:t>轿厢</w:t>
            </w:r>
            <w:r>
              <w:rPr>
                <w:rFonts w:hint="default" w:ascii="Times New Roman" w:hAnsi="Times New Roman" w:eastAsia="黑体" w:cs="Times New Roman"/>
                <w:sz w:val="24"/>
                <w:szCs w:val="24"/>
                <w:vertAlign w:val="baseline"/>
                <w:lang w:val="en-US" w:eastAsia="zh-CN"/>
              </w:rPr>
              <w:t>广告位收入</w:t>
            </w:r>
          </w:p>
        </w:tc>
        <w:tc>
          <w:tcPr>
            <w:tcW w:w="735" w:type="dxa"/>
            <w:vAlign w:val="center"/>
          </w:tcPr>
          <w:p w14:paraId="06E8FA5E">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6</w:t>
            </w:r>
          </w:p>
        </w:tc>
        <w:tc>
          <w:tcPr>
            <w:tcW w:w="1830" w:type="dxa"/>
            <w:vAlign w:val="center"/>
          </w:tcPr>
          <w:p w14:paraId="7D7A1018">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50E94067">
            <w:pPr>
              <w:jc w:val="center"/>
              <w:rPr>
                <w:rFonts w:hint="default" w:ascii="Times New Roman" w:hAnsi="Times New Roman" w:eastAsia="黑体" w:cs="Times New Roman"/>
                <w:sz w:val="24"/>
                <w:szCs w:val="24"/>
                <w:vertAlign w:val="baseline"/>
                <w:lang w:val="en-US" w:eastAsia="zh-CN"/>
              </w:rPr>
            </w:pPr>
          </w:p>
        </w:tc>
      </w:tr>
      <w:tr w14:paraId="4766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709EAD8C">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1.2.2户外广告位收入</w:t>
            </w:r>
          </w:p>
        </w:tc>
        <w:tc>
          <w:tcPr>
            <w:tcW w:w="735" w:type="dxa"/>
            <w:vAlign w:val="center"/>
          </w:tcPr>
          <w:p w14:paraId="6ECCD603">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7</w:t>
            </w:r>
          </w:p>
        </w:tc>
        <w:tc>
          <w:tcPr>
            <w:tcW w:w="1830" w:type="dxa"/>
            <w:vAlign w:val="center"/>
          </w:tcPr>
          <w:p w14:paraId="6B927175">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9B10686">
            <w:pPr>
              <w:jc w:val="center"/>
              <w:rPr>
                <w:rFonts w:hint="default" w:ascii="Times New Roman" w:hAnsi="Times New Roman" w:eastAsia="黑体" w:cs="Times New Roman"/>
                <w:sz w:val="24"/>
                <w:szCs w:val="24"/>
                <w:vertAlign w:val="baseline"/>
                <w:lang w:val="en-US" w:eastAsia="zh-CN"/>
              </w:rPr>
            </w:pPr>
          </w:p>
        </w:tc>
      </w:tr>
      <w:tr w14:paraId="3422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1B21EC33">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1.2.3其他共有部位广告位收入</w:t>
            </w:r>
          </w:p>
        </w:tc>
        <w:tc>
          <w:tcPr>
            <w:tcW w:w="735" w:type="dxa"/>
            <w:vAlign w:val="center"/>
          </w:tcPr>
          <w:p w14:paraId="62EFC59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8</w:t>
            </w:r>
          </w:p>
        </w:tc>
        <w:tc>
          <w:tcPr>
            <w:tcW w:w="1830" w:type="dxa"/>
            <w:vAlign w:val="center"/>
          </w:tcPr>
          <w:p w14:paraId="1A0777F1">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3F0B6F9E">
            <w:pPr>
              <w:jc w:val="center"/>
              <w:rPr>
                <w:rFonts w:hint="default" w:ascii="Times New Roman" w:hAnsi="Times New Roman" w:eastAsia="黑体" w:cs="Times New Roman"/>
                <w:sz w:val="24"/>
                <w:szCs w:val="24"/>
                <w:vertAlign w:val="baseline"/>
                <w:lang w:val="en-US" w:eastAsia="zh-CN"/>
              </w:rPr>
            </w:pPr>
          </w:p>
        </w:tc>
      </w:tr>
      <w:tr w14:paraId="0ABB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0F61DD20">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 xml:space="preserve">  </w:t>
            </w:r>
            <w:r>
              <w:rPr>
                <w:rFonts w:hint="default" w:ascii="Times New Roman" w:hAnsi="Times New Roman" w:eastAsia="黑体" w:cs="Times New Roman"/>
                <w:b/>
                <w:bCs/>
                <w:sz w:val="24"/>
                <w:szCs w:val="24"/>
                <w:vertAlign w:val="baseline"/>
                <w:lang w:val="en-US" w:eastAsia="zh-CN"/>
              </w:rPr>
              <w:t>1.3</w:t>
            </w:r>
            <w:r>
              <w:rPr>
                <w:rFonts w:hint="eastAsia" w:ascii="Times New Roman" w:hAnsi="Times New Roman" w:eastAsia="黑体" w:cs="Times New Roman"/>
                <w:b/>
                <w:bCs/>
                <w:color w:val="auto"/>
                <w:sz w:val="24"/>
                <w:szCs w:val="24"/>
                <w:vertAlign w:val="baseline"/>
                <w:lang w:val="en-US" w:eastAsia="zh-CN"/>
              </w:rPr>
              <w:t>共有</w:t>
            </w:r>
            <w:r>
              <w:rPr>
                <w:rFonts w:hint="default" w:ascii="Times New Roman" w:hAnsi="Times New Roman" w:eastAsia="黑体" w:cs="Times New Roman"/>
                <w:b/>
                <w:bCs/>
                <w:color w:val="auto"/>
                <w:sz w:val="24"/>
                <w:szCs w:val="24"/>
                <w:vertAlign w:val="baseline"/>
                <w:lang w:val="en-US" w:eastAsia="zh-CN"/>
              </w:rPr>
              <w:t>配套用</w:t>
            </w:r>
            <w:r>
              <w:rPr>
                <w:rFonts w:hint="default" w:ascii="Times New Roman" w:hAnsi="Times New Roman" w:eastAsia="黑体" w:cs="Times New Roman"/>
                <w:b/>
                <w:bCs/>
                <w:sz w:val="24"/>
                <w:szCs w:val="24"/>
                <w:vertAlign w:val="baseline"/>
                <w:lang w:val="en-US" w:eastAsia="zh-CN"/>
              </w:rPr>
              <w:t>房或场地经营收入</w:t>
            </w:r>
          </w:p>
        </w:tc>
        <w:tc>
          <w:tcPr>
            <w:tcW w:w="735" w:type="dxa"/>
            <w:vAlign w:val="center"/>
          </w:tcPr>
          <w:p w14:paraId="7FCC1EB7">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9</w:t>
            </w:r>
          </w:p>
        </w:tc>
        <w:tc>
          <w:tcPr>
            <w:tcW w:w="1830" w:type="dxa"/>
            <w:vAlign w:val="center"/>
          </w:tcPr>
          <w:p w14:paraId="597B9F63">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75C35DEF">
            <w:pPr>
              <w:jc w:val="center"/>
              <w:rPr>
                <w:rFonts w:hint="default" w:ascii="Times New Roman" w:hAnsi="Times New Roman" w:eastAsia="黑体" w:cs="Times New Roman"/>
                <w:sz w:val="24"/>
                <w:szCs w:val="24"/>
                <w:vertAlign w:val="baseline"/>
                <w:lang w:val="en-US" w:eastAsia="zh-CN"/>
              </w:rPr>
            </w:pPr>
          </w:p>
        </w:tc>
      </w:tr>
      <w:tr w14:paraId="21A0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5A9CB7C">
            <w:pPr>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 xml:space="preserve">  1.4基站管理费收入</w:t>
            </w:r>
          </w:p>
        </w:tc>
        <w:tc>
          <w:tcPr>
            <w:tcW w:w="735" w:type="dxa"/>
            <w:vAlign w:val="center"/>
          </w:tcPr>
          <w:p w14:paraId="3F28411F">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10</w:t>
            </w:r>
          </w:p>
        </w:tc>
        <w:tc>
          <w:tcPr>
            <w:tcW w:w="1830" w:type="dxa"/>
            <w:vAlign w:val="center"/>
          </w:tcPr>
          <w:p w14:paraId="1192C1DE">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6B6B0BF1">
            <w:pPr>
              <w:jc w:val="center"/>
              <w:rPr>
                <w:rFonts w:hint="default" w:ascii="Times New Roman" w:hAnsi="Times New Roman" w:eastAsia="黑体" w:cs="Times New Roman"/>
                <w:sz w:val="24"/>
                <w:szCs w:val="24"/>
                <w:vertAlign w:val="baseline"/>
                <w:lang w:val="en-US" w:eastAsia="zh-CN"/>
              </w:rPr>
            </w:pPr>
          </w:p>
        </w:tc>
      </w:tr>
      <w:tr w14:paraId="49AB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5D55DE22">
            <w:pPr>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 xml:space="preserve">  1.5其他利用共用设施及共用部位经营收入</w:t>
            </w:r>
          </w:p>
        </w:tc>
        <w:tc>
          <w:tcPr>
            <w:tcW w:w="735" w:type="dxa"/>
            <w:vAlign w:val="center"/>
          </w:tcPr>
          <w:p w14:paraId="6763C971">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11</w:t>
            </w:r>
          </w:p>
        </w:tc>
        <w:tc>
          <w:tcPr>
            <w:tcW w:w="1830" w:type="dxa"/>
            <w:vAlign w:val="center"/>
          </w:tcPr>
          <w:p w14:paraId="088B0749">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6499EC6F">
            <w:pPr>
              <w:jc w:val="center"/>
              <w:rPr>
                <w:rFonts w:hint="default" w:ascii="Times New Roman" w:hAnsi="Times New Roman" w:eastAsia="黑体" w:cs="Times New Roman"/>
                <w:sz w:val="24"/>
                <w:szCs w:val="24"/>
                <w:vertAlign w:val="baseline"/>
                <w:lang w:val="en-US" w:eastAsia="zh-CN"/>
              </w:rPr>
            </w:pPr>
          </w:p>
        </w:tc>
      </w:tr>
      <w:tr w14:paraId="4F32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322948B2">
            <w:pPr>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 xml:space="preserve">  1.6违约金、赔偿金、旧设施设备残值等收入</w:t>
            </w:r>
          </w:p>
        </w:tc>
        <w:tc>
          <w:tcPr>
            <w:tcW w:w="735" w:type="dxa"/>
            <w:vAlign w:val="center"/>
          </w:tcPr>
          <w:p w14:paraId="2048D452">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12</w:t>
            </w:r>
          </w:p>
        </w:tc>
        <w:tc>
          <w:tcPr>
            <w:tcW w:w="1830" w:type="dxa"/>
            <w:vAlign w:val="center"/>
          </w:tcPr>
          <w:p w14:paraId="7881CA0D">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333F1D07">
            <w:pPr>
              <w:jc w:val="center"/>
              <w:rPr>
                <w:rFonts w:hint="default" w:ascii="Times New Roman" w:hAnsi="Times New Roman" w:eastAsia="黑体" w:cs="Times New Roman"/>
                <w:sz w:val="24"/>
                <w:szCs w:val="24"/>
                <w:vertAlign w:val="baseline"/>
                <w:lang w:val="en-US" w:eastAsia="zh-CN"/>
              </w:rPr>
            </w:pPr>
          </w:p>
        </w:tc>
      </w:tr>
      <w:tr w14:paraId="6546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4481DFAF">
            <w:pPr>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 xml:space="preserve">  1.7物业公共收益利息收入</w:t>
            </w:r>
          </w:p>
        </w:tc>
        <w:tc>
          <w:tcPr>
            <w:tcW w:w="735" w:type="dxa"/>
            <w:vAlign w:val="center"/>
          </w:tcPr>
          <w:p w14:paraId="56651435">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13</w:t>
            </w:r>
          </w:p>
        </w:tc>
        <w:tc>
          <w:tcPr>
            <w:tcW w:w="1830" w:type="dxa"/>
            <w:vAlign w:val="center"/>
          </w:tcPr>
          <w:p w14:paraId="20D1BBB5">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C2BDC76">
            <w:pPr>
              <w:jc w:val="center"/>
              <w:rPr>
                <w:rFonts w:hint="default" w:ascii="Times New Roman" w:hAnsi="Times New Roman" w:eastAsia="黑体" w:cs="Times New Roman"/>
                <w:sz w:val="24"/>
                <w:szCs w:val="24"/>
                <w:vertAlign w:val="baseline"/>
                <w:lang w:val="en-US" w:eastAsia="zh-CN"/>
              </w:rPr>
            </w:pPr>
          </w:p>
        </w:tc>
      </w:tr>
      <w:tr w14:paraId="69D1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3422FD7B">
            <w:pPr>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b/>
                <w:bCs/>
                <w:sz w:val="28"/>
                <w:szCs w:val="28"/>
                <w:vertAlign w:val="baseline"/>
                <w:lang w:val="en-US" w:eastAsia="zh-CN"/>
              </w:rPr>
              <w:t>2.物业共有部分经营成本支出</w:t>
            </w:r>
          </w:p>
        </w:tc>
        <w:tc>
          <w:tcPr>
            <w:tcW w:w="735" w:type="dxa"/>
            <w:vAlign w:val="center"/>
          </w:tcPr>
          <w:p w14:paraId="04FE145F">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14</w:t>
            </w:r>
          </w:p>
        </w:tc>
        <w:tc>
          <w:tcPr>
            <w:tcW w:w="1830" w:type="dxa"/>
            <w:vAlign w:val="center"/>
          </w:tcPr>
          <w:p w14:paraId="6CD9D4BF">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42893E3E">
            <w:pPr>
              <w:jc w:val="center"/>
              <w:rPr>
                <w:rFonts w:hint="default" w:ascii="Times New Roman" w:hAnsi="Times New Roman" w:eastAsia="黑体" w:cs="Times New Roman"/>
                <w:sz w:val="24"/>
                <w:szCs w:val="24"/>
                <w:vertAlign w:val="baseline"/>
                <w:lang w:val="en-US" w:eastAsia="zh-CN"/>
              </w:rPr>
            </w:pPr>
          </w:p>
        </w:tc>
      </w:tr>
      <w:tr w14:paraId="0A41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FF67F8F">
            <w:pPr>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 xml:space="preserve">  2.1经营人员人工成本支出</w:t>
            </w:r>
          </w:p>
        </w:tc>
        <w:tc>
          <w:tcPr>
            <w:tcW w:w="735" w:type="dxa"/>
            <w:vAlign w:val="center"/>
          </w:tcPr>
          <w:p w14:paraId="1E9D4AD4">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15</w:t>
            </w:r>
          </w:p>
        </w:tc>
        <w:tc>
          <w:tcPr>
            <w:tcW w:w="1830" w:type="dxa"/>
            <w:vAlign w:val="center"/>
          </w:tcPr>
          <w:p w14:paraId="1BD6F86E">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B78CEDE">
            <w:pPr>
              <w:jc w:val="center"/>
              <w:rPr>
                <w:rFonts w:hint="default" w:ascii="Times New Roman" w:hAnsi="Times New Roman" w:eastAsia="黑体" w:cs="Times New Roman"/>
                <w:sz w:val="24"/>
                <w:szCs w:val="24"/>
                <w:vertAlign w:val="baseline"/>
                <w:lang w:val="en-US" w:eastAsia="zh-CN"/>
              </w:rPr>
            </w:pPr>
          </w:p>
        </w:tc>
      </w:tr>
      <w:tr w14:paraId="156C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3741B4E">
            <w:pPr>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 xml:space="preserve">  2.2材料成本支出</w:t>
            </w:r>
          </w:p>
        </w:tc>
        <w:tc>
          <w:tcPr>
            <w:tcW w:w="735" w:type="dxa"/>
            <w:vAlign w:val="center"/>
          </w:tcPr>
          <w:p w14:paraId="2CC0A347">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16</w:t>
            </w:r>
          </w:p>
        </w:tc>
        <w:tc>
          <w:tcPr>
            <w:tcW w:w="1830" w:type="dxa"/>
            <w:vAlign w:val="center"/>
          </w:tcPr>
          <w:p w14:paraId="7A9C695F">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67FAA363">
            <w:pPr>
              <w:jc w:val="center"/>
              <w:rPr>
                <w:rFonts w:hint="default" w:ascii="Times New Roman" w:hAnsi="Times New Roman" w:eastAsia="黑体" w:cs="Times New Roman"/>
                <w:sz w:val="24"/>
                <w:szCs w:val="24"/>
                <w:vertAlign w:val="baseline"/>
                <w:lang w:val="en-US" w:eastAsia="zh-CN"/>
              </w:rPr>
            </w:pPr>
          </w:p>
        </w:tc>
      </w:tr>
      <w:tr w14:paraId="4ED6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55FC47E8">
            <w:pPr>
              <w:ind w:firstLine="241" w:firstLineChars="100"/>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2.3水电能耗成本支出</w:t>
            </w:r>
          </w:p>
        </w:tc>
        <w:tc>
          <w:tcPr>
            <w:tcW w:w="735" w:type="dxa"/>
            <w:vAlign w:val="center"/>
          </w:tcPr>
          <w:p w14:paraId="5A3E6E81">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17</w:t>
            </w:r>
          </w:p>
        </w:tc>
        <w:tc>
          <w:tcPr>
            <w:tcW w:w="1830" w:type="dxa"/>
            <w:vAlign w:val="center"/>
          </w:tcPr>
          <w:p w14:paraId="2F36FF66">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52ED57B7">
            <w:pPr>
              <w:jc w:val="center"/>
              <w:rPr>
                <w:rFonts w:hint="default" w:ascii="Times New Roman" w:hAnsi="Times New Roman" w:eastAsia="黑体" w:cs="Times New Roman"/>
                <w:sz w:val="24"/>
                <w:szCs w:val="24"/>
                <w:vertAlign w:val="baseline"/>
                <w:lang w:val="en-US" w:eastAsia="zh-CN"/>
              </w:rPr>
            </w:pPr>
          </w:p>
        </w:tc>
      </w:tr>
      <w:tr w14:paraId="6E59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543F8E5B">
            <w:pPr>
              <w:ind w:firstLine="241" w:firstLineChars="100"/>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2.4税金及附加</w:t>
            </w:r>
          </w:p>
        </w:tc>
        <w:tc>
          <w:tcPr>
            <w:tcW w:w="735" w:type="dxa"/>
            <w:vAlign w:val="center"/>
          </w:tcPr>
          <w:p w14:paraId="3E55F694">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18</w:t>
            </w:r>
          </w:p>
        </w:tc>
        <w:tc>
          <w:tcPr>
            <w:tcW w:w="1830" w:type="dxa"/>
            <w:vAlign w:val="center"/>
          </w:tcPr>
          <w:p w14:paraId="09F38D2C">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4EEA9AB">
            <w:pPr>
              <w:jc w:val="center"/>
              <w:rPr>
                <w:rFonts w:hint="default" w:ascii="Times New Roman" w:hAnsi="Times New Roman" w:eastAsia="黑体" w:cs="Times New Roman"/>
                <w:sz w:val="24"/>
                <w:szCs w:val="24"/>
                <w:vertAlign w:val="baseline"/>
                <w:lang w:val="en-US" w:eastAsia="zh-CN"/>
              </w:rPr>
            </w:pPr>
          </w:p>
        </w:tc>
      </w:tr>
      <w:tr w14:paraId="09B6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408A908A">
            <w:pPr>
              <w:ind w:firstLine="241" w:firstLineChars="100"/>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2.5其他成本支出</w:t>
            </w:r>
          </w:p>
        </w:tc>
        <w:tc>
          <w:tcPr>
            <w:tcW w:w="735" w:type="dxa"/>
            <w:vAlign w:val="center"/>
          </w:tcPr>
          <w:p w14:paraId="6EFF779B">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19</w:t>
            </w:r>
          </w:p>
        </w:tc>
        <w:tc>
          <w:tcPr>
            <w:tcW w:w="1830" w:type="dxa"/>
            <w:vAlign w:val="center"/>
          </w:tcPr>
          <w:p w14:paraId="5F346619">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44E361D4">
            <w:pPr>
              <w:jc w:val="center"/>
              <w:rPr>
                <w:rFonts w:hint="default" w:ascii="Times New Roman" w:hAnsi="Times New Roman" w:eastAsia="黑体" w:cs="Times New Roman"/>
                <w:sz w:val="24"/>
                <w:szCs w:val="24"/>
                <w:vertAlign w:val="baseline"/>
                <w:lang w:val="en-US" w:eastAsia="zh-CN"/>
              </w:rPr>
            </w:pPr>
          </w:p>
        </w:tc>
      </w:tr>
      <w:tr w14:paraId="387C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3E522E8B">
            <w:pPr>
              <w:jc w:val="both"/>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3.经营收益（经营收入扣除经营成本后）</w:t>
            </w:r>
          </w:p>
        </w:tc>
        <w:tc>
          <w:tcPr>
            <w:tcW w:w="735" w:type="dxa"/>
            <w:vAlign w:val="center"/>
          </w:tcPr>
          <w:p w14:paraId="06B9C6F6">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20</w:t>
            </w:r>
          </w:p>
        </w:tc>
        <w:tc>
          <w:tcPr>
            <w:tcW w:w="1830" w:type="dxa"/>
            <w:vAlign w:val="center"/>
          </w:tcPr>
          <w:p w14:paraId="39E64422">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26415E98">
            <w:pPr>
              <w:jc w:val="center"/>
              <w:rPr>
                <w:rFonts w:hint="default" w:ascii="Times New Roman" w:hAnsi="Times New Roman" w:eastAsia="黑体" w:cs="Times New Roman"/>
                <w:sz w:val="24"/>
                <w:szCs w:val="24"/>
                <w:vertAlign w:val="baseline"/>
                <w:lang w:val="en-US" w:eastAsia="zh-CN"/>
              </w:rPr>
            </w:pPr>
          </w:p>
        </w:tc>
      </w:tr>
      <w:tr w14:paraId="107F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6441BF4F">
            <w:pPr>
              <w:jc w:val="both"/>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4.经营收益依约或经业主同意的支出</w:t>
            </w:r>
          </w:p>
        </w:tc>
        <w:tc>
          <w:tcPr>
            <w:tcW w:w="735" w:type="dxa"/>
            <w:vAlign w:val="center"/>
          </w:tcPr>
          <w:p w14:paraId="04015DD9">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21</w:t>
            </w:r>
          </w:p>
        </w:tc>
        <w:tc>
          <w:tcPr>
            <w:tcW w:w="1830" w:type="dxa"/>
            <w:vAlign w:val="center"/>
          </w:tcPr>
          <w:p w14:paraId="0ACBEB69">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2E2E65F5">
            <w:pPr>
              <w:jc w:val="center"/>
              <w:rPr>
                <w:rFonts w:hint="default" w:ascii="Times New Roman" w:hAnsi="Times New Roman" w:eastAsia="黑体" w:cs="Times New Roman"/>
                <w:sz w:val="24"/>
                <w:szCs w:val="24"/>
                <w:vertAlign w:val="baseline"/>
                <w:lang w:val="en-US" w:eastAsia="zh-CN"/>
              </w:rPr>
            </w:pPr>
          </w:p>
        </w:tc>
      </w:tr>
      <w:tr w14:paraId="4929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5631" w:type="dxa"/>
            <w:vAlign w:val="center"/>
          </w:tcPr>
          <w:p w14:paraId="45131669">
            <w:pPr>
              <w:ind w:firstLine="241" w:firstLineChars="1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4.1共用设施设备的维修、更新、改造及日常养护支出</w:t>
            </w:r>
          </w:p>
        </w:tc>
        <w:tc>
          <w:tcPr>
            <w:tcW w:w="735" w:type="dxa"/>
            <w:vAlign w:val="center"/>
          </w:tcPr>
          <w:p w14:paraId="5A9DDAFB">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22</w:t>
            </w:r>
          </w:p>
        </w:tc>
        <w:tc>
          <w:tcPr>
            <w:tcW w:w="1830" w:type="dxa"/>
            <w:vAlign w:val="center"/>
          </w:tcPr>
          <w:p w14:paraId="1422D7F4">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67497F9A">
            <w:pPr>
              <w:jc w:val="center"/>
              <w:rPr>
                <w:rFonts w:hint="default" w:ascii="Times New Roman" w:hAnsi="Times New Roman" w:eastAsia="黑体" w:cs="Times New Roman"/>
                <w:sz w:val="24"/>
                <w:szCs w:val="24"/>
                <w:vertAlign w:val="baseline"/>
                <w:lang w:val="en-US" w:eastAsia="zh-CN"/>
              </w:rPr>
            </w:pPr>
          </w:p>
        </w:tc>
      </w:tr>
      <w:tr w14:paraId="1B50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31B63F0D">
            <w:pPr>
              <w:ind w:firstLine="480" w:firstLineChars="2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4.1.1消防设备支出</w:t>
            </w:r>
          </w:p>
        </w:tc>
        <w:tc>
          <w:tcPr>
            <w:tcW w:w="735" w:type="dxa"/>
            <w:vAlign w:val="center"/>
          </w:tcPr>
          <w:p w14:paraId="01CEB525">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23</w:t>
            </w:r>
          </w:p>
        </w:tc>
        <w:tc>
          <w:tcPr>
            <w:tcW w:w="1830" w:type="dxa"/>
            <w:vAlign w:val="center"/>
          </w:tcPr>
          <w:p w14:paraId="6D3CD335">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ED398D9">
            <w:pPr>
              <w:jc w:val="center"/>
              <w:rPr>
                <w:rFonts w:hint="default" w:ascii="Times New Roman" w:hAnsi="Times New Roman" w:eastAsia="黑体" w:cs="Times New Roman"/>
                <w:sz w:val="24"/>
                <w:szCs w:val="24"/>
                <w:vertAlign w:val="baseline"/>
                <w:lang w:val="en-US" w:eastAsia="zh-CN"/>
              </w:rPr>
            </w:pPr>
          </w:p>
        </w:tc>
      </w:tr>
      <w:tr w14:paraId="0C74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E179711">
            <w:pPr>
              <w:ind w:firstLine="480" w:firstLineChars="2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4.1.2电梯设备支出</w:t>
            </w:r>
          </w:p>
        </w:tc>
        <w:tc>
          <w:tcPr>
            <w:tcW w:w="735" w:type="dxa"/>
            <w:vAlign w:val="center"/>
          </w:tcPr>
          <w:p w14:paraId="7C7A3113">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24</w:t>
            </w:r>
          </w:p>
        </w:tc>
        <w:tc>
          <w:tcPr>
            <w:tcW w:w="1830" w:type="dxa"/>
            <w:vAlign w:val="center"/>
          </w:tcPr>
          <w:p w14:paraId="1435B555">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07EDBD44">
            <w:pPr>
              <w:jc w:val="center"/>
              <w:rPr>
                <w:rFonts w:hint="default" w:ascii="Times New Roman" w:hAnsi="Times New Roman" w:eastAsia="黑体" w:cs="Times New Roman"/>
                <w:sz w:val="24"/>
                <w:szCs w:val="24"/>
                <w:vertAlign w:val="baseline"/>
                <w:lang w:val="en-US" w:eastAsia="zh-CN"/>
              </w:rPr>
            </w:pPr>
          </w:p>
        </w:tc>
      </w:tr>
      <w:tr w14:paraId="08E2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640D8243">
            <w:pPr>
              <w:ind w:firstLine="480" w:firstLineChars="2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4.1.3监控设备支出</w:t>
            </w:r>
          </w:p>
        </w:tc>
        <w:tc>
          <w:tcPr>
            <w:tcW w:w="735" w:type="dxa"/>
            <w:vAlign w:val="center"/>
          </w:tcPr>
          <w:p w14:paraId="1DCF2434">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25</w:t>
            </w:r>
          </w:p>
        </w:tc>
        <w:tc>
          <w:tcPr>
            <w:tcW w:w="1830" w:type="dxa"/>
            <w:vAlign w:val="center"/>
          </w:tcPr>
          <w:p w14:paraId="6325F9C9">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4EB826A">
            <w:pPr>
              <w:jc w:val="center"/>
              <w:rPr>
                <w:rFonts w:hint="default" w:ascii="Times New Roman" w:hAnsi="Times New Roman" w:eastAsia="黑体" w:cs="Times New Roman"/>
                <w:sz w:val="24"/>
                <w:szCs w:val="24"/>
                <w:vertAlign w:val="baseline"/>
                <w:lang w:val="en-US" w:eastAsia="zh-CN"/>
              </w:rPr>
            </w:pPr>
          </w:p>
        </w:tc>
      </w:tr>
      <w:tr w14:paraId="6ED9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7D6B6663">
            <w:pPr>
              <w:ind w:firstLine="480" w:firstLineChars="2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4.1.4其他共用设施设备支出</w:t>
            </w:r>
          </w:p>
        </w:tc>
        <w:tc>
          <w:tcPr>
            <w:tcW w:w="735" w:type="dxa"/>
            <w:vAlign w:val="center"/>
          </w:tcPr>
          <w:p w14:paraId="0DF8544A">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26</w:t>
            </w:r>
          </w:p>
        </w:tc>
        <w:tc>
          <w:tcPr>
            <w:tcW w:w="1830" w:type="dxa"/>
            <w:vAlign w:val="center"/>
          </w:tcPr>
          <w:p w14:paraId="0ABE15D1">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796BC9D8">
            <w:pPr>
              <w:jc w:val="center"/>
              <w:rPr>
                <w:rFonts w:hint="default" w:ascii="Times New Roman" w:hAnsi="Times New Roman" w:eastAsia="黑体" w:cs="Times New Roman"/>
                <w:sz w:val="24"/>
                <w:szCs w:val="24"/>
                <w:vertAlign w:val="baseline"/>
                <w:lang w:val="en-US" w:eastAsia="zh-CN"/>
              </w:rPr>
            </w:pPr>
          </w:p>
        </w:tc>
      </w:tr>
      <w:tr w14:paraId="63D7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42CB0E40">
            <w:pPr>
              <w:ind w:firstLine="241" w:firstLineChars="1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4.2共用部位维修、更新、改造及日常养护支出</w:t>
            </w:r>
          </w:p>
        </w:tc>
        <w:tc>
          <w:tcPr>
            <w:tcW w:w="735" w:type="dxa"/>
            <w:vAlign w:val="center"/>
          </w:tcPr>
          <w:p w14:paraId="728A3EC3">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27</w:t>
            </w:r>
          </w:p>
        </w:tc>
        <w:tc>
          <w:tcPr>
            <w:tcW w:w="1830" w:type="dxa"/>
            <w:vAlign w:val="center"/>
          </w:tcPr>
          <w:p w14:paraId="6AEA11E8">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58A645F2">
            <w:pPr>
              <w:jc w:val="center"/>
              <w:rPr>
                <w:rFonts w:hint="default" w:ascii="Times New Roman" w:hAnsi="Times New Roman" w:eastAsia="黑体" w:cs="Times New Roman"/>
                <w:sz w:val="24"/>
                <w:szCs w:val="24"/>
                <w:vertAlign w:val="baseline"/>
                <w:lang w:val="en-US" w:eastAsia="zh-CN"/>
              </w:rPr>
            </w:pPr>
          </w:p>
        </w:tc>
      </w:tr>
      <w:tr w14:paraId="3407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54D5EA40">
            <w:pPr>
              <w:ind w:firstLine="480" w:firstLineChars="2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4.2.1共用外墙面支出</w:t>
            </w:r>
          </w:p>
        </w:tc>
        <w:tc>
          <w:tcPr>
            <w:tcW w:w="735" w:type="dxa"/>
            <w:vAlign w:val="center"/>
          </w:tcPr>
          <w:p w14:paraId="5A8D10C5">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28</w:t>
            </w:r>
          </w:p>
        </w:tc>
        <w:tc>
          <w:tcPr>
            <w:tcW w:w="1830" w:type="dxa"/>
            <w:vAlign w:val="center"/>
          </w:tcPr>
          <w:p w14:paraId="55D7DE26">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7EC5D8F2">
            <w:pPr>
              <w:jc w:val="center"/>
              <w:rPr>
                <w:rFonts w:hint="default" w:ascii="Times New Roman" w:hAnsi="Times New Roman" w:eastAsia="黑体" w:cs="Times New Roman"/>
                <w:sz w:val="24"/>
                <w:szCs w:val="24"/>
                <w:vertAlign w:val="baseline"/>
                <w:lang w:val="en-US" w:eastAsia="zh-CN"/>
              </w:rPr>
            </w:pPr>
          </w:p>
        </w:tc>
      </w:tr>
      <w:tr w14:paraId="7573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CAEAE51">
            <w:pPr>
              <w:ind w:firstLine="480" w:firstLineChars="2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4.2.2共用屋顶支出</w:t>
            </w:r>
          </w:p>
        </w:tc>
        <w:tc>
          <w:tcPr>
            <w:tcW w:w="735" w:type="dxa"/>
            <w:vAlign w:val="center"/>
          </w:tcPr>
          <w:p w14:paraId="173E4AB3">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29</w:t>
            </w:r>
          </w:p>
        </w:tc>
        <w:tc>
          <w:tcPr>
            <w:tcW w:w="1830" w:type="dxa"/>
            <w:vAlign w:val="center"/>
          </w:tcPr>
          <w:p w14:paraId="27BA6000">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0FAC93E5">
            <w:pPr>
              <w:jc w:val="center"/>
              <w:rPr>
                <w:rFonts w:hint="default" w:ascii="Times New Roman" w:hAnsi="Times New Roman" w:eastAsia="黑体" w:cs="Times New Roman"/>
                <w:sz w:val="24"/>
                <w:szCs w:val="24"/>
                <w:vertAlign w:val="baseline"/>
                <w:lang w:val="en-US" w:eastAsia="zh-CN"/>
              </w:rPr>
            </w:pPr>
          </w:p>
        </w:tc>
      </w:tr>
      <w:tr w14:paraId="0597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0592FD10">
            <w:pPr>
              <w:ind w:firstLine="480" w:firstLineChars="2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4.2.3其他共用部位支出</w:t>
            </w:r>
          </w:p>
        </w:tc>
        <w:tc>
          <w:tcPr>
            <w:tcW w:w="735" w:type="dxa"/>
            <w:vAlign w:val="center"/>
          </w:tcPr>
          <w:p w14:paraId="2C189772">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30</w:t>
            </w:r>
          </w:p>
        </w:tc>
        <w:tc>
          <w:tcPr>
            <w:tcW w:w="1830" w:type="dxa"/>
            <w:vAlign w:val="center"/>
          </w:tcPr>
          <w:p w14:paraId="06CF5ECD">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59F28FB6">
            <w:pPr>
              <w:jc w:val="center"/>
              <w:rPr>
                <w:rFonts w:hint="default" w:ascii="Times New Roman" w:hAnsi="Times New Roman" w:eastAsia="黑体" w:cs="Times New Roman"/>
                <w:sz w:val="24"/>
                <w:szCs w:val="24"/>
                <w:vertAlign w:val="baseline"/>
                <w:lang w:val="en-US" w:eastAsia="zh-CN"/>
              </w:rPr>
            </w:pPr>
          </w:p>
        </w:tc>
      </w:tr>
      <w:tr w14:paraId="6D8A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5631" w:type="dxa"/>
            <w:vAlign w:val="center"/>
          </w:tcPr>
          <w:p w14:paraId="4823EA58">
            <w:pPr>
              <w:ind w:firstLine="241" w:firstLineChars="1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4.3未直接抄表到户的住宅小区的供电系统和供水系统运行维护（包括电费、损耗、日常维护维修等）支出</w:t>
            </w:r>
          </w:p>
        </w:tc>
        <w:tc>
          <w:tcPr>
            <w:tcW w:w="735" w:type="dxa"/>
            <w:vAlign w:val="center"/>
          </w:tcPr>
          <w:p w14:paraId="4EEF20D4">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31</w:t>
            </w:r>
          </w:p>
        </w:tc>
        <w:tc>
          <w:tcPr>
            <w:tcW w:w="1830" w:type="dxa"/>
            <w:vAlign w:val="center"/>
          </w:tcPr>
          <w:p w14:paraId="374B4139">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09CEDDF1">
            <w:pPr>
              <w:jc w:val="center"/>
              <w:rPr>
                <w:rFonts w:hint="default" w:ascii="Times New Roman" w:hAnsi="Times New Roman" w:eastAsia="黑体" w:cs="Times New Roman"/>
                <w:sz w:val="24"/>
                <w:szCs w:val="24"/>
                <w:vertAlign w:val="baseline"/>
                <w:lang w:val="en-US" w:eastAsia="zh-CN"/>
              </w:rPr>
            </w:pPr>
          </w:p>
        </w:tc>
      </w:tr>
      <w:tr w14:paraId="1AB0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5631" w:type="dxa"/>
            <w:vAlign w:val="center"/>
          </w:tcPr>
          <w:p w14:paraId="5D62DE24">
            <w:pPr>
              <w:ind w:firstLine="241" w:firstLineChars="100"/>
              <w:jc w:val="both"/>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4.4业主大会、业主委员会工作经费或开展业主活动支出</w:t>
            </w:r>
          </w:p>
        </w:tc>
        <w:tc>
          <w:tcPr>
            <w:tcW w:w="735" w:type="dxa"/>
            <w:vAlign w:val="center"/>
          </w:tcPr>
          <w:p w14:paraId="0FEBCD63">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32</w:t>
            </w:r>
          </w:p>
        </w:tc>
        <w:tc>
          <w:tcPr>
            <w:tcW w:w="1830" w:type="dxa"/>
            <w:vAlign w:val="center"/>
          </w:tcPr>
          <w:p w14:paraId="348EDADD">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0CEF3F65">
            <w:pPr>
              <w:jc w:val="center"/>
              <w:rPr>
                <w:rFonts w:hint="default" w:ascii="Times New Roman" w:hAnsi="Times New Roman" w:eastAsia="黑体" w:cs="Times New Roman"/>
                <w:sz w:val="24"/>
                <w:szCs w:val="24"/>
                <w:vertAlign w:val="baseline"/>
                <w:lang w:val="en-US" w:eastAsia="zh-CN"/>
              </w:rPr>
            </w:pPr>
          </w:p>
        </w:tc>
      </w:tr>
      <w:tr w14:paraId="0D11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5631" w:type="dxa"/>
            <w:vAlign w:val="center"/>
          </w:tcPr>
          <w:p w14:paraId="47AA0E5F">
            <w:pPr>
              <w:ind w:firstLine="241" w:firstLineChars="100"/>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4.5补充住宅专项维修资金</w:t>
            </w:r>
          </w:p>
        </w:tc>
        <w:tc>
          <w:tcPr>
            <w:tcW w:w="735" w:type="dxa"/>
            <w:vAlign w:val="center"/>
          </w:tcPr>
          <w:p w14:paraId="3013F93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33</w:t>
            </w:r>
          </w:p>
        </w:tc>
        <w:tc>
          <w:tcPr>
            <w:tcW w:w="1830" w:type="dxa"/>
            <w:vAlign w:val="center"/>
          </w:tcPr>
          <w:p w14:paraId="156C1F75">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1CCE696A">
            <w:pPr>
              <w:jc w:val="center"/>
              <w:rPr>
                <w:rFonts w:hint="default" w:ascii="Times New Roman" w:hAnsi="Times New Roman" w:eastAsia="黑体" w:cs="Times New Roman"/>
                <w:sz w:val="24"/>
                <w:szCs w:val="24"/>
                <w:vertAlign w:val="baseline"/>
                <w:lang w:val="en-US" w:eastAsia="zh-CN"/>
              </w:rPr>
            </w:pPr>
          </w:p>
        </w:tc>
      </w:tr>
      <w:tr w14:paraId="1D7F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56BF487C">
            <w:pPr>
              <w:ind w:firstLine="241" w:firstLineChars="100"/>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4.6依约分配给物业服务企业所有部分</w:t>
            </w:r>
          </w:p>
        </w:tc>
        <w:tc>
          <w:tcPr>
            <w:tcW w:w="735" w:type="dxa"/>
            <w:vAlign w:val="center"/>
          </w:tcPr>
          <w:p w14:paraId="7A3E2A4A">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34</w:t>
            </w:r>
          </w:p>
        </w:tc>
        <w:tc>
          <w:tcPr>
            <w:tcW w:w="1830" w:type="dxa"/>
            <w:vAlign w:val="center"/>
          </w:tcPr>
          <w:p w14:paraId="2C29E7D9">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7AEBE14C">
            <w:pPr>
              <w:jc w:val="center"/>
              <w:rPr>
                <w:rFonts w:hint="default" w:ascii="Times New Roman" w:hAnsi="Times New Roman" w:eastAsia="黑体" w:cs="Times New Roman"/>
                <w:sz w:val="24"/>
                <w:szCs w:val="24"/>
                <w:vertAlign w:val="baseline"/>
                <w:lang w:val="en-US" w:eastAsia="zh-CN"/>
              </w:rPr>
            </w:pPr>
          </w:p>
        </w:tc>
      </w:tr>
      <w:tr w14:paraId="410D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1DE14A2F">
            <w:pPr>
              <w:ind w:firstLine="241" w:firstLineChars="100"/>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4.7财务审计费用</w:t>
            </w:r>
          </w:p>
        </w:tc>
        <w:tc>
          <w:tcPr>
            <w:tcW w:w="735" w:type="dxa"/>
            <w:vAlign w:val="center"/>
          </w:tcPr>
          <w:p w14:paraId="2F9D1794">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35</w:t>
            </w:r>
          </w:p>
        </w:tc>
        <w:tc>
          <w:tcPr>
            <w:tcW w:w="1830" w:type="dxa"/>
            <w:vAlign w:val="center"/>
          </w:tcPr>
          <w:p w14:paraId="08C49EB7">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0CEB1E48">
            <w:pPr>
              <w:jc w:val="center"/>
              <w:rPr>
                <w:rFonts w:hint="default" w:ascii="Times New Roman" w:hAnsi="Times New Roman" w:eastAsia="黑体" w:cs="Times New Roman"/>
                <w:sz w:val="24"/>
                <w:szCs w:val="24"/>
                <w:vertAlign w:val="baseline"/>
                <w:lang w:val="en-US" w:eastAsia="zh-CN"/>
              </w:rPr>
            </w:pPr>
          </w:p>
        </w:tc>
      </w:tr>
      <w:tr w14:paraId="7B8B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2035CB53">
            <w:pPr>
              <w:ind w:firstLine="241" w:firstLineChars="100"/>
              <w:jc w:val="both"/>
              <w:rPr>
                <w:rFonts w:hint="default" w:ascii="Times New Roman" w:hAnsi="Times New Roman" w:eastAsia="黑体" w:cs="Times New Roman"/>
                <w:b/>
                <w:bCs/>
                <w:sz w:val="24"/>
                <w:szCs w:val="24"/>
                <w:vertAlign w:val="baseline"/>
                <w:lang w:val="en-US" w:eastAsia="zh-CN"/>
              </w:rPr>
            </w:pPr>
            <w:r>
              <w:rPr>
                <w:rFonts w:hint="default" w:ascii="Times New Roman" w:hAnsi="Times New Roman" w:eastAsia="黑体" w:cs="Times New Roman"/>
                <w:b/>
                <w:bCs/>
                <w:sz w:val="24"/>
                <w:szCs w:val="24"/>
                <w:vertAlign w:val="baseline"/>
                <w:lang w:val="en-US" w:eastAsia="zh-CN"/>
              </w:rPr>
              <w:t>4.8经业主大会同意的其他支出</w:t>
            </w:r>
          </w:p>
        </w:tc>
        <w:tc>
          <w:tcPr>
            <w:tcW w:w="735" w:type="dxa"/>
            <w:vAlign w:val="center"/>
          </w:tcPr>
          <w:p w14:paraId="6CA3D93F">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36</w:t>
            </w:r>
          </w:p>
        </w:tc>
        <w:tc>
          <w:tcPr>
            <w:tcW w:w="1830" w:type="dxa"/>
            <w:vAlign w:val="center"/>
          </w:tcPr>
          <w:p w14:paraId="1357D974">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31A2B9C3">
            <w:pPr>
              <w:jc w:val="center"/>
              <w:rPr>
                <w:rFonts w:hint="default" w:ascii="Times New Roman" w:hAnsi="Times New Roman" w:eastAsia="黑体" w:cs="Times New Roman"/>
                <w:sz w:val="24"/>
                <w:szCs w:val="24"/>
                <w:vertAlign w:val="baseline"/>
                <w:lang w:val="en-US" w:eastAsia="zh-CN"/>
              </w:rPr>
            </w:pPr>
          </w:p>
        </w:tc>
      </w:tr>
      <w:tr w14:paraId="136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61FFACD1">
            <w:pPr>
              <w:jc w:val="both"/>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5.本期经营收益结余（属业主共有）</w:t>
            </w:r>
          </w:p>
        </w:tc>
        <w:tc>
          <w:tcPr>
            <w:tcW w:w="735" w:type="dxa"/>
            <w:vAlign w:val="center"/>
          </w:tcPr>
          <w:p w14:paraId="0B9C25A0">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37</w:t>
            </w:r>
          </w:p>
        </w:tc>
        <w:tc>
          <w:tcPr>
            <w:tcW w:w="1830" w:type="dxa"/>
            <w:vAlign w:val="center"/>
          </w:tcPr>
          <w:p w14:paraId="69F8BD17">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2728DBA6">
            <w:pPr>
              <w:jc w:val="center"/>
              <w:rPr>
                <w:rFonts w:hint="default" w:ascii="Times New Roman" w:hAnsi="Times New Roman" w:eastAsia="黑体" w:cs="Times New Roman"/>
                <w:sz w:val="24"/>
                <w:szCs w:val="24"/>
                <w:vertAlign w:val="baseline"/>
                <w:lang w:val="en-US" w:eastAsia="zh-CN"/>
              </w:rPr>
            </w:pPr>
          </w:p>
        </w:tc>
      </w:tr>
      <w:tr w14:paraId="6548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31" w:type="dxa"/>
            <w:vAlign w:val="center"/>
          </w:tcPr>
          <w:p w14:paraId="652C1351">
            <w:pPr>
              <w:jc w:val="both"/>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6.累计经营收益结余（属业主共有）</w:t>
            </w:r>
          </w:p>
        </w:tc>
        <w:tc>
          <w:tcPr>
            <w:tcW w:w="735" w:type="dxa"/>
            <w:vAlign w:val="center"/>
          </w:tcPr>
          <w:p w14:paraId="47A4CAF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38</w:t>
            </w:r>
          </w:p>
        </w:tc>
        <w:tc>
          <w:tcPr>
            <w:tcW w:w="1830" w:type="dxa"/>
            <w:vAlign w:val="center"/>
          </w:tcPr>
          <w:p w14:paraId="5FA2E617">
            <w:pPr>
              <w:jc w:val="center"/>
              <w:rPr>
                <w:rFonts w:hint="default" w:ascii="Times New Roman" w:hAnsi="Times New Roman" w:eastAsia="黑体" w:cs="Times New Roman"/>
                <w:sz w:val="24"/>
                <w:szCs w:val="24"/>
                <w:vertAlign w:val="baseline"/>
                <w:lang w:val="en-US" w:eastAsia="zh-CN"/>
              </w:rPr>
            </w:pPr>
          </w:p>
        </w:tc>
        <w:tc>
          <w:tcPr>
            <w:tcW w:w="1517" w:type="dxa"/>
            <w:vAlign w:val="center"/>
          </w:tcPr>
          <w:p w14:paraId="6AA40BA3">
            <w:pPr>
              <w:jc w:val="center"/>
              <w:rPr>
                <w:rFonts w:hint="default" w:ascii="Times New Roman" w:hAnsi="Times New Roman" w:eastAsia="黑体" w:cs="Times New Roman"/>
                <w:sz w:val="24"/>
                <w:szCs w:val="24"/>
                <w:vertAlign w:val="baseline"/>
                <w:lang w:val="en-US" w:eastAsia="zh-CN"/>
              </w:rPr>
            </w:pPr>
          </w:p>
        </w:tc>
      </w:tr>
    </w:tbl>
    <w:p w14:paraId="4B7F23CD">
      <w:pPr>
        <w:rPr>
          <w:rFonts w:hint="default" w:ascii="Times New Roman" w:hAnsi="Times New Roman" w:cs="Times New Roman"/>
          <w:sz w:val="28"/>
          <w:szCs w:val="28"/>
          <w:lang w:val="en-US" w:eastAsia="zh-CN"/>
        </w:rPr>
      </w:pPr>
      <w:r>
        <w:rPr>
          <w:rFonts w:hint="default" w:ascii="Times New Roman" w:hAnsi="Times New Roman" w:cs="Times New Roman"/>
          <w:sz w:val="44"/>
          <w:szCs w:val="44"/>
          <w:lang w:val="en-US" w:eastAsia="zh-CN"/>
          <w:eastAsianLayout w:id="1" w:combine="1"/>
        </w:rPr>
        <w:t>业主委员会或者物业管理委员会</w:t>
      </w:r>
      <w:r>
        <w:rPr>
          <w:rFonts w:hint="default" w:ascii="Times New Roman" w:hAnsi="Times New Roman" w:cs="Times New Roman"/>
          <w:sz w:val="28"/>
          <w:szCs w:val="28"/>
          <w:lang w:val="en-US" w:eastAsia="zh-CN"/>
        </w:rPr>
        <w:t>负责人（签字）：                  物业服务企业负责人（签字）：</w:t>
      </w:r>
    </w:p>
    <w:p w14:paraId="576921E0">
      <w:pPr>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业主委员会（盖章）                         物业服务企业（盖章）</w:t>
      </w:r>
    </w:p>
    <w:p w14:paraId="2305B187">
      <w:pPr>
        <w:keepNext w:val="0"/>
        <w:keepLines w:val="0"/>
        <w:pageBreakBefore w:val="0"/>
        <w:widowControl w:val="0"/>
        <w:kinsoku/>
        <w:wordWrap/>
        <w:overflowPunct/>
        <w:topLinePunct w:val="0"/>
        <w:autoSpaceDE/>
        <w:autoSpaceDN/>
        <w:bidi w:val="0"/>
        <w:adjustRightInd/>
        <w:snapToGrid/>
        <w:spacing w:line="380" w:lineRule="exact"/>
        <w:ind w:left="840" w:hanging="840" w:hangingChars="300"/>
        <w:textAlignment w:val="auto"/>
        <w:rPr>
          <w:rFonts w:hint="eastAsia" w:ascii="黑体" w:hAnsi="黑体" w:eastAsia="黑体" w:cs="黑体"/>
          <w:sz w:val="28"/>
          <w:szCs w:val="28"/>
          <w:lang w:val="en-US" w:eastAsia="zh-CN"/>
        </w:rPr>
      </w:pPr>
    </w:p>
    <w:p w14:paraId="6D8E27A9">
      <w:pPr>
        <w:keepNext w:val="0"/>
        <w:keepLines w:val="0"/>
        <w:pageBreakBefore w:val="0"/>
        <w:widowControl w:val="0"/>
        <w:kinsoku/>
        <w:wordWrap/>
        <w:overflowPunct/>
        <w:topLinePunct w:val="0"/>
        <w:autoSpaceDE/>
        <w:autoSpaceDN/>
        <w:bidi w:val="0"/>
        <w:adjustRightInd/>
        <w:snapToGrid/>
        <w:spacing w:line="380" w:lineRule="exact"/>
        <w:ind w:left="840" w:hanging="720" w:hangingChars="300"/>
        <w:textAlignment w:val="auto"/>
        <w:rPr>
          <w:rFonts w:hint="eastAsia" w:ascii="Times New Roman" w:cs="Times New Roman"/>
          <w:w w:val="90"/>
          <w:sz w:val="24"/>
          <w:szCs w:val="24"/>
          <w:lang w:val="en-US" w:eastAsia="zh-CN"/>
        </w:rPr>
      </w:pPr>
      <w:r>
        <w:rPr>
          <w:rFonts w:hint="eastAsia" w:ascii="黑体" w:hAnsi="黑体" w:eastAsia="黑体" w:cs="黑体"/>
          <w:sz w:val="24"/>
          <w:szCs w:val="24"/>
          <w:lang w:val="en-US" w:eastAsia="zh-CN"/>
        </w:rPr>
        <w:t>说明：</w:t>
      </w:r>
      <w:r>
        <w:rPr>
          <w:rFonts w:hint="eastAsia" w:ascii="Times New Roman" w:cs="Times New Roman"/>
          <w:w w:val="90"/>
          <w:sz w:val="24"/>
          <w:szCs w:val="24"/>
          <w:lang w:val="en-US" w:eastAsia="zh-CN"/>
        </w:rPr>
        <w:t>1.经营收益（经营收入扣除经营成本后）序列20=1-14；本期经营收益结余（属业主共有）序列37=20-21</w:t>
      </w:r>
    </w:p>
    <w:p w14:paraId="4672606E">
      <w:pPr>
        <w:keepNext w:val="0"/>
        <w:keepLines w:val="0"/>
        <w:pageBreakBefore w:val="0"/>
        <w:widowControl w:val="0"/>
        <w:kinsoku/>
        <w:wordWrap/>
        <w:overflowPunct/>
        <w:topLinePunct w:val="0"/>
        <w:autoSpaceDE/>
        <w:autoSpaceDN/>
        <w:bidi w:val="0"/>
        <w:adjustRightInd/>
        <w:snapToGrid/>
        <w:spacing w:line="380" w:lineRule="exact"/>
        <w:ind w:left="548" w:leftChars="261" w:firstLine="0" w:firstLineChars="0"/>
        <w:textAlignment w:val="auto"/>
        <w:rPr>
          <w:rFonts w:hint="eastAsia" w:ascii="Times New Roman" w:cs="Times New Roman"/>
          <w:w w:val="90"/>
          <w:sz w:val="24"/>
          <w:szCs w:val="24"/>
          <w:lang w:val="en-US" w:eastAsia="zh-CN"/>
        </w:rPr>
      </w:pPr>
      <w:r>
        <w:rPr>
          <w:rFonts w:hint="eastAsia" w:ascii="Times New Roman" w:cs="Times New Roman"/>
          <w:w w:val="90"/>
          <w:sz w:val="24"/>
          <w:szCs w:val="24"/>
          <w:lang w:val="en-US" w:eastAsia="zh-CN"/>
        </w:rPr>
        <w:t>2.本模板未罗列穷尽的其他依法属于业主共有部分的收入及支出项应当在本表中合适位置增加栏目予以公开。</w:t>
      </w:r>
    </w:p>
    <w:p w14:paraId="38C50B6D">
      <w:pPr>
        <w:keepNext w:val="0"/>
        <w:keepLines w:val="0"/>
        <w:pageBreakBefore w:val="0"/>
        <w:widowControl w:val="0"/>
        <w:kinsoku/>
        <w:wordWrap/>
        <w:overflowPunct/>
        <w:topLinePunct w:val="0"/>
        <w:autoSpaceDE/>
        <w:autoSpaceDN/>
        <w:bidi w:val="0"/>
        <w:adjustRightInd/>
        <w:snapToGrid/>
        <w:spacing w:line="380" w:lineRule="exact"/>
        <w:ind w:left="548" w:leftChars="261" w:firstLine="0" w:firstLineChars="0"/>
        <w:textAlignment w:val="auto"/>
        <w:rPr>
          <w:rFonts w:hint="eastAsia" w:ascii="Times New Roman" w:cs="Times New Roman"/>
          <w:w w:val="90"/>
          <w:sz w:val="24"/>
          <w:szCs w:val="24"/>
          <w:lang w:val="en-US" w:eastAsia="zh-CN"/>
        </w:rPr>
      </w:pPr>
      <w:r>
        <w:rPr>
          <w:rFonts w:hint="eastAsia" w:ascii="Times New Roman" w:cs="Times New Roman"/>
          <w:w w:val="90"/>
          <w:sz w:val="24"/>
          <w:szCs w:val="24"/>
          <w:lang w:val="en-US" w:eastAsia="zh-CN"/>
        </w:rPr>
        <w:t>3.本模板及列举项目、填写范例供参考使用，物业服务企业可结合实际做相应调整。</w:t>
      </w:r>
    </w:p>
    <w:p w14:paraId="0B579305">
      <w:pPr>
        <w:keepNext w:val="0"/>
        <w:keepLines w:val="0"/>
        <w:pageBreakBefore w:val="0"/>
        <w:widowControl w:val="0"/>
        <w:kinsoku/>
        <w:wordWrap/>
        <w:overflowPunct/>
        <w:topLinePunct w:val="0"/>
        <w:autoSpaceDE/>
        <w:autoSpaceDN/>
        <w:bidi w:val="0"/>
        <w:adjustRightInd/>
        <w:snapToGrid/>
        <w:spacing w:line="380" w:lineRule="exact"/>
        <w:ind w:left="548" w:leftChars="261" w:firstLine="0" w:firstLineChars="0"/>
        <w:textAlignment w:val="auto"/>
        <w:rPr>
          <w:rFonts w:hint="default" w:ascii="Times New Roman" w:cs="Times New Roman"/>
          <w:sz w:val="24"/>
          <w:szCs w:val="24"/>
          <w:lang w:val="en-US" w:eastAsia="zh-CN"/>
        </w:rPr>
      </w:pPr>
      <w:r>
        <w:rPr>
          <w:rFonts w:hint="eastAsia" w:ascii="Times New Roman" w:cs="Times New Roman"/>
          <w:w w:val="90"/>
          <w:sz w:val="24"/>
          <w:szCs w:val="24"/>
          <w:lang w:val="en-US" w:eastAsia="zh-CN"/>
        </w:rPr>
        <w:t>4.公开的文本保持清晰醒目、便于阅览。</w:t>
      </w:r>
    </w:p>
    <w:p w14:paraId="7988EB1C">
      <w:pPr>
        <w:wordWrap/>
        <w:jc w:val="left"/>
        <w:rPr>
          <w:rFonts w:hint="default" w:ascii="宋体" w:hAnsi="宋体" w:eastAsia="宋体" w:cs="宋体"/>
          <w:i w:val="0"/>
          <w:iCs w:val="0"/>
          <w:caps w:val="0"/>
          <w:color w:val="000000"/>
          <w:spacing w:val="0"/>
          <w:sz w:val="30"/>
          <w:szCs w:val="30"/>
          <w:shd w:val="clear" w:fill="FFFFFF"/>
          <w:lang w:val="en-US" w:eastAsia="zh-CN"/>
        </w:rPr>
      </w:pP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79A455-98D0-40FE-B85C-C744CDC3FF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3E33661-AB6D-43FA-B746-872635C92742}"/>
  </w:font>
  <w:font w:name="方正小标宋_GBK">
    <w:panose1 w:val="03000509000000000000"/>
    <w:charset w:val="86"/>
    <w:family w:val="auto"/>
    <w:pitch w:val="default"/>
    <w:sig w:usb0="00000001" w:usb1="080E0000" w:usb2="00000000" w:usb3="00000000" w:csb0="00040000" w:csb1="00000000"/>
    <w:embedRegular r:id="rId3" w:fontKey="{D61B3117-6FA5-494E-9B44-B017A09392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C1CB9"/>
    <w:rsid w:val="107C2998"/>
    <w:rsid w:val="185E0AB0"/>
    <w:rsid w:val="1DD46EA4"/>
    <w:rsid w:val="1E4A24D7"/>
    <w:rsid w:val="1E707ECB"/>
    <w:rsid w:val="28C01A4F"/>
    <w:rsid w:val="2D223C99"/>
    <w:rsid w:val="397523E2"/>
    <w:rsid w:val="3B0911E6"/>
    <w:rsid w:val="3CC90106"/>
    <w:rsid w:val="3EB40310"/>
    <w:rsid w:val="4AEC1CB9"/>
    <w:rsid w:val="4E6C33F4"/>
    <w:rsid w:val="65986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pPr>
      <w:spacing w:line="560" w:lineRule="exact"/>
      <w:ind w:firstLine="883" w:firstLineChars="200"/>
      <w:jc w:val="left"/>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3583</Words>
  <Characters>3615</Characters>
  <Lines>0</Lines>
  <Paragraphs>0</Paragraphs>
  <TotalTime>38</TotalTime>
  <ScaleCrop>false</ScaleCrop>
  <LinksUpToDate>false</LinksUpToDate>
  <CharactersWithSpaces>3659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2025-04-09T02:40:00Z</dcterms:created>
  <dc:creator>WPS_17050581691</dc:creator>
  <cp:lastModifiedBy>WPS_17050581691</cp:lastModifiedBy>
  <dcterms:modified xsi:type="dcterms:W3CDTF">2025-09-08T07:45:27Z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91983F3FE6E740B0B5AD50B877A171BB_13</vt:lpwstr>
  </property>
  <property fmtid="{D5CDD505-2E9C-101B-9397-08002B2CF9AE}" pid="4" name="KSOTemplateDocerSaveRecord">
    <vt:lpwstr>eyJoZGlkIjoiOTViMjQwMGJkZDZiMGNjOWM1OTlmYzkxMGRhNWJiMWUiLCJ1c2VySWQiOiIyNDQzNzQxNzgifQ==</vt:lpwstr>
  </property>
</Properties>
</file>