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val="en-US" w:eastAsia="zh-CN"/>
        </w:rPr>
        <w:t>景德镇市昌江区民政</w:t>
      </w:r>
      <w:r>
        <w:rPr>
          <w:rFonts w:hint="eastAsia" w:ascii="黑体" w:hAnsi="黑体" w:eastAsia="黑体"/>
          <w:sz w:val="44"/>
          <w:szCs w:val="36"/>
          <w:lang w:eastAsia="zh-CN"/>
        </w:rPr>
        <w:t>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景德镇市昌江区民政</w:t>
      </w:r>
      <w:r>
        <w:rPr>
          <w:rFonts w:hint="eastAsia" w:ascii="黑体" w:hAnsi="黑体" w:eastAsia="黑体"/>
          <w:b/>
          <w:sz w:val="32"/>
          <w:szCs w:val="32"/>
          <w:lang w:eastAsia="zh-CN"/>
        </w:rPr>
        <w:t>局</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第二部分  201</w:t>
      </w:r>
      <w:r>
        <w:rPr>
          <w:rFonts w:hint="eastAsia" w:ascii="黑体" w:hAnsi="黑体" w:eastAsia="黑体"/>
          <w:b/>
          <w:sz w:val="32"/>
          <w:szCs w:val="32"/>
          <w:lang w:val="en-US" w:eastAsia="zh-CN"/>
        </w:rPr>
        <w:t>9</w:t>
      </w:r>
      <w:r>
        <w:rPr>
          <w:rFonts w:hint="eastAsia" w:ascii="黑体" w:hAnsi="黑体" w:eastAsia="黑体"/>
          <w:b/>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第三部分  201</w:t>
      </w:r>
      <w:r>
        <w:rPr>
          <w:rFonts w:hint="eastAsia" w:ascii="黑体" w:hAnsi="黑体" w:eastAsia="黑体"/>
          <w:b/>
          <w:sz w:val="32"/>
          <w:szCs w:val="32"/>
          <w:lang w:val="en-US" w:eastAsia="zh-CN"/>
        </w:rPr>
        <w:t>9</w:t>
      </w:r>
      <w:r>
        <w:rPr>
          <w:rFonts w:hint="eastAsia" w:ascii="黑体" w:hAnsi="黑体" w:eastAsia="黑体"/>
          <w:b/>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景德镇市</w:t>
      </w:r>
      <w:r>
        <w:rPr>
          <w:rFonts w:hint="eastAsia" w:ascii="宋体" w:hAnsi="宋体"/>
          <w:b/>
          <w:sz w:val="32"/>
          <w:szCs w:val="32"/>
          <w:lang w:val="en-US" w:eastAsia="zh-CN"/>
        </w:rPr>
        <w:t>昌江区民政局</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snapToGrid w:val="0"/>
        <w:spacing w:line="520" w:lineRule="exact"/>
        <w:ind w:firstLine="643" w:firstLineChars="200"/>
        <w:rPr>
          <w:rFonts w:hint="eastAsia" w:ascii="仿宋_GB2312" w:hAnsi="仿宋" w:eastAsia="仿宋_GB2312"/>
          <w:sz w:val="32"/>
          <w:szCs w:val="32"/>
        </w:rPr>
      </w:pPr>
      <w:r>
        <w:rPr>
          <w:rFonts w:hint="eastAsia" w:ascii="楷体_GB2312" w:hAnsi="仿宋" w:eastAsia="楷体_GB2312"/>
          <w:b/>
          <w:sz w:val="32"/>
          <w:szCs w:val="32"/>
        </w:rPr>
        <w:t>（一）基本情况。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00" w:firstLineChars="200"/>
        <w:rPr>
          <w:rFonts w:hint="eastAsia" w:ascii="仿宋_GB2312" w:hAnsi="仿宋" w:eastAsia="仿宋_GB2312"/>
          <w:sz w:val="32"/>
          <w:szCs w:val="32"/>
        </w:rPr>
      </w:pPr>
      <w:r>
        <w:rPr>
          <w:rFonts w:hint="eastAsia" w:ascii="仿宋" w:hAnsi="仿宋" w:eastAsia="仿宋"/>
          <w:sz w:val="30"/>
          <w:szCs w:val="30"/>
        </w:rPr>
        <w:t>昌江区民政局是政府主管社会行政事务的职能部门，履行着“上为政府分忧，下为群众解愁”的重要职能，主管救灾救济、双拥优抚安置、民间组织管理、基层政权建设、城乡居民最低生活保障、五保供养、社会福利和社会事务，区划地名，老龄事务，水库移民和扶贫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2．机构情况，包括当年变动情况及原因。</w:t>
      </w:r>
    </w:p>
    <w:p>
      <w:pPr>
        <w:snapToGrid w:val="0"/>
        <w:spacing w:line="520" w:lineRule="exact"/>
        <w:ind w:firstLine="600" w:firstLineChars="200"/>
        <w:rPr>
          <w:rFonts w:hint="eastAsia" w:ascii="仿宋_GB2312" w:hAnsi="仿宋" w:eastAsia="仿宋_GB2312"/>
          <w:sz w:val="32"/>
          <w:szCs w:val="32"/>
        </w:rPr>
      </w:pPr>
      <w:r>
        <w:rPr>
          <w:rFonts w:hint="eastAsia" w:ascii="仿宋" w:hAnsi="仿宋" w:eastAsia="仿宋"/>
          <w:sz w:val="30"/>
          <w:szCs w:val="30"/>
        </w:rPr>
        <w:t>纳入本套部门决算汇编范围的单位共1个，包括：景德镇市昌江区民政局本级。</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3．人员情况，包括当年变动情况及原因。</w:t>
      </w:r>
    </w:p>
    <w:p>
      <w:pPr>
        <w:pStyle w:val="4"/>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 w:hAnsi="仿宋" w:eastAsia="仿宋"/>
          <w:sz w:val="30"/>
          <w:szCs w:val="30"/>
        </w:rPr>
        <w:t>本部门201</w:t>
      </w:r>
      <w:r>
        <w:rPr>
          <w:rFonts w:ascii="仿宋" w:hAnsi="仿宋" w:eastAsia="仿宋"/>
          <w:sz w:val="30"/>
          <w:szCs w:val="30"/>
        </w:rPr>
        <w:t>9</w:t>
      </w:r>
      <w:r>
        <w:rPr>
          <w:rFonts w:hint="eastAsia" w:ascii="仿宋" w:hAnsi="仿宋" w:eastAsia="仿宋"/>
          <w:sz w:val="30"/>
          <w:szCs w:val="30"/>
        </w:rPr>
        <w:t>年年末编制人数15人，其中行政编制6人，事业编制9人；年末实有人数1</w:t>
      </w:r>
      <w:r>
        <w:rPr>
          <w:rFonts w:ascii="仿宋" w:hAnsi="仿宋" w:eastAsia="仿宋"/>
          <w:sz w:val="30"/>
          <w:szCs w:val="30"/>
        </w:rPr>
        <w:t>4</w:t>
      </w:r>
      <w:r>
        <w:rPr>
          <w:rFonts w:hint="eastAsia" w:ascii="仿宋" w:hAnsi="仿宋" w:eastAsia="仿宋"/>
          <w:sz w:val="30"/>
          <w:szCs w:val="30"/>
        </w:rPr>
        <w:t>人，其中在职人员</w:t>
      </w:r>
      <w:r>
        <w:rPr>
          <w:rFonts w:ascii="仿宋" w:hAnsi="仿宋" w:eastAsia="仿宋"/>
          <w:sz w:val="30"/>
          <w:szCs w:val="30"/>
        </w:rPr>
        <w:t>14</w:t>
      </w:r>
      <w:r>
        <w:rPr>
          <w:rFonts w:hint="eastAsia" w:ascii="仿宋" w:hAnsi="仿宋" w:eastAsia="仿宋"/>
          <w:sz w:val="30"/>
          <w:szCs w:val="30"/>
        </w:rPr>
        <w:t>人，离休人员0人，退休人员0人（退休人员工资自2017年6月份开始在社保发放）；临时工人数</w:t>
      </w:r>
      <w:r>
        <w:rPr>
          <w:rFonts w:ascii="仿宋" w:hAnsi="仿宋" w:eastAsia="仿宋"/>
          <w:sz w:val="30"/>
          <w:szCs w:val="30"/>
        </w:rPr>
        <w:t>8</w:t>
      </w:r>
      <w:r>
        <w:rPr>
          <w:rFonts w:hint="eastAsia" w:ascii="仿宋" w:hAnsi="仿宋" w:eastAsia="仿宋"/>
          <w:sz w:val="30"/>
          <w:szCs w:val="30"/>
        </w:rPr>
        <w:t>人。</w:t>
      </w:r>
    </w:p>
    <w:p>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（二）当年取得的主要事业成效。</w:t>
      </w:r>
    </w:p>
    <w:p>
      <w:pPr>
        <w:snapToGrid w:val="0"/>
        <w:spacing w:line="520" w:lineRule="exact"/>
        <w:ind w:firstLine="640" w:firstLineChars="200"/>
        <w:rPr>
          <w:rFonts w:hint="eastAsia" w:ascii="楷体_GB2312" w:hAnsi="仿宋" w:eastAsia="楷体_GB2312"/>
          <w:b/>
          <w:sz w:val="32"/>
          <w:szCs w:val="32"/>
        </w:rPr>
      </w:pPr>
      <w:r>
        <w:rPr>
          <w:rFonts w:hint="eastAsia" w:ascii="仿宋" w:hAnsi="仿宋" w:eastAsia="仿宋" w:cs="仿宋"/>
          <w:sz w:val="32"/>
          <w:szCs w:val="32"/>
        </w:rPr>
        <w:t>201</w:t>
      </w:r>
      <w:r>
        <w:rPr>
          <w:rFonts w:ascii="仿宋" w:hAnsi="仿宋" w:eastAsia="仿宋" w:cs="仿宋"/>
          <w:sz w:val="32"/>
          <w:szCs w:val="32"/>
        </w:rPr>
        <w:t>9</w:t>
      </w:r>
      <w:r>
        <w:rPr>
          <w:rFonts w:hint="eastAsia" w:ascii="仿宋" w:hAnsi="仿宋" w:eastAsia="仿宋" w:cs="仿宋"/>
          <w:sz w:val="32"/>
          <w:szCs w:val="32"/>
        </w:rPr>
        <w:t>年保障民众最低生活保障，对大型灾害进行救助，加大对优抚对象的服务，保障老有所养。</w:t>
      </w:r>
    </w:p>
    <w:p>
      <w:pPr>
        <w:ind w:firstLine="630"/>
        <w:jc w:val="left"/>
        <w:rPr>
          <w:rFonts w:hint="eastAsia" w:ascii="仿宋" w:hAnsi="仿宋" w:eastAsia="仿宋"/>
          <w:sz w:val="30"/>
          <w:szCs w:val="30"/>
        </w:rPr>
      </w:pPr>
    </w:p>
    <w:p>
      <w:pPr>
        <w:widowControl/>
        <w:spacing w:line="600" w:lineRule="exact"/>
        <w:jc w:val="both"/>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72405" cy="5247005"/>
            <wp:effectExtent l="0" t="0" r="444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524700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675630" cy="3503295"/>
            <wp:effectExtent l="0" t="0" r="127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675630" cy="3503295"/>
                    </a:xfrm>
                    <a:prstGeom prst="rect">
                      <a:avLst/>
                    </a:prstGeom>
                    <a:noFill/>
                    <a:ln>
                      <a:noFill/>
                    </a:ln>
                  </pic:spPr>
                </pic:pic>
              </a:graphicData>
            </a:graphic>
          </wp:inline>
        </w:drawing>
      </w: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5271770" cy="4463415"/>
            <wp:effectExtent l="0" t="0" r="5080" b="133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1770" cy="4463415"/>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69865" cy="4300220"/>
            <wp:effectExtent l="0" t="0" r="698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9865" cy="4300220"/>
                    </a:xfrm>
                    <a:prstGeom prst="rect">
                      <a:avLst/>
                    </a:prstGeom>
                    <a:noFill/>
                    <a:ln>
                      <a:noFill/>
                    </a:ln>
                  </pic:spPr>
                </pic:pic>
              </a:graphicData>
            </a:graphic>
          </wp:inline>
        </w:drawing>
      </w: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467350" cy="5715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467350" cy="5715000"/>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67325" cy="3853180"/>
            <wp:effectExtent l="0" t="0" r="9525" b="139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67325" cy="3853180"/>
                    </a:xfrm>
                    <a:prstGeom prst="rect">
                      <a:avLst/>
                    </a:prstGeom>
                    <a:noFill/>
                    <a:ln>
                      <a:noFill/>
                    </a:ln>
                  </pic:spPr>
                </pic:pic>
              </a:graphicData>
            </a:graphic>
          </wp:inline>
        </w:drawing>
      </w:r>
      <w:r>
        <w:drawing>
          <wp:inline distT="0" distB="0" distL="114300" distR="114300">
            <wp:extent cx="5272405" cy="3873500"/>
            <wp:effectExtent l="0" t="0" r="4445" b="1270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72405" cy="3873500"/>
                    </a:xfrm>
                    <a:prstGeom prst="rect">
                      <a:avLst/>
                    </a:prstGeom>
                    <a:noFill/>
                    <a:ln>
                      <a:noFill/>
                    </a:ln>
                  </pic:spPr>
                </pic:pic>
              </a:graphicData>
            </a:graphic>
          </wp:inline>
        </w:drawing>
      </w:r>
      <w:r>
        <w:drawing>
          <wp:inline distT="0" distB="0" distL="114300" distR="114300">
            <wp:extent cx="5272405" cy="1224280"/>
            <wp:effectExtent l="0" t="0" r="4445" b="139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72405" cy="122428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pPr>
      <w:r>
        <w:drawing>
          <wp:inline distT="0" distB="0" distL="114300" distR="114300">
            <wp:extent cx="5270500" cy="4710430"/>
            <wp:effectExtent l="0" t="0" r="6350" b="139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70500" cy="4710430"/>
                    </a:xfrm>
                    <a:prstGeom prst="rect">
                      <a:avLst/>
                    </a:prstGeom>
                    <a:noFill/>
                    <a:ln>
                      <a:noFill/>
                    </a:ln>
                  </pic:spPr>
                </pic:pic>
              </a:graphicData>
            </a:graphic>
          </wp:inline>
        </w:drawing>
      </w: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pPr>
      <w:r>
        <w:drawing>
          <wp:inline distT="0" distB="0" distL="114300" distR="114300">
            <wp:extent cx="5269865" cy="1807210"/>
            <wp:effectExtent l="0" t="0" r="6985"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5269865" cy="180721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4838700" cy="300037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4838700" cy="300037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6496.94</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206.69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11.92</w:t>
      </w:r>
      <w:r>
        <w:rPr>
          <w:rFonts w:hint="eastAsia" w:ascii="仿宋" w:hAnsi="仿宋" w:eastAsia="仿宋"/>
          <w:sz w:val="30"/>
          <w:szCs w:val="30"/>
        </w:rPr>
        <w:t>万元，增长</w:t>
      </w:r>
      <w:r>
        <w:rPr>
          <w:rFonts w:hint="eastAsia" w:ascii="仿宋" w:hAnsi="仿宋" w:eastAsia="仿宋"/>
          <w:sz w:val="30"/>
          <w:szCs w:val="30"/>
          <w:lang w:val="en-US" w:eastAsia="zh-CN"/>
        </w:rPr>
        <w:t>6.12</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6290.25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1032.69</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14.10</w:t>
      </w:r>
      <w:r>
        <w:rPr>
          <w:rFonts w:hint="eastAsia" w:ascii="仿宋" w:hAnsi="仿宋" w:eastAsia="仿宋"/>
          <w:sz w:val="30"/>
          <w:szCs w:val="30"/>
        </w:rPr>
        <w:t>%。</w:t>
      </w:r>
    </w:p>
    <w:p>
      <w:pPr>
        <w:snapToGrid w:val="0"/>
        <w:spacing w:line="520" w:lineRule="exact"/>
        <w:ind w:firstLine="600" w:firstLineChars="200"/>
        <w:rPr>
          <w:rFonts w:hint="eastAsia" w:ascii="仿宋_GB2312" w:hAnsi="仿宋_GB2312" w:eastAsia="仿宋_GB2312" w:cs="仿宋_GB2312"/>
          <w:sz w:val="32"/>
          <w:szCs w:val="32"/>
          <w:lang w:eastAsia="zh-CN"/>
        </w:rPr>
      </w:pPr>
      <w:r>
        <w:rPr>
          <w:rFonts w:hint="eastAsia" w:ascii="仿宋" w:hAnsi="仿宋" w:eastAsia="仿宋" w:cs="仿宋"/>
          <w:sz w:val="30"/>
          <w:szCs w:val="30"/>
        </w:rPr>
        <w:t>本年收入的具体构成为：财政拨款收入</w:t>
      </w:r>
      <w:r>
        <w:rPr>
          <w:rFonts w:hint="eastAsia" w:ascii="仿宋" w:hAnsi="仿宋" w:eastAsia="仿宋" w:cs="仿宋"/>
          <w:sz w:val="30"/>
          <w:szCs w:val="30"/>
          <w:lang w:val="en-US" w:eastAsia="zh-CN"/>
        </w:rPr>
        <w:t>5761.43</w:t>
      </w:r>
      <w:r>
        <w:rPr>
          <w:rFonts w:hint="eastAsia" w:ascii="仿宋" w:hAnsi="仿宋" w:eastAsia="仿宋" w:cs="仿宋"/>
          <w:sz w:val="30"/>
          <w:szCs w:val="30"/>
        </w:rPr>
        <w:t>万元占总收入的</w:t>
      </w:r>
      <w:r>
        <w:rPr>
          <w:rFonts w:hint="eastAsia" w:ascii="仿宋" w:hAnsi="仿宋" w:eastAsia="仿宋" w:cs="仿宋"/>
          <w:sz w:val="30"/>
          <w:szCs w:val="30"/>
          <w:lang w:val="en-US" w:eastAsia="zh-CN"/>
        </w:rPr>
        <w:t>91.59</w:t>
      </w:r>
      <w:r>
        <w:rPr>
          <w:rFonts w:hint="eastAsia" w:ascii="仿宋" w:hAnsi="仿宋" w:eastAsia="仿宋" w:cs="仿宋"/>
          <w:sz w:val="30"/>
          <w:szCs w:val="30"/>
        </w:rPr>
        <w:t>%、其他收入</w:t>
      </w:r>
      <w:r>
        <w:rPr>
          <w:rFonts w:hint="eastAsia" w:ascii="仿宋" w:hAnsi="仿宋" w:eastAsia="仿宋" w:cs="仿宋"/>
          <w:sz w:val="30"/>
          <w:szCs w:val="30"/>
          <w:lang w:val="en-US" w:eastAsia="zh-CN"/>
        </w:rPr>
        <w:t>528.82</w:t>
      </w:r>
      <w:r>
        <w:rPr>
          <w:rFonts w:hint="eastAsia" w:ascii="仿宋" w:hAnsi="仿宋" w:eastAsia="仿宋" w:cs="仿宋"/>
          <w:sz w:val="30"/>
          <w:szCs w:val="30"/>
        </w:rPr>
        <w:t>万元占总收入的</w:t>
      </w:r>
      <w:r>
        <w:rPr>
          <w:rFonts w:hint="eastAsia" w:ascii="仿宋" w:hAnsi="仿宋" w:eastAsia="仿宋" w:cs="仿宋"/>
          <w:sz w:val="30"/>
          <w:szCs w:val="30"/>
          <w:lang w:val="en-US" w:eastAsia="zh-CN"/>
        </w:rPr>
        <w:t>8.41</w:t>
      </w:r>
      <w:r>
        <w:rPr>
          <w:rFonts w:hint="eastAsia" w:ascii="仿宋" w:hAnsi="仿宋" w:eastAsia="仿宋" w:cs="仿宋"/>
          <w:sz w:val="30"/>
          <w:szCs w:val="30"/>
        </w:rPr>
        <w:t>%</w:t>
      </w:r>
      <w:r>
        <w:rPr>
          <w:rFonts w:hint="eastAsia" w:ascii="仿宋" w:hAnsi="仿宋" w:eastAsia="仿宋" w:cs="仿宋"/>
          <w:sz w:val="30"/>
          <w:szCs w:val="30"/>
          <w:lang w:eastAsia="zh-CN"/>
        </w:rPr>
        <w:t>。</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6496.94</w:t>
      </w:r>
      <w:r>
        <w:rPr>
          <w:rFonts w:hint="eastAsia" w:ascii="仿宋" w:hAnsi="仿宋" w:eastAsia="仿宋"/>
          <w:sz w:val="30"/>
          <w:szCs w:val="30"/>
        </w:rPr>
        <w:t>万元，其中本年支出合计</w:t>
      </w:r>
      <w:r>
        <w:rPr>
          <w:rFonts w:hint="eastAsia" w:ascii="仿宋" w:hAnsi="仿宋" w:eastAsia="仿宋"/>
          <w:sz w:val="30"/>
          <w:szCs w:val="30"/>
          <w:lang w:val="en-US" w:eastAsia="zh-CN"/>
        </w:rPr>
        <w:t>5862.37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1448.65</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19.81</w:t>
      </w:r>
      <w:r>
        <w:rPr>
          <w:rFonts w:hint="eastAsia" w:ascii="仿宋" w:hAnsi="仿宋" w:eastAsia="仿宋"/>
          <w:sz w:val="30"/>
          <w:szCs w:val="30"/>
        </w:rPr>
        <w:t>%；年末结转和结余</w:t>
      </w:r>
      <w:r>
        <w:rPr>
          <w:rFonts w:hint="eastAsia" w:ascii="仿宋" w:hAnsi="仿宋" w:eastAsia="仿宋"/>
          <w:sz w:val="30"/>
          <w:szCs w:val="30"/>
          <w:lang w:val="en-US" w:eastAsia="zh-CN"/>
        </w:rPr>
        <w:t>634.58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427.89</w:t>
      </w:r>
      <w:r>
        <w:rPr>
          <w:rFonts w:hint="eastAsia" w:ascii="仿宋" w:hAnsi="仿宋" w:eastAsia="仿宋"/>
          <w:sz w:val="30"/>
          <w:szCs w:val="30"/>
        </w:rPr>
        <w:t>万元，增长</w:t>
      </w:r>
      <w:r>
        <w:rPr>
          <w:rFonts w:hint="eastAsia" w:ascii="仿宋" w:hAnsi="仿宋" w:eastAsia="仿宋"/>
          <w:sz w:val="30"/>
          <w:szCs w:val="30"/>
          <w:lang w:val="en-US" w:eastAsia="zh-CN"/>
        </w:rPr>
        <w:t>207.02</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529.13</w:t>
      </w:r>
      <w:r>
        <w:rPr>
          <w:rFonts w:hint="eastAsia" w:ascii="仿宋" w:hAnsi="仿宋" w:eastAsia="仿宋"/>
          <w:sz w:val="30"/>
          <w:szCs w:val="30"/>
        </w:rPr>
        <w:t>万元，占</w:t>
      </w:r>
      <w:r>
        <w:rPr>
          <w:rFonts w:hint="eastAsia" w:ascii="仿宋" w:hAnsi="仿宋" w:eastAsia="仿宋"/>
          <w:sz w:val="30"/>
          <w:szCs w:val="30"/>
          <w:lang w:val="en-US" w:eastAsia="zh-CN"/>
        </w:rPr>
        <w:t>9.03</w:t>
      </w:r>
      <w:r>
        <w:rPr>
          <w:rFonts w:hint="eastAsia" w:ascii="仿宋" w:hAnsi="仿宋" w:eastAsia="仿宋"/>
          <w:sz w:val="30"/>
          <w:szCs w:val="30"/>
        </w:rPr>
        <w:t>%；项目支出</w:t>
      </w:r>
      <w:r>
        <w:rPr>
          <w:rFonts w:hint="eastAsia" w:ascii="仿宋" w:hAnsi="仿宋" w:eastAsia="仿宋"/>
          <w:sz w:val="30"/>
          <w:szCs w:val="30"/>
          <w:lang w:val="en-US" w:eastAsia="zh-CN"/>
        </w:rPr>
        <w:t>5333.23</w:t>
      </w:r>
      <w:r>
        <w:rPr>
          <w:rFonts w:hint="eastAsia" w:ascii="仿宋" w:hAnsi="仿宋" w:eastAsia="仿宋"/>
          <w:sz w:val="30"/>
          <w:szCs w:val="30"/>
        </w:rPr>
        <w:t>万元，占</w:t>
      </w:r>
      <w:r>
        <w:rPr>
          <w:rFonts w:hint="eastAsia" w:ascii="仿宋" w:hAnsi="仿宋" w:eastAsia="仿宋"/>
          <w:sz w:val="30"/>
          <w:szCs w:val="30"/>
          <w:lang w:val="en-US" w:eastAsia="zh-CN"/>
        </w:rPr>
        <w:t>90.97</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327.86</w:t>
      </w:r>
      <w:r>
        <w:rPr>
          <w:rFonts w:hint="eastAsia" w:ascii="仿宋" w:hAnsi="仿宋" w:eastAsia="仿宋"/>
          <w:sz w:val="30"/>
          <w:szCs w:val="30"/>
        </w:rPr>
        <w:t>万元，决算数为</w:t>
      </w:r>
      <w:r>
        <w:rPr>
          <w:rFonts w:hint="eastAsia" w:ascii="仿宋" w:hAnsi="仿宋" w:eastAsia="仿宋"/>
          <w:sz w:val="30"/>
          <w:szCs w:val="30"/>
          <w:lang w:val="en-US" w:eastAsia="zh-CN"/>
        </w:rPr>
        <w:t>5862.37</w:t>
      </w:r>
      <w:r>
        <w:rPr>
          <w:rFonts w:hint="eastAsia" w:ascii="仿宋" w:hAnsi="仿宋" w:eastAsia="仿宋"/>
          <w:sz w:val="30"/>
          <w:szCs w:val="30"/>
        </w:rPr>
        <w:t>万元，完成年初预算的</w:t>
      </w:r>
      <w:r>
        <w:rPr>
          <w:rFonts w:hint="eastAsia" w:ascii="仿宋" w:hAnsi="仿宋" w:eastAsia="仿宋"/>
          <w:sz w:val="30"/>
          <w:szCs w:val="30"/>
          <w:lang w:val="en-US" w:eastAsia="zh-CN"/>
        </w:rPr>
        <w:t>1688.07</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311.18</w:t>
      </w:r>
      <w:r>
        <w:rPr>
          <w:rFonts w:hint="eastAsia" w:ascii="仿宋" w:hAnsi="仿宋" w:eastAsia="仿宋"/>
          <w:sz w:val="30"/>
          <w:szCs w:val="30"/>
        </w:rPr>
        <w:t>万元，决算数为</w:t>
      </w:r>
      <w:r>
        <w:rPr>
          <w:rFonts w:hint="eastAsia" w:ascii="仿宋" w:hAnsi="仿宋" w:eastAsia="仿宋"/>
          <w:sz w:val="30"/>
          <w:szCs w:val="30"/>
          <w:lang w:val="en-US" w:eastAsia="zh-CN"/>
        </w:rPr>
        <w:t>5401.72</w:t>
      </w:r>
      <w:r>
        <w:rPr>
          <w:rFonts w:hint="eastAsia" w:ascii="仿宋" w:hAnsi="仿宋" w:eastAsia="仿宋"/>
          <w:sz w:val="30"/>
          <w:szCs w:val="30"/>
        </w:rPr>
        <w:t>万元，完成年初预算的</w:t>
      </w:r>
      <w:r>
        <w:rPr>
          <w:rFonts w:hint="eastAsia" w:ascii="仿宋" w:hAnsi="仿宋" w:eastAsia="仿宋"/>
          <w:sz w:val="30"/>
          <w:szCs w:val="30"/>
          <w:lang w:val="en-US" w:eastAsia="zh-CN"/>
        </w:rPr>
        <w:t>1735.88</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二</w:t>
      </w:r>
      <w:r>
        <w:rPr>
          <w:rFonts w:hint="eastAsia" w:ascii="仿宋" w:hAnsi="仿宋" w:eastAsia="仿宋"/>
          <w:sz w:val="30"/>
          <w:szCs w:val="30"/>
        </w:rPr>
        <w:t>）</w:t>
      </w:r>
      <w:r>
        <w:rPr>
          <w:rFonts w:hint="eastAsia" w:ascii="仿宋" w:hAnsi="仿宋" w:eastAsia="仿宋"/>
          <w:sz w:val="30"/>
          <w:szCs w:val="30"/>
          <w:lang w:eastAsia="zh-CN"/>
        </w:rPr>
        <w:t>住房保障支出</w:t>
      </w:r>
      <w:r>
        <w:rPr>
          <w:rFonts w:hint="eastAsia" w:ascii="仿宋" w:hAnsi="仿宋" w:eastAsia="仿宋"/>
          <w:sz w:val="30"/>
          <w:szCs w:val="30"/>
        </w:rPr>
        <w:t>年初预算数为</w:t>
      </w:r>
      <w:r>
        <w:rPr>
          <w:rFonts w:hint="eastAsia" w:ascii="仿宋" w:hAnsi="仿宋" w:eastAsia="仿宋"/>
          <w:sz w:val="30"/>
          <w:szCs w:val="30"/>
          <w:lang w:val="en-US" w:eastAsia="zh-CN"/>
        </w:rPr>
        <w:t>8.91</w:t>
      </w:r>
      <w:r>
        <w:rPr>
          <w:rFonts w:hint="eastAsia" w:ascii="仿宋" w:hAnsi="仿宋" w:eastAsia="仿宋"/>
          <w:sz w:val="30"/>
          <w:szCs w:val="30"/>
        </w:rPr>
        <w:t>万元，决算数为</w:t>
      </w:r>
      <w:r>
        <w:rPr>
          <w:rFonts w:hint="eastAsia" w:ascii="仿宋" w:hAnsi="仿宋" w:eastAsia="仿宋"/>
          <w:sz w:val="30"/>
          <w:szCs w:val="30"/>
          <w:lang w:val="en-US" w:eastAsia="zh-CN"/>
        </w:rPr>
        <w:t>9.01</w:t>
      </w:r>
      <w:r>
        <w:rPr>
          <w:rFonts w:hint="eastAsia" w:ascii="仿宋" w:hAnsi="仿宋" w:eastAsia="仿宋"/>
          <w:sz w:val="30"/>
          <w:szCs w:val="30"/>
        </w:rPr>
        <w:t>万元，完成年初预算的</w:t>
      </w:r>
      <w:r>
        <w:rPr>
          <w:rFonts w:hint="eastAsia" w:ascii="仿宋" w:hAnsi="仿宋" w:eastAsia="仿宋"/>
          <w:sz w:val="30"/>
          <w:szCs w:val="30"/>
          <w:lang w:val="en-US" w:eastAsia="zh-CN"/>
        </w:rPr>
        <w:t>112.48</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卫生健康支出</w:t>
      </w:r>
      <w:r>
        <w:rPr>
          <w:rFonts w:hint="eastAsia" w:ascii="仿宋" w:hAnsi="仿宋" w:eastAsia="仿宋"/>
          <w:sz w:val="30"/>
          <w:szCs w:val="30"/>
        </w:rPr>
        <w:t>年初预算数为</w:t>
      </w:r>
      <w:r>
        <w:rPr>
          <w:rFonts w:hint="eastAsia" w:ascii="仿宋" w:hAnsi="仿宋" w:eastAsia="仿宋"/>
          <w:sz w:val="30"/>
          <w:szCs w:val="30"/>
          <w:lang w:val="en-US" w:eastAsia="zh-CN"/>
        </w:rPr>
        <w:t>7.77</w:t>
      </w:r>
      <w:r>
        <w:rPr>
          <w:rFonts w:hint="eastAsia" w:ascii="仿宋" w:hAnsi="仿宋" w:eastAsia="仿宋"/>
          <w:sz w:val="30"/>
          <w:szCs w:val="30"/>
        </w:rPr>
        <w:t>万元，决算数为</w:t>
      </w:r>
      <w:r>
        <w:rPr>
          <w:rFonts w:hint="eastAsia" w:ascii="仿宋" w:hAnsi="仿宋" w:eastAsia="仿宋"/>
          <w:sz w:val="30"/>
          <w:szCs w:val="30"/>
          <w:lang w:val="en-US" w:eastAsia="zh-CN"/>
        </w:rPr>
        <w:t>7.82</w:t>
      </w:r>
      <w:r>
        <w:rPr>
          <w:rFonts w:hint="eastAsia" w:ascii="仿宋" w:hAnsi="仿宋" w:eastAsia="仿宋"/>
          <w:sz w:val="30"/>
          <w:szCs w:val="30"/>
        </w:rPr>
        <w:t>万元，完成年初预算的</w:t>
      </w:r>
      <w:r>
        <w:rPr>
          <w:rFonts w:hint="eastAsia" w:ascii="仿宋" w:hAnsi="仿宋" w:eastAsia="仿宋"/>
          <w:sz w:val="30"/>
          <w:szCs w:val="30"/>
          <w:lang w:val="en-US" w:eastAsia="zh-CN"/>
        </w:rPr>
        <w:t>100.64</w:t>
      </w:r>
      <w:r>
        <w:rPr>
          <w:rFonts w:hint="eastAsia" w:ascii="仿宋" w:hAnsi="仿宋" w:eastAsia="仿宋"/>
          <w:sz w:val="30"/>
          <w:szCs w:val="30"/>
        </w:rPr>
        <w:t xml:space="preserve"> %。</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（四）灾害防治及应急管理支出年初预算数为0万元，决算数为349.55万元。</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（五）其他支出年初预算数为0万元，决算数为94.26万元。</w:t>
      </w:r>
    </w:p>
    <w:p>
      <w:pPr>
        <w:ind w:firstLine="630"/>
        <w:jc w:val="left"/>
        <w:rPr>
          <w:rFonts w:hint="eastAsia" w:ascii="仿宋" w:hAnsi="仿宋" w:eastAsia="仿宋"/>
          <w:sz w:val="30"/>
          <w:szCs w:val="30"/>
        </w:rPr>
      </w:pP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322.95</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141.78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33.88</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18.83</w:t>
      </w:r>
      <w:r>
        <w:rPr>
          <w:rFonts w:hint="eastAsia" w:ascii="仿宋" w:hAnsi="仿宋" w:eastAsia="仿宋"/>
          <w:sz w:val="30"/>
          <w:szCs w:val="30"/>
        </w:rPr>
        <w:t>%，主要原因是：</w:t>
      </w:r>
      <w:r>
        <w:rPr>
          <w:rFonts w:hint="eastAsia" w:ascii="仿宋" w:hAnsi="仿宋" w:eastAsia="仿宋"/>
          <w:sz w:val="30"/>
          <w:szCs w:val="30"/>
          <w:lang w:eastAsia="zh-CN"/>
        </w:rPr>
        <w:t>退役军人事务局单位划出</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23.85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74.33</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75.71</w:t>
      </w:r>
      <w:r>
        <w:rPr>
          <w:rFonts w:hint="eastAsia" w:ascii="仿宋" w:hAnsi="仿宋" w:eastAsia="仿宋"/>
          <w:sz w:val="30"/>
          <w:szCs w:val="30"/>
        </w:rPr>
        <w:t>%，主要原因是：</w:t>
      </w:r>
      <w:r>
        <w:rPr>
          <w:rFonts w:hint="eastAsia" w:ascii="仿宋" w:hAnsi="仿宋" w:eastAsia="仿宋"/>
          <w:sz w:val="30"/>
          <w:szCs w:val="30"/>
          <w:lang w:eastAsia="zh-CN"/>
        </w:rPr>
        <w:t>精简节约</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152.83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101.61</w:t>
      </w:r>
      <w:r>
        <w:rPr>
          <w:rFonts w:hint="eastAsia" w:ascii="仿宋" w:hAnsi="仿宋" w:eastAsia="仿宋"/>
          <w:sz w:val="30"/>
          <w:szCs w:val="30"/>
        </w:rPr>
        <w:t>万元，下降</w:t>
      </w:r>
      <w:r>
        <w:rPr>
          <w:rFonts w:hint="eastAsia" w:ascii="仿宋" w:hAnsi="仿宋" w:eastAsia="仿宋"/>
          <w:sz w:val="30"/>
          <w:szCs w:val="30"/>
          <w:lang w:val="en-US" w:eastAsia="zh-CN"/>
        </w:rPr>
        <w:t>39.93</w:t>
      </w:r>
      <w:r>
        <w:rPr>
          <w:rFonts w:hint="eastAsia" w:ascii="仿宋" w:hAnsi="仿宋" w:eastAsia="仿宋"/>
          <w:sz w:val="30"/>
          <w:szCs w:val="30"/>
        </w:rPr>
        <w:t>%，主要原因是：</w:t>
      </w:r>
      <w:r>
        <w:rPr>
          <w:rFonts w:hint="eastAsia" w:ascii="仿宋" w:hAnsi="仿宋" w:eastAsia="仿宋"/>
          <w:sz w:val="30"/>
          <w:szCs w:val="30"/>
          <w:lang w:eastAsia="zh-CN"/>
        </w:rPr>
        <w:t>退役军人事务局人员划出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年度“三公”经费支出年初预算数为</w:t>
      </w:r>
      <w:r>
        <w:rPr>
          <w:rFonts w:hint="eastAsia" w:ascii="仿宋_GB2312" w:hAnsi="宋体" w:eastAsia="仿宋_GB2312" w:cs="仿宋_GB2312"/>
          <w:sz w:val="32"/>
          <w:szCs w:val="32"/>
          <w:lang w:val="en-US" w:eastAsia="zh-CN"/>
        </w:rPr>
        <w:t>8.7</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0.93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10.69</w:t>
      </w:r>
      <w:r>
        <w:rPr>
          <w:rFonts w:hint="eastAsia" w:ascii="仿宋_GB2312" w:hAnsi="仿宋_GB2312" w:eastAsia="仿宋_GB2312" w:cs="仿宋_GB2312"/>
          <w:sz w:val="32"/>
          <w:szCs w:val="32"/>
        </w:rPr>
        <w:t>%，决算数较上年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55.07</w:t>
      </w:r>
      <w:r>
        <w:rPr>
          <w:rFonts w:hint="eastAsia" w:ascii="仿宋_GB2312" w:hAnsi="仿宋_GB2312" w:eastAsia="仿宋_GB2312" w:cs="仿宋_GB2312"/>
          <w:sz w:val="32"/>
          <w:szCs w:val="32"/>
        </w:rPr>
        <w:t>%，其中：</w:t>
      </w:r>
    </w:p>
    <w:p>
      <w:pPr>
        <w:numPr>
          <w:ilvl w:val="0"/>
          <w:numId w:val="1"/>
        </w:numPr>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因公出国（境）支出年初预算数为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（二）公务接待费支出年初预算数为</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0.93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完成预算的</w:t>
      </w:r>
      <w:r>
        <w:rPr>
          <w:rFonts w:hint="eastAsia" w:ascii="仿宋_GB2312" w:hAnsi="仿宋_GB2312" w:eastAsia="仿宋_GB2312" w:cs="仿宋_GB2312"/>
          <w:sz w:val="32"/>
          <w:szCs w:val="32"/>
          <w:lang w:val="en-US" w:eastAsia="zh-CN"/>
        </w:rPr>
        <w:t>10.69</w:t>
      </w:r>
      <w:r>
        <w:rPr>
          <w:rFonts w:hint="eastAsia" w:ascii="仿宋_GB2312" w:hAnsi="仿宋_GB2312" w:eastAsia="仿宋_GB2312" w:cs="仿宋_GB2312"/>
          <w:sz w:val="32"/>
          <w:szCs w:val="32"/>
        </w:rPr>
        <w:t>%，决算数较上年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55.07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ind w:firstLine="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（三）公务用车运行维护费支出年初预算数为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比去年同期下降</w:t>
      </w:r>
      <w:r>
        <w:rPr>
          <w:rFonts w:hint="eastAsia" w:ascii="仿宋_GB2312" w:hAnsi="仿宋_GB2312" w:eastAsia="仿宋_GB2312" w:cs="仿宋_GB2312"/>
          <w:sz w:val="32"/>
          <w:szCs w:val="32"/>
          <w:lang w:val="en-US" w:eastAsia="zh-CN"/>
        </w:rPr>
        <w:t>0万。</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28.35</w:t>
      </w:r>
      <w:r>
        <w:rPr>
          <w:rFonts w:hint="eastAsia" w:ascii="仿宋" w:hAnsi="仿宋" w:eastAsia="仿宋"/>
          <w:sz w:val="30"/>
          <w:szCs w:val="30"/>
        </w:rPr>
        <w:t>万元（与部门决算中行政单位和参照公务员法管理事业单位一般公共预算财政拨款基本支出中公用经费之和保持一致），较</w:t>
      </w:r>
      <w:r>
        <w:rPr>
          <w:rFonts w:hint="eastAsia" w:ascii="仿宋" w:hAnsi="仿宋" w:eastAsia="仿宋"/>
          <w:sz w:val="30"/>
          <w:szCs w:val="30"/>
          <w:lang w:val="en-US" w:eastAsia="zh-CN"/>
        </w:rPr>
        <w:t>2018年</w:t>
      </w:r>
      <w:r>
        <w:rPr>
          <w:rFonts w:hint="eastAsia" w:ascii="仿宋" w:hAnsi="仿宋" w:eastAsia="仿宋"/>
          <w:sz w:val="30"/>
          <w:szCs w:val="30"/>
          <w:lang w:eastAsia="zh-CN"/>
        </w:rPr>
        <w:t>减少</w:t>
      </w:r>
      <w:r>
        <w:rPr>
          <w:rFonts w:hint="eastAsia" w:ascii="仿宋" w:hAnsi="仿宋" w:eastAsia="仿宋"/>
          <w:sz w:val="30"/>
          <w:szCs w:val="30"/>
          <w:lang w:val="en-US" w:eastAsia="zh-CN"/>
        </w:rPr>
        <w:t>76.65</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73</w:t>
      </w:r>
      <w:r>
        <w:rPr>
          <w:rFonts w:hint="eastAsia" w:ascii="仿宋" w:hAnsi="仿宋" w:eastAsia="仿宋"/>
          <w:sz w:val="30"/>
          <w:szCs w:val="30"/>
        </w:rPr>
        <w:t>%，主要原因是</w:t>
      </w:r>
      <w:r>
        <w:rPr>
          <w:rFonts w:hint="eastAsia" w:ascii="仿宋" w:hAnsi="仿宋" w:eastAsia="仿宋"/>
          <w:sz w:val="30"/>
          <w:szCs w:val="30"/>
          <w:lang w:eastAsia="zh-CN"/>
        </w:rPr>
        <w:t>办公精简节约</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7"/>
        <w:spacing w:line="600" w:lineRule="atLeast"/>
        <w:ind w:firstLine="600"/>
        <w:rPr>
          <w:rFonts w:hint="eastAsia" w:ascii="仿宋" w:hAnsi="仿宋" w:eastAsia="仿宋"/>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1.62</w:t>
      </w:r>
      <w:r>
        <w:rPr>
          <w:rFonts w:hint="eastAsia" w:ascii="仿宋" w:hAnsi="仿宋" w:eastAsia="仿宋"/>
          <w:sz w:val="30"/>
          <w:szCs w:val="30"/>
        </w:rPr>
        <w:t>，其中：政府采购货物支出</w:t>
      </w:r>
      <w:r>
        <w:rPr>
          <w:rFonts w:hint="eastAsia" w:ascii="仿宋" w:hAnsi="仿宋" w:eastAsia="仿宋"/>
          <w:sz w:val="30"/>
          <w:szCs w:val="30"/>
          <w:lang w:val="en-US" w:eastAsia="zh-CN"/>
        </w:rPr>
        <w:t>1.62</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ind w:left="420" w:leftChars="200"/>
        <w:rPr>
          <w:rFonts w:hint="eastAsia" w:ascii="仿宋" w:hAnsi="仿宋" w:eastAsia="仿宋" w:cs="宋体"/>
          <w:color w:val="000000"/>
          <w:kern w:val="2"/>
          <w:sz w:val="32"/>
          <w:szCs w:val="32"/>
          <w:lang w:val="en-US" w:eastAsia="zh-CN" w:bidi="ar-SA"/>
        </w:rPr>
      </w:pPr>
      <w:r>
        <w:rPr>
          <w:rFonts w:hint="eastAsia" w:ascii="仿宋" w:hAnsi="仿宋" w:eastAsia="仿宋" w:cs="宋体"/>
          <w:color w:val="000000"/>
          <w:kern w:val="2"/>
          <w:sz w:val="32"/>
          <w:szCs w:val="32"/>
          <w:lang w:val="en-US" w:eastAsia="zh-CN" w:bidi="ar-SA"/>
        </w:rPr>
        <w:t xml:space="preserve"> </w:t>
      </w:r>
      <w:r>
        <w:rPr>
          <w:rFonts w:hint="eastAsia" w:ascii="仿宋" w:hAnsi="仿宋" w:eastAsia="仿宋" w:cs="宋体"/>
          <w:b/>
          <w:bCs/>
          <w:color w:val="000000"/>
          <w:kern w:val="2"/>
          <w:sz w:val="32"/>
          <w:szCs w:val="32"/>
          <w:lang w:val="en-US" w:eastAsia="zh-CN" w:bidi="ar-SA"/>
        </w:rPr>
        <w:t xml:space="preserve"> （一）绩效评价实施过程</w:t>
      </w:r>
    </w:p>
    <w:p>
      <w:pPr>
        <w:ind w:firstLine="640" w:firstLineChars="200"/>
        <w:rPr>
          <w:rFonts w:hint="eastAsia" w:ascii="仿宋" w:hAnsi="仿宋" w:eastAsia="仿宋" w:cs="宋体"/>
          <w:color w:val="000000"/>
          <w:kern w:val="2"/>
          <w:sz w:val="32"/>
          <w:szCs w:val="32"/>
          <w:lang w:val="en-US" w:eastAsia="zh-CN" w:bidi="ar-SA"/>
        </w:rPr>
      </w:pPr>
      <w:r>
        <w:rPr>
          <w:rFonts w:hint="eastAsia" w:ascii="仿宋" w:hAnsi="仿宋" w:eastAsia="仿宋" w:cs="宋体"/>
          <w:color w:val="000000"/>
          <w:kern w:val="2"/>
          <w:sz w:val="32"/>
          <w:szCs w:val="32"/>
          <w:lang w:val="en-US" w:eastAsia="zh-CN" w:bidi="ar-SA"/>
        </w:rPr>
        <w:t>一是根据确定的《景德镇市昌江区民政局项目支出评价方案》、对照“项目支出绩效评价指标体系评分表”的主要考评内容及工作完成情况，收集部门整体支出相关材料和信息。查看会计资料，获取资金到位与使用情况等财务管理资料，收集各项指标考核相关的文件记录资料和内部管理制度，将可以公开的资料整理成佐证材料和工作底稿。对照当年工作计划和区委、区政府交办的各项工作内容进行评价，形成总体综合得分。</w:t>
      </w:r>
    </w:p>
    <w:p>
      <w:pPr>
        <w:ind w:firstLine="640" w:firstLineChars="200"/>
        <w:rPr>
          <w:rFonts w:hint="eastAsia" w:ascii="仿宋" w:hAnsi="仿宋" w:eastAsia="仿宋" w:cs="宋体"/>
          <w:color w:val="000000"/>
          <w:kern w:val="2"/>
          <w:sz w:val="32"/>
          <w:szCs w:val="32"/>
          <w:lang w:val="en-US" w:eastAsia="zh-CN" w:bidi="ar-SA"/>
        </w:rPr>
      </w:pPr>
      <w:r>
        <w:rPr>
          <w:rFonts w:hint="eastAsia" w:ascii="仿宋" w:hAnsi="仿宋" w:eastAsia="仿宋" w:cs="宋体"/>
          <w:color w:val="000000"/>
          <w:kern w:val="2"/>
          <w:sz w:val="32"/>
          <w:szCs w:val="32"/>
          <w:lang w:val="en-US" w:eastAsia="zh-CN" w:bidi="ar-SA"/>
        </w:rPr>
        <w:t>二是为更好地评价昌江区民政局项目支出资金的实施效果，进一步提升财政资金的使用效益，总结民政局管理经验，我们采取个别问答方式，访谈了部分收益人员。</w:t>
      </w:r>
    </w:p>
    <w:p>
      <w:pPr>
        <w:pStyle w:val="3"/>
        <w:tabs>
          <w:tab w:val="left" w:pos="2940"/>
        </w:tabs>
        <w:spacing w:after="0" w:line="360" w:lineRule="auto"/>
        <w:ind w:left="0" w:firstLine="640" w:firstLineChars="200"/>
        <w:rPr>
          <w:rFonts w:hint="eastAsia" w:ascii="仿宋" w:hAnsi="仿宋" w:eastAsia="仿宋" w:cs="仿宋_GB2312"/>
          <w:b/>
          <w:bCs/>
          <w:sz w:val="32"/>
          <w:szCs w:val="32"/>
        </w:rPr>
      </w:pPr>
      <w:r>
        <w:rPr>
          <w:rFonts w:hint="eastAsia" w:ascii="仿宋" w:hAnsi="仿宋" w:eastAsia="仿宋" w:cs="宋体"/>
          <w:color w:val="000000"/>
          <w:kern w:val="2"/>
          <w:sz w:val="32"/>
          <w:szCs w:val="32"/>
          <w:lang w:val="en-US" w:eastAsia="zh-CN" w:bidi="ar-SA"/>
        </w:rPr>
        <w:t>（二）</w:t>
      </w:r>
      <w:r>
        <w:rPr>
          <w:rFonts w:hint="eastAsia" w:ascii="仿宋" w:hAnsi="仿宋" w:eastAsia="仿宋" w:cs="仿宋_GB2312"/>
          <w:b/>
          <w:bCs/>
          <w:sz w:val="32"/>
          <w:szCs w:val="32"/>
        </w:rPr>
        <w:t>综合评价情况及评价结论</w:t>
      </w:r>
    </w:p>
    <w:p>
      <w:pPr>
        <w:pStyle w:val="3"/>
        <w:tabs>
          <w:tab w:val="left" w:pos="2940"/>
        </w:tabs>
        <w:spacing w:after="0" w:line="360" w:lineRule="auto"/>
        <w:ind w:left="0" w:firstLine="640" w:firstLineChars="200"/>
        <w:rPr>
          <w:rFonts w:hint="eastAsia" w:ascii="仿宋" w:hAnsi="仿宋" w:eastAsia="仿宋" w:cs="宋体"/>
          <w:color w:val="000000"/>
          <w:kern w:val="2"/>
          <w:sz w:val="32"/>
          <w:szCs w:val="32"/>
        </w:rPr>
      </w:pPr>
      <w:r>
        <w:rPr>
          <w:rFonts w:hint="eastAsia" w:ascii="仿宋" w:hAnsi="仿宋" w:eastAsia="仿宋" w:cs="宋体"/>
          <w:color w:val="000000"/>
          <w:kern w:val="2"/>
          <w:sz w:val="32"/>
          <w:szCs w:val="32"/>
        </w:rPr>
        <w:t>我们遵循“客观、公正、科学、规范”的原则，分析、利用调查收集的资料（数据），依照由领导小组审核的评价指标体系及评分标准，得出本次项目支出绩效评价分值为95分，总体评价等级“良好”（详见绩效分析）。</w:t>
      </w:r>
    </w:p>
    <w:p>
      <w:pPr>
        <w:rPr>
          <w:rFonts w:hint="eastAsia" w:ascii="仿宋" w:hAnsi="仿宋" w:eastAsia="仿宋" w:cs="宋体"/>
          <w:color w:val="000000"/>
          <w:kern w:val="2"/>
          <w:sz w:val="32"/>
          <w:szCs w:val="32"/>
        </w:rPr>
      </w:pPr>
    </w:p>
    <w:p>
      <w:pPr>
        <w:pStyle w:val="2"/>
        <w:rPr>
          <w:rFonts w:hint="eastAsia" w:ascii="仿宋" w:hAnsi="仿宋" w:eastAsia="仿宋" w:cs="宋体"/>
          <w:color w:val="000000"/>
          <w:kern w:val="2"/>
          <w:sz w:val="32"/>
          <w:szCs w:val="32"/>
        </w:rPr>
      </w:pPr>
    </w:p>
    <w:p>
      <w:pPr>
        <w:pStyle w:val="2"/>
        <w:rPr>
          <w:rFonts w:hint="eastAsia" w:ascii="仿宋" w:hAnsi="仿宋" w:eastAsia="仿宋" w:cs="宋体"/>
          <w:color w:val="000000"/>
          <w:kern w:val="2"/>
          <w:sz w:val="32"/>
          <w:szCs w:val="32"/>
        </w:rPr>
      </w:pPr>
    </w:p>
    <w:p>
      <w:pPr>
        <w:pStyle w:val="2"/>
        <w:rPr>
          <w:rFonts w:hint="eastAsia" w:ascii="仿宋" w:hAnsi="仿宋" w:eastAsia="仿宋" w:cs="宋体"/>
          <w:color w:val="000000"/>
          <w:kern w:val="2"/>
          <w:sz w:val="32"/>
          <w:szCs w:val="32"/>
        </w:rPr>
      </w:pPr>
    </w:p>
    <w:p>
      <w:pPr>
        <w:pStyle w:val="2"/>
        <w:rPr>
          <w:rFonts w:hint="eastAsia" w:ascii="仿宋" w:hAnsi="仿宋" w:eastAsia="仿宋" w:cs="宋体"/>
          <w:color w:val="000000"/>
          <w:kern w:val="2"/>
          <w:sz w:val="32"/>
          <w:szCs w:val="32"/>
        </w:rPr>
      </w:pPr>
    </w:p>
    <w:p>
      <w:pPr>
        <w:pStyle w:val="2"/>
        <w:rPr>
          <w:rFonts w:hint="eastAsia" w:ascii="仿宋" w:hAnsi="仿宋" w:eastAsia="仿宋" w:cs="宋体"/>
          <w:color w:val="000000"/>
          <w:kern w:val="2"/>
          <w:sz w:val="32"/>
          <w:szCs w:val="32"/>
        </w:rPr>
      </w:pPr>
    </w:p>
    <w:tbl>
      <w:tblPr>
        <w:tblStyle w:val="6"/>
        <w:tblW w:w="9135" w:type="dxa"/>
        <w:tblInd w:w="-354" w:type="dxa"/>
        <w:tblLayout w:type="fixed"/>
        <w:tblCellMar>
          <w:top w:w="0" w:type="dxa"/>
          <w:left w:w="0" w:type="dxa"/>
          <w:bottom w:w="0" w:type="dxa"/>
          <w:right w:w="0" w:type="dxa"/>
        </w:tblCellMar>
      </w:tblPr>
      <w:tblGrid>
        <w:gridCol w:w="705"/>
        <w:gridCol w:w="720"/>
        <w:gridCol w:w="750"/>
        <w:gridCol w:w="1260"/>
        <w:gridCol w:w="2513"/>
        <w:gridCol w:w="2167"/>
        <w:gridCol w:w="1020"/>
      </w:tblGrid>
      <w:tr>
        <w:tblPrEx>
          <w:tblLayout w:type="fixed"/>
          <w:tblCellMar>
            <w:top w:w="0" w:type="dxa"/>
            <w:left w:w="0" w:type="dxa"/>
            <w:bottom w:w="0" w:type="dxa"/>
            <w:right w:w="0" w:type="dxa"/>
          </w:tblCellMar>
        </w:tblPrEx>
        <w:trPr>
          <w:trHeight w:val="510" w:hRule="atLeast"/>
        </w:trPr>
        <w:tc>
          <w:tcPr>
            <w:tcW w:w="9135"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sz w:val="40"/>
                <w:szCs w:val="40"/>
              </w:rPr>
            </w:pPr>
            <w:bookmarkStart w:id="0" w:name="_Hlk53604632"/>
            <w:r>
              <w:rPr>
                <w:rFonts w:hint="eastAsia" w:ascii="宋体" w:hAnsi="宋体" w:eastAsia="宋体" w:cs="宋体"/>
                <w:color w:val="000000"/>
                <w:kern w:val="0"/>
                <w:sz w:val="40"/>
                <w:szCs w:val="40"/>
                <w:lang w:bidi="ar"/>
              </w:rPr>
              <w:t>项目支出绩效评价指标体系框架</w:t>
            </w:r>
          </w:p>
        </w:tc>
      </w:tr>
      <w:tr>
        <w:tblPrEx>
          <w:tblLayout w:type="fixed"/>
          <w:tblCellMar>
            <w:top w:w="0" w:type="dxa"/>
            <w:left w:w="0" w:type="dxa"/>
            <w:bottom w:w="0" w:type="dxa"/>
            <w:right w:w="0" w:type="dxa"/>
          </w:tblCellMar>
        </w:tblPrEx>
        <w:trPr>
          <w:trHeight w:val="5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color w:val="000000"/>
                <w:sz w:val="24"/>
                <w:szCs w:val="24"/>
              </w:rPr>
            </w:pPr>
            <w:r>
              <w:rPr>
                <w:rFonts w:hint="eastAsia" w:ascii="楷体" w:hAnsi="楷体" w:eastAsia="楷体" w:cs="楷体"/>
                <w:b/>
                <w:color w:val="000000"/>
                <w:kern w:val="0"/>
                <w:sz w:val="24"/>
                <w:szCs w:val="24"/>
                <w:lang w:bidi="ar"/>
              </w:rPr>
              <w:t>一级指标</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楷体" w:hAnsi="楷体" w:eastAsia="楷体" w:cs="楷体"/>
                <w:b/>
                <w:color w:val="000000"/>
                <w:sz w:val="24"/>
                <w:szCs w:val="24"/>
              </w:rPr>
            </w:pPr>
            <w:r>
              <w:rPr>
                <w:rFonts w:hint="eastAsia" w:ascii="楷体" w:hAnsi="楷体" w:eastAsia="楷体" w:cs="楷体"/>
                <w:b/>
                <w:color w:val="000000"/>
                <w:kern w:val="0"/>
                <w:sz w:val="24"/>
                <w:szCs w:val="24"/>
                <w:lang w:bidi="ar"/>
              </w:rPr>
              <w:t>二级指标</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楷体" w:hAnsi="楷体" w:eastAsia="楷体" w:cs="楷体"/>
                <w:b/>
                <w:color w:val="000000"/>
                <w:sz w:val="24"/>
                <w:szCs w:val="24"/>
              </w:rPr>
            </w:pPr>
            <w:r>
              <w:rPr>
                <w:rFonts w:hint="eastAsia" w:ascii="楷体" w:hAnsi="楷体" w:eastAsia="楷体" w:cs="楷体"/>
                <w:b/>
                <w:color w:val="000000"/>
                <w:kern w:val="0"/>
                <w:sz w:val="24"/>
                <w:szCs w:val="24"/>
                <w:lang w:bidi="ar"/>
              </w:rPr>
              <w:t>三级指标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楷体" w:hAnsi="楷体" w:eastAsia="楷体" w:cs="楷体"/>
                <w:b/>
                <w:color w:val="000000"/>
                <w:sz w:val="24"/>
                <w:szCs w:val="24"/>
              </w:rPr>
            </w:pPr>
            <w:r>
              <w:rPr>
                <w:rFonts w:hint="eastAsia" w:ascii="楷体" w:hAnsi="楷体" w:eastAsia="楷体" w:cs="楷体"/>
                <w:b/>
                <w:color w:val="000000"/>
                <w:kern w:val="0"/>
                <w:sz w:val="24"/>
                <w:szCs w:val="24"/>
                <w:lang w:bidi="ar"/>
              </w:rPr>
              <w:t>指标解释</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楷体" w:hAnsi="楷体" w:eastAsia="楷体" w:cs="楷体"/>
                <w:b/>
                <w:color w:val="000000"/>
                <w:sz w:val="24"/>
                <w:szCs w:val="24"/>
              </w:rPr>
            </w:pPr>
            <w:r>
              <w:rPr>
                <w:rFonts w:hint="eastAsia" w:ascii="楷体" w:hAnsi="楷体" w:eastAsia="楷体" w:cs="楷体"/>
                <w:b/>
                <w:color w:val="000000"/>
                <w:kern w:val="0"/>
                <w:sz w:val="24"/>
                <w:szCs w:val="24"/>
                <w:lang w:bidi="ar"/>
              </w:rPr>
              <w:t>指标说明</w:t>
            </w:r>
          </w:p>
        </w:tc>
        <w:tc>
          <w:tcPr>
            <w:tcW w:w="21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楷体" w:hAnsi="楷体" w:eastAsia="楷体" w:cs="楷体"/>
                <w:b/>
                <w:color w:val="000000"/>
                <w:sz w:val="24"/>
                <w:szCs w:val="24"/>
              </w:rPr>
            </w:pPr>
            <w:r>
              <w:rPr>
                <w:rFonts w:hint="eastAsia" w:ascii="楷体" w:hAnsi="楷体" w:eastAsia="楷体" w:cs="楷体"/>
                <w:b/>
                <w:color w:val="000000"/>
                <w:kern w:val="0"/>
                <w:sz w:val="24"/>
                <w:szCs w:val="24"/>
                <w:lang w:bidi="ar"/>
              </w:rPr>
              <w:t>评价标准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楷体" w:hAnsi="楷体" w:eastAsia="楷体" w:cs="楷体"/>
                <w:b/>
                <w:color w:val="000000"/>
                <w:sz w:val="24"/>
                <w:szCs w:val="24"/>
              </w:rPr>
            </w:pPr>
            <w:r>
              <w:rPr>
                <w:rFonts w:hint="eastAsia" w:ascii="楷体" w:hAnsi="楷体" w:eastAsia="楷体" w:cs="楷体"/>
                <w:b/>
                <w:color w:val="000000"/>
                <w:kern w:val="0"/>
                <w:sz w:val="24"/>
                <w:szCs w:val="24"/>
                <w:lang w:bidi="ar"/>
              </w:rPr>
              <w:t>自评分</w:t>
            </w:r>
          </w:p>
        </w:tc>
      </w:tr>
      <w:tr>
        <w:tblPrEx>
          <w:tblLayout w:type="fixed"/>
          <w:tblCellMar>
            <w:top w:w="0" w:type="dxa"/>
            <w:left w:w="0" w:type="dxa"/>
            <w:bottom w:w="0" w:type="dxa"/>
            <w:right w:w="0" w:type="dxa"/>
          </w:tblCellMar>
        </w:tblPrEx>
        <w:trPr>
          <w:trHeight w:val="819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决策</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（28分）</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项目立项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（10分）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立项依据充分性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项目立项是否符合法律法规、相关政策、发展规划以及部门职责，用以反映和考核项目立项依据情况。</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评价要点：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①项目立项是否符合国家法律法规、国民经济发展规划和相关政策；</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②项目立项是否符合行业发展规划和政策要求；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③项目立项是否与部门职责范围相符，属于部门履职所需；</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④项目是否属于公共财政支持范围，是否符合中央、地方事权支出责任划分原则；</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⑤项目是否与相关部门同类项目或部门内部相关项目重复。</w:t>
            </w:r>
          </w:p>
        </w:tc>
        <w:tc>
          <w:tcPr>
            <w:tcW w:w="21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①项目立项符合国家法律法规、国民经济发展规划和相关政策；1分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②项目立项符合行业发展规划和政策要求；1分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③项目立项与部门职责范围相符，属于部门履职所需；1分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④项目属于公共财政支持范围，符合中央、地方事权支出责任划分原则；1分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⑤项目与相关部门同类项目或部门内部相关项目不重复。1分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5分</w:t>
            </w:r>
          </w:p>
        </w:tc>
      </w:tr>
      <w:tr>
        <w:tblPrEx>
          <w:tblLayout w:type="fixed"/>
          <w:tblCellMar>
            <w:top w:w="0" w:type="dxa"/>
            <w:left w:w="0" w:type="dxa"/>
            <w:bottom w:w="0" w:type="dxa"/>
            <w:right w:w="0" w:type="dxa"/>
          </w:tblCellMar>
        </w:tblPrEx>
        <w:trPr>
          <w:trHeight w:val="6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立项程序规范性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项目申请、设立过程是否符合相关要求，用以反映和考核项目立项的规范情况。</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评价要点：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①项目是否按照规定的程序申请设立；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②审批文件、材料是否符合相关要求；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③事前是否已经过必要的可行性研究、专家论证、风险评估、绩效评估、集体决策。</w:t>
            </w:r>
          </w:p>
        </w:tc>
        <w:tc>
          <w:tcPr>
            <w:tcW w:w="21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①项目按照规定的程序申请设立；1分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②审批文件、材料符合相关要求；1分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③事前已经过必要的可行性研究、专家论证、风险评估、绩效评估、集体决策。3分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5分</w:t>
            </w:r>
          </w:p>
        </w:tc>
      </w:tr>
      <w:tr>
        <w:tblPrEx>
          <w:tblLayout w:type="fixed"/>
          <w:tblCellMar>
            <w:top w:w="0" w:type="dxa"/>
            <w:left w:w="0" w:type="dxa"/>
            <w:bottom w:w="0" w:type="dxa"/>
            <w:right w:w="0" w:type="dxa"/>
          </w:tblCellMar>
        </w:tblPrEx>
        <w:trPr>
          <w:trHeight w:val="819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绩效目标（10分）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绩效目标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项目所设定的绩效目标是否依据充分，是否符合客观实际，用以反映和考核项目绩效目标与项目实施的相符情况。</w:t>
            </w:r>
          </w:p>
        </w:tc>
        <w:tc>
          <w:tcPr>
            <w:tcW w:w="25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评价要点：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（如未设定预算绩效目标，也可考核其他工作任务目标）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①项目是否有绩效目标；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②项目绩效目标与实际工作内容是否具有相关性；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③项目预期产出效益和效果是否符合正常的业绩水平；</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④是否与预算确定的项目投资额或资金量相匹配。</w:t>
            </w:r>
          </w:p>
        </w:tc>
        <w:tc>
          <w:tcPr>
            <w:tcW w:w="21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①项目有绩效目标；1分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②项目绩效目标与实际工作内容具有相关性；1分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③项目预期产出效益和效果符合正常的业绩水平；1分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④与预算确定的项目投资额或资金量相匹配。1分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4分</w:t>
            </w:r>
          </w:p>
        </w:tc>
      </w:tr>
      <w:tr>
        <w:tblPrEx>
          <w:tblLayout w:type="fixed"/>
          <w:tblCellMar>
            <w:top w:w="0" w:type="dxa"/>
            <w:left w:w="0" w:type="dxa"/>
            <w:bottom w:w="0" w:type="dxa"/>
            <w:right w:w="0" w:type="dxa"/>
          </w:tblCellMar>
        </w:tblPrEx>
        <w:trPr>
          <w:trHeight w:val="513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绩效指标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依据绩效目标设定的绩效指标是否清晰、细化、可衡量等，用以反映和考核项目绩效目标的明细化情况。</w:t>
            </w:r>
          </w:p>
        </w:tc>
        <w:tc>
          <w:tcPr>
            <w:tcW w:w="25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评价要点：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①是否将项目绩效目标细化分解为具体的绩效指标；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②是否通过清晰、可衡量的指标值予以体现；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③是否与项目目标任务数或计划数相对应。</w:t>
            </w:r>
          </w:p>
        </w:tc>
        <w:tc>
          <w:tcPr>
            <w:tcW w:w="21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①将项目绩效目标细化分解为具体的绩效指标；2分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②通过清晰、可衡量的指标值予以体现；2分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③与项目目标任务数或计划数相对应。2分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6分</w:t>
            </w:r>
          </w:p>
        </w:tc>
      </w:tr>
      <w:tr>
        <w:tblPrEx>
          <w:tblLayout w:type="fixed"/>
          <w:tblCellMar>
            <w:top w:w="0" w:type="dxa"/>
            <w:left w:w="0" w:type="dxa"/>
            <w:bottom w:w="0" w:type="dxa"/>
            <w:right w:w="0" w:type="dxa"/>
          </w:tblCellMar>
        </w:tblPrEx>
        <w:trPr>
          <w:trHeight w:val="655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资金投入（8分）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预算编制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项目预算编制是否经过科学论证、有明确标准，资金额度与年度目标是否相适应，用以反映和考核项目预算编制的科学性、合理性情况。</w:t>
            </w:r>
          </w:p>
        </w:tc>
        <w:tc>
          <w:tcPr>
            <w:tcW w:w="25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评价要点：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①预算编制是否经过科学论证；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②预算内容与项目内容是否匹配；</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③预算额度测算依据是否充分，是否按照标准编制；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④预算确定的项目投资额或资金量是否与工作任务相匹配。</w:t>
            </w:r>
          </w:p>
        </w:tc>
        <w:tc>
          <w:tcPr>
            <w:tcW w:w="21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①预算编制经过科学论证；1分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②预算内容与项目内容匹配；1分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③预算额度测算依据充分，按照标准编制；1分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④预算确定的项目投资额或资金量与工作任务相匹配。1分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4分</w:t>
            </w:r>
          </w:p>
        </w:tc>
      </w:tr>
      <w:tr>
        <w:tblPrEx>
          <w:tblLayout w:type="fixed"/>
          <w:tblCellMar>
            <w:top w:w="0" w:type="dxa"/>
            <w:left w:w="0" w:type="dxa"/>
            <w:bottom w:w="0" w:type="dxa"/>
            <w:right w:w="0" w:type="dxa"/>
          </w:tblCellMar>
        </w:tblPrEx>
        <w:trPr>
          <w:trHeight w:val="42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资金分配</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项目预算资金分配是否有测算依据，与补助单位或地方实际是否相适应，用以反映和考核项目预算资金分配的科学性、合理性情况。</w:t>
            </w:r>
          </w:p>
        </w:tc>
        <w:tc>
          <w:tcPr>
            <w:tcW w:w="25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评价要点：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①预算资金分配依据是否充分；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②资金分配额度是否合理，与项目单位或地方实际是否相适应。</w:t>
            </w:r>
          </w:p>
        </w:tc>
        <w:tc>
          <w:tcPr>
            <w:tcW w:w="21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①预算资金分配依据充分；2分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②资金分配额度合理，与项目单位或地方实际相适应。2分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4分</w:t>
            </w:r>
          </w:p>
        </w:tc>
      </w:tr>
      <w:tr>
        <w:tblPrEx>
          <w:tblLayout w:type="fixed"/>
          <w:tblCellMar>
            <w:top w:w="0" w:type="dxa"/>
            <w:left w:w="0" w:type="dxa"/>
            <w:bottom w:w="0" w:type="dxa"/>
            <w:right w:w="0" w:type="dxa"/>
          </w:tblCellMar>
        </w:tblPrEx>
        <w:trPr>
          <w:trHeight w:val="684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过程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（22分）</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资金管理（14分）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资金到位率（5分）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实际到位资金与预算资金的比率，用以反映和考核资金落实情况对项目实施的总体保障程度。</w:t>
            </w:r>
          </w:p>
        </w:tc>
        <w:tc>
          <w:tcPr>
            <w:tcW w:w="25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资金到位率=（实际到位资金/预算资金）×100%。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实际到位资金：一定时期（本年度或项目期）内落实到具体项目的资金。</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预算资金：一定时期（本年度或项目期）内预算安排到具体项目的资金。</w:t>
            </w:r>
          </w:p>
        </w:tc>
        <w:tc>
          <w:tcPr>
            <w:tcW w:w="21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本指标满分5分，指标权重：5，实际得分=资金到位率*5。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5分</w:t>
            </w:r>
          </w:p>
        </w:tc>
      </w:tr>
      <w:tr>
        <w:tblPrEx>
          <w:tblLayout w:type="fixed"/>
          <w:tblCellMar>
            <w:top w:w="0" w:type="dxa"/>
            <w:left w:w="0" w:type="dxa"/>
            <w:bottom w:w="0" w:type="dxa"/>
            <w:right w:w="0" w:type="dxa"/>
          </w:tblCellMar>
        </w:tblPrEx>
        <w:trPr>
          <w:trHeight w:val="456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预算执行率（5分）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项目预算资金是否按照计划执行，用以反映或考核项目预算执行情况。</w:t>
            </w:r>
          </w:p>
        </w:tc>
        <w:tc>
          <w:tcPr>
            <w:tcW w:w="25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预算执行率=（实际支出资金/实际到位资金）×100%。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实际支出资金：一定时期（本年度或项目期）内项目实际拨付的资金。</w:t>
            </w:r>
          </w:p>
        </w:tc>
        <w:tc>
          <w:tcPr>
            <w:tcW w:w="21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本指标满分5分，指标权重：5，实际得分=预算执行率*5。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5分</w:t>
            </w:r>
          </w:p>
        </w:tc>
      </w:tr>
      <w:tr>
        <w:tblPrEx>
          <w:tblLayout w:type="fixed"/>
          <w:tblCellMar>
            <w:top w:w="0" w:type="dxa"/>
            <w:left w:w="0" w:type="dxa"/>
            <w:bottom w:w="0" w:type="dxa"/>
            <w:right w:w="0" w:type="dxa"/>
          </w:tblCellMar>
        </w:tblPrEx>
        <w:trPr>
          <w:trHeight w:val="769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资金使用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项目资金使用是否符合相关的财务管理制度规定，用以反映和考核项目资金的规范运行情况。</w:t>
            </w:r>
          </w:p>
        </w:tc>
        <w:tc>
          <w:tcPr>
            <w:tcW w:w="25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评价要点：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①是否符合国家财经法规和财务管理制度以及有关专项资金管理办法的规定；</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②资金的拨付是否有完整的审批程序和手续；</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③是否符合项目预算批复或合同规定的用途；</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④是否存在截留、挤占、挪用、虚列支出等情况。</w:t>
            </w:r>
          </w:p>
        </w:tc>
        <w:tc>
          <w:tcPr>
            <w:tcW w:w="21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①符合国家财经法规和财务管理制度以及有关专项资金管理办法的规定；1分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②资金的拨付有完整的审批程序和手续；1分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③符合项目预算批复或合同规定的用途；1分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④不存在截留、挤占、挪用、虚列支出等情况。1分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4分</w:t>
            </w:r>
          </w:p>
        </w:tc>
      </w:tr>
      <w:tr>
        <w:tblPrEx>
          <w:tblLayout w:type="fixed"/>
          <w:tblCellMar>
            <w:top w:w="0" w:type="dxa"/>
            <w:left w:w="0" w:type="dxa"/>
            <w:bottom w:w="0" w:type="dxa"/>
            <w:right w:w="0" w:type="dxa"/>
          </w:tblCellMar>
        </w:tblPrEx>
        <w:trPr>
          <w:trHeight w:val="399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组织实施（8分）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管理制度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项目实施单位的财务和业务管理制度是否健全，用以反映和考核财务和业务管理制度对项目顺利实施的保障情况。</w:t>
            </w:r>
          </w:p>
        </w:tc>
        <w:tc>
          <w:tcPr>
            <w:tcW w:w="25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评价要点：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①是否已制定或具有相应的财务和业务管理制度；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②财务和业务管理制度是否合法、合规、完整。</w:t>
            </w:r>
          </w:p>
        </w:tc>
        <w:tc>
          <w:tcPr>
            <w:tcW w:w="21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①已制定或具有相应的财务和业务管理制度；2分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②财务和业务管理制度合法、合规、完整。2分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4分</w:t>
            </w:r>
          </w:p>
        </w:tc>
      </w:tr>
      <w:tr>
        <w:tblPrEx>
          <w:tblLayout w:type="fixed"/>
          <w:tblCellMar>
            <w:top w:w="0" w:type="dxa"/>
            <w:left w:w="0" w:type="dxa"/>
            <w:bottom w:w="0" w:type="dxa"/>
            <w:right w:w="0" w:type="dxa"/>
          </w:tblCellMar>
        </w:tblPrEx>
        <w:trPr>
          <w:trHeight w:val="769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制度执行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项目实施是否符合相关管理规定，用以反映和考核相关管理制度的有效执行情况。</w:t>
            </w:r>
          </w:p>
        </w:tc>
        <w:tc>
          <w:tcPr>
            <w:tcW w:w="25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评价要点：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①是否遵守相关法律法规和相关管理规定；</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②项目调整及支出调整手续是否完备；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③项目合同书、验收报告、技术鉴定等资料是否齐全并及时归档；</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④项目实施的人员条件、场地设备、信息支撑等是否落实到位。</w:t>
            </w:r>
          </w:p>
        </w:tc>
        <w:tc>
          <w:tcPr>
            <w:tcW w:w="21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①遵守相关法律法规和相关管理规定；1分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②项目调整及支出调整手续完备；1分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③项目合同书、验收报告、技术鉴定等资料齐全并及时归档；1分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④项目实施的人员条件、场地设备、信息支撑等落实到位。1分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4分</w:t>
            </w:r>
          </w:p>
        </w:tc>
      </w:tr>
      <w:tr>
        <w:tblPrEx>
          <w:tblLayout w:type="fixed"/>
          <w:tblCellMar>
            <w:top w:w="0" w:type="dxa"/>
            <w:left w:w="0" w:type="dxa"/>
            <w:bottom w:w="0" w:type="dxa"/>
            <w:right w:w="0" w:type="dxa"/>
          </w:tblCellMar>
        </w:tblPrEx>
        <w:trPr>
          <w:trHeight w:val="798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产出</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（20分）</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产出数量（5分）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实际完成率（5分）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项目实施的实际产出数与计划产出数的比率，用以反映和考核项目产出数量目标的实现程度。</w:t>
            </w:r>
          </w:p>
        </w:tc>
        <w:tc>
          <w:tcPr>
            <w:tcW w:w="25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实际完成率=（实际产出数/计划产出数）×100%。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实际产出数：一定时期（本年度或项目期）内项目实际产出的产品或提供的服务数量。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计划产出数：项目绩效目标确定的在一定时期（本年度或项目期）内计划产出的产品或提供的服务数量。</w:t>
            </w:r>
          </w:p>
        </w:tc>
        <w:tc>
          <w:tcPr>
            <w:tcW w:w="21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本指标满分5分，指标权重：5，实际得分=实际完成率*5。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5分</w:t>
            </w:r>
          </w:p>
        </w:tc>
      </w:tr>
      <w:tr>
        <w:tblPrEx>
          <w:tblLayout w:type="fixed"/>
          <w:tblCellMar>
            <w:top w:w="0" w:type="dxa"/>
            <w:left w:w="0" w:type="dxa"/>
            <w:bottom w:w="0" w:type="dxa"/>
            <w:right w:w="0" w:type="dxa"/>
          </w:tblCellMar>
        </w:tblPrEx>
        <w:trPr>
          <w:trHeight w:val="819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产出质量（5分）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质量达标率（5分）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项目完成的质量达标产出数与实际产出数的比率，用以反映和考核项目产出质量目标的实现程度。</w:t>
            </w:r>
          </w:p>
        </w:tc>
        <w:tc>
          <w:tcPr>
            <w:tcW w:w="25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质量达标率=（质量达标产出数/实际产出数）×100%。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21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本指标满分5分，指标权重：5，实际得分=质量达标率*5。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5分</w:t>
            </w:r>
          </w:p>
        </w:tc>
      </w:tr>
      <w:tr>
        <w:tblPrEx>
          <w:tblLayout w:type="fixed"/>
          <w:tblCellMar>
            <w:top w:w="0" w:type="dxa"/>
            <w:left w:w="0" w:type="dxa"/>
            <w:bottom w:w="0" w:type="dxa"/>
            <w:right w:w="0" w:type="dxa"/>
          </w:tblCellMar>
        </w:tblPrEx>
        <w:trPr>
          <w:trHeight w:val="456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产出时效（5分）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完成及时性（5分）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项目实际完成时间与计划完成时间的比较，用以反映和考核项目产出时效目标的实现程度。</w:t>
            </w:r>
          </w:p>
        </w:tc>
        <w:tc>
          <w:tcPr>
            <w:tcW w:w="25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实际完成时间：项目实施单位完成该项目实际所耗用的时间。</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计划完成时间：按照项目实施计划或相关规定完成该项目所需的时间。</w:t>
            </w:r>
          </w:p>
        </w:tc>
        <w:tc>
          <w:tcPr>
            <w:tcW w:w="21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本指标满分5分，指标权重：5，实际得分=完成及时率*5。</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完成及时率=[（计划完成时间-实际完成时间）/计划完成时间]×100。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5分</w:t>
            </w:r>
          </w:p>
        </w:tc>
      </w:tr>
      <w:tr>
        <w:tblPrEx>
          <w:tblLayout w:type="fixed"/>
          <w:tblCellMar>
            <w:top w:w="0" w:type="dxa"/>
            <w:left w:w="0" w:type="dxa"/>
            <w:bottom w:w="0" w:type="dxa"/>
            <w:right w:w="0" w:type="dxa"/>
          </w:tblCellMar>
        </w:tblPrEx>
        <w:trPr>
          <w:trHeight w:val="819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产出成本（5分）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成本节约率（5分）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完成项目计划工作目标的实际节约成本与计划成本的比率，用以反映和考核项目的成本节约程度。</w:t>
            </w:r>
          </w:p>
        </w:tc>
        <w:tc>
          <w:tcPr>
            <w:tcW w:w="25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成本节约率=[（计划成本-实际成本）/计划成本]×100%。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实际成本：项目实施单位如期、保质、保量完成既定工作目标实际所耗费的支出。</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计划成本：项目实施单位为完成工作目标计划安排的支出，一般以项目预算为参考。</w:t>
            </w:r>
          </w:p>
        </w:tc>
        <w:tc>
          <w:tcPr>
            <w:tcW w:w="21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本指标满分5分，指标权重：5，实际得分=成本节约率*5。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5分</w:t>
            </w:r>
          </w:p>
        </w:tc>
      </w:tr>
      <w:tr>
        <w:tblPrEx>
          <w:tblLayout w:type="fixed"/>
          <w:tblCellMar>
            <w:top w:w="0" w:type="dxa"/>
            <w:left w:w="0" w:type="dxa"/>
            <w:bottom w:w="0" w:type="dxa"/>
            <w:right w:w="0" w:type="dxa"/>
          </w:tblCellMar>
        </w:tblPrEx>
        <w:trPr>
          <w:trHeight w:val="3705"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效益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（30分）　</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项目效益（30分）　</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实施效益（20分）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项目实施所产生的效益。</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项目实施所产生的社会效益、经济效益、生态效益、可持续影响等。可根据项目实际情况有选择地设置和细化。</w:t>
            </w:r>
          </w:p>
        </w:tc>
        <w:tc>
          <w:tcPr>
            <w:tcW w:w="21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项目实施所产生的社会效益、经济效益、生态效益、可持续影响等，根据项目实际情况评分。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15分</w:t>
            </w:r>
          </w:p>
        </w:tc>
      </w:tr>
      <w:tr>
        <w:tblPrEx>
          <w:tblLayout w:type="fixed"/>
          <w:tblCellMar>
            <w:top w:w="0" w:type="dxa"/>
            <w:left w:w="0" w:type="dxa"/>
            <w:bottom w:w="0" w:type="dxa"/>
            <w:right w:w="0" w:type="dxa"/>
          </w:tblCellMar>
        </w:tblPrEx>
        <w:trPr>
          <w:trHeight w:val="370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满意度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（10分）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社会公众或服务对象对项目实施效果的满意程度。</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社会公众或服务对象是指因该项目实施而受到影响的部门（单位）、群体或个人。一般采取社会调查的方式。</w:t>
            </w:r>
          </w:p>
        </w:tc>
        <w:tc>
          <w:tcPr>
            <w:tcW w:w="21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指标大于等于95%，得满分；低于95%，每1%扣0.2分，扣完为止。</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10分</w:t>
            </w:r>
          </w:p>
        </w:tc>
      </w:tr>
      <w:tr>
        <w:tblPrEx>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100分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100分</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楷体" w:hAnsi="楷体" w:eastAsia="楷体" w:cs="楷体"/>
                <w:color w:val="000000"/>
                <w:sz w:val="24"/>
                <w:szCs w:val="24"/>
              </w:rPr>
            </w:pP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楷体" w:hAnsi="楷体" w:eastAsia="楷体" w:cs="楷体"/>
                <w:color w:val="000000"/>
                <w:sz w:val="24"/>
                <w:szCs w:val="24"/>
              </w:rPr>
            </w:pPr>
          </w:p>
        </w:tc>
        <w:tc>
          <w:tcPr>
            <w:tcW w:w="21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楷体" w:hAnsi="楷体" w:eastAsia="楷体" w:cs="楷体"/>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95分</w:t>
            </w:r>
          </w:p>
        </w:tc>
      </w:tr>
      <w:bookmarkEnd w:id="0"/>
    </w:tbl>
    <w:p>
      <w:pPr>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bookmarkStart w:id="1" w:name="_GoBack"/>
      <w:bookmarkEnd w:id="1"/>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7"/>
        <w:spacing w:line="600" w:lineRule="atLeast"/>
        <w:ind w:firstLine="600"/>
        <w:rPr>
          <w:rFonts w:hint="eastAsia" w:ascii="仿宋" w:hAnsi="仿宋" w:eastAsia="仿宋"/>
          <w:sz w:val="30"/>
          <w:szCs w:val="30"/>
        </w:rPr>
      </w:pP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pPr>
        <w:numPr>
          <w:ilvl w:val="0"/>
          <w:numId w:val="2"/>
        </w:numPr>
        <w:ind w:left="600" w:leftChars="0" w:firstLine="0" w:firstLineChars="0"/>
        <w:rPr>
          <w:rFonts w:hint="eastAsia" w:ascii="仿宋" w:hAnsi="仿宋" w:eastAsia="仿宋" w:cs="仿宋"/>
          <w:sz w:val="30"/>
          <w:szCs w:val="30"/>
        </w:rPr>
      </w:pPr>
      <w:r>
        <w:rPr>
          <w:rFonts w:hint="eastAsia" w:ascii="仿宋" w:hAnsi="仿宋" w:eastAsia="仿宋" w:cs="仿宋"/>
          <w:sz w:val="30"/>
          <w:szCs w:val="30"/>
        </w:rPr>
        <w:t xml:space="preserve">收入科目 </w:t>
      </w:r>
    </w:p>
    <w:p>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 xml:space="preserve">财政拨款：指省级财政当年拨付的资金。 </w:t>
      </w:r>
    </w:p>
    <w:p>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事业收入：指事业单位开展专业业务活动及辅助活动 取得的收入。</w:t>
      </w:r>
    </w:p>
    <w:p>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事业单位经营收入：指事业单位在专业业务活动及辅 助活动之外开展非独立核算经营活动取得的收入。</w:t>
      </w:r>
    </w:p>
    <w:p>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其他收入：指除财政拨款、事业收入、事业单位经营 收入等以外的各项收入。</w:t>
      </w:r>
    </w:p>
    <w:p>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附属单位上缴收入：反映事业单位附属的独立核算单 位按规定标准或比例缴纳的各项收入。包括附属的事业单位上缴 的收入和附属的企业上缴的利润等。</w:t>
      </w:r>
    </w:p>
    <w:p>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上级补助收入：反映事业单位从主管部门和上级单位 取得的非财政补助收入。</w:t>
      </w:r>
    </w:p>
    <w:p>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用事业基金弥补收支差额：填列事业单位用事业基金 弥补 2019 年收支差额的数额。</w:t>
      </w:r>
    </w:p>
    <w:p>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上年结转和结余：填列 2018 年全部结转和结余的资 金数，包括当年结转结余资金和历年滚存结转结余资金。</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二、支出科目 </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（一）行政运行：反映行政单位（包括参公单位）的基本支 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（二）一般行政管理事务：反映行政单位（包括参公单位） 未单独设置项级科目的其他项目支出。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（三）机关服务：反映为行政单位（包括参公单位）提供后 勤服务的各类后勤服务中心的支出。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（四）预算改革业务：反映财政部门用于预算改革方面的支 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（五）财政国库业务：反映财政部门用于财政国库集中支出 收付业务方面的支出。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（六）财政监察：反映财政监察派出机构的专项业务支出。 （七）信息化建设：反映财政部门用于“金财工程”等信息 化建设方面的支出。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（八）事业运行：反映事业单位的基本支出。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（九）其他财政事务支出：反映除上述项目以外的其他财政 事务方面的支出。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（十）高等职业教育：反映经国家批准设立的高等职业大学、 专科职业教育等方面的支出。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（十一）培训支出：反映各部门安排的用于培训的支出。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（十二）机关事业单位基本养老保险缴费支出：反映机关事 业单位实施养老保险制度由单位缴纳的基本养老保险费的支出。</w:t>
      </w:r>
    </w:p>
    <w:p>
      <w:pPr>
        <w:ind w:firstLine="630"/>
        <w:jc w:val="left"/>
        <w:rPr>
          <w:rFonts w:ascii="仿宋" w:hAnsi="仿宋" w:eastAsia="仿宋"/>
          <w:sz w:val="30"/>
          <w:szCs w:val="30"/>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31D0C"/>
    <w:multiLevelType w:val="singleLevel"/>
    <w:tmpl w:val="3BD31D0C"/>
    <w:lvl w:ilvl="0" w:tentative="0">
      <w:start w:val="1"/>
      <w:numFmt w:val="chineseCounting"/>
      <w:suff w:val="nothing"/>
      <w:lvlText w:val="（%1）"/>
      <w:lvlJc w:val="left"/>
      <w:rPr>
        <w:rFonts w:hint="eastAsia"/>
      </w:rPr>
    </w:lvl>
  </w:abstractNum>
  <w:abstractNum w:abstractNumId="1">
    <w:nsid w:val="587E2974"/>
    <w:multiLevelType w:val="singleLevel"/>
    <w:tmpl w:val="587E2974"/>
    <w:lvl w:ilvl="0" w:tentative="0">
      <w:start w:val="1"/>
      <w:numFmt w:val="chineseCounting"/>
      <w:suff w:val="nothing"/>
      <w:lvlText w:val="（%1）"/>
      <w:lvlJc w:val="left"/>
    </w:lvl>
  </w:abstractNum>
  <w:abstractNum w:abstractNumId="2">
    <w:nsid w:val="64514E10"/>
    <w:multiLevelType w:val="singleLevel"/>
    <w:tmpl w:val="64514E10"/>
    <w:lvl w:ilvl="0" w:tentative="0">
      <w:start w:val="1"/>
      <w:numFmt w:val="chineseCounting"/>
      <w:suff w:val="nothing"/>
      <w:lvlText w:val="%1、"/>
      <w:lvlJc w:val="left"/>
      <w:pPr>
        <w:ind w:left="60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F00EE"/>
    <w:rsid w:val="010472A3"/>
    <w:rsid w:val="0E49096B"/>
    <w:rsid w:val="246374F7"/>
    <w:rsid w:val="2BD67757"/>
    <w:rsid w:val="36701B14"/>
    <w:rsid w:val="45EF00EE"/>
    <w:rsid w:val="4A227C82"/>
    <w:rsid w:val="6CAD05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toc 2"/>
    <w:basedOn w:val="1"/>
    <w:next w:val="1"/>
    <w:qFormat/>
    <w:uiPriority w:val="99"/>
    <w:pPr>
      <w:spacing w:after="100" w:line="276" w:lineRule="auto"/>
      <w:ind w:left="220"/>
    </w:pPr>
    <w:rPr>
      <w:rFonts w:ascii="Calibri" w:hAnsi="Calibri" w:eastAsia="宋体" w:cs="Times New Roman"/>
      <w:kern w:val="0"/>
      <w:sz w:val="22"/>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2020-09-29T06:37:00Z</dcterms:created>
  <dc:creator>华佗</dc:creator>
  <cp:lastModifiedBy>Administrator</cp:lastModifiedBy>
  <dcterms:modified xsi:type="dcterms:W3CDTF">2020-10-22T09:07:31Z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