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22"/>
          <w:szCs w:val="2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昌新党发〔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14号</w:t>
      </w:r>
    </w:p>
    <w:p>
      <w:pPr>
        <w:bidi w:val="0"/>
        <w:rPr>
          <w:rFonts w:hint="default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关于2023年度法治政府建设工作情况的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  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中共昌江区委、昌江区人民政府：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2023年，在区委、区政府的坚强领导下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新枫街道党工委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深入学习贯彻落实习近平总书记关于法治政府建设的重要指示精神，根据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中央、省、市、区关于推进法治政府建设工作的文件精神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我街道2023年法治政府建设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第一部分：主要工作情况及成效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一、学习贯彻习近平法治思想情况 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</w:rPr>
        <w:t>干部队伍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val="en-US" w:eastAsia="zh-CN"/>
        </w:rPr>
        <w:t>带头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</w:rPr>
        <w:t>学法用法。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新枫街道党工委坚持将学习贯彻习近平法治思想作为首要政治任务，将习近平总书记全面依法治国新理念、习近平法治思想纲要、《宪法》、《民法典》、党内法规及日常息息相关的法律法规列入党工委中心组的学习内容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个月至少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</w:rPr>
        <w:t>1次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</w:rPr>
        <w:t>学法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及知识培训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从而提高领导班子的法律素质、法治意识、依法决策和带头学法的能力。通过学习，今年组织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</w:rPr>
        <w:t>领导干部网上学法考法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优秀率达到95%，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</w:rPr>
        <w:t>合格率达到100%。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sz w:val="32"/>
          <w:szCs w:val="32"/>
          <w:shd w:val="clear" w:fill="FFFFFF"/>
          <w:lang w:val="en-US" w:eastAsia="zh-CN"/>
        </w:rPr>
        <w:t>组织党员及基层干部主动学法用法。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新枫街道为持续推进习近平法治思想的贯彻落实，提高基层干部的法律素质、法治意识和依法办事能力，向全街道党员及基层干部发放了《论坚持全国依法治国》、《习近平法治思想学习纲要》、《习近平法治思想学习问答》等权威读物辅助学习，并要求诵读及摘抄，各村（居）组织”习近平法治思想”专题学习、“习近平法治思想”大讲堂等活动近60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二、部署开展主题实践活动情况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加强普法阵地建设。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主干道、十字路口以及辖区内车站、广场等人流密集场所，设置普法宣传栏，营造浓厚法治氛围；社区连队层面，将平安、反诈等与法治宣传充分结合，将“法律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进”不断向纵深推进，进一步浓厚基层民主法治建设氛围。积极开展省级、市级、区级“民主法治示范村（社区）”创建活动，目前辖区内共成功申报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个省级民主法治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推进普法队伍培养。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成立普法讲师团，深入团场基层村、社区、中小学校开展法治讲座，积极调动社会组织的普法积极性。推动在行政执法人员、律师等以案释法制度。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深入“法律明白人”培养工程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2023年，我街道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培养了70位法律明白人、其中法律明白人骨干14人，参与法治宣传12次、化解矛盾纠纷6次、相关业务培训2次，并在每个村（居）配有一个“法律明白人”服务工作岗，充分发挥了法治政策“宣传员”、法律“服务员”、矛盾纠纷“调解员”、社情民意“收集员”这四员工作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（四）大力开展法治宣传活动。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年初就制定好了每年普法宣传月度计划，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认真落实好“谁执法谁普法”普法责任制，深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开展“法律七进”活动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多次开展“法援惠民生 助力困难群众”、“乡村振兴 法治同行”、“法律服务进校园”、“彰显思想伟力 勇建法治新功”、“12.4国家宪法日”等主题活动为契机，通过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集中宣传、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座谈培训、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以案释法、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上户讲解、发放普法纪念品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等多种形式广泛开展法治宣传活动。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年，共开展法治宣传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悬挂普法宣传条幅14块、普法宣传橱窗及各展板12块、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发放各类宣传资料共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余份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解答群众咨询共达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00余人次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受法治宣传人数达5000余人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三、党政主要负责人履行推进法治建设第一责任人职责情况 （详情见党政主要负责人述法报告）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新枫街道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党政主要负责人履行推进法治建设第一责任人职责，在上级领导的正确领导下，积极履行推进法治建设第一责任人职责，深入开展法治政府建设，稳步推进机构改革，圆满完成了年度各项法治建设工作任务。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2023年区全面依法治区小组下发的工作要点相关文件内容，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党政主要负责人履行推进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法治建设第一责任人职责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的相关要求，把法治建设纳入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规划和年度计划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与街道整体发展同部署、同推进、同督查、同考核，对法治建设重要工作亲自部署、重大问题亲自过问、重点环节亲自协调、重要任务亲自督办。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定期召开专题会议，深入研判解决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三重一大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问题，认真履行职责，落实目标任务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带领街道分管领导、各部门及村（居）负责人先后开展了3次相关工作的部署会议。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四、落实部门普法责任情况 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</w:rPr>
        <w:t>坚持深化改革，加大信息公开透明力度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  <w:lang w:val="en-US" w:eastAsia="zh-CN"/>
        </w:rPr>
        <w:t>及政务服务水平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新枫街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</w:rPr>
        <w:t>道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便民服务中心按照信息化建设要求，设有志愿者服务驿站、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</w:rPr>
        <w:t>窗口、导服咨询、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信息化终端智能查询机、综合功能厅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</w:rPr>
        <w:t>、休息等候六大功能区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服务窗口融入了社会保障、民政、卫健等多项服务功能，为居民群众提供全方位、全功能的代办服务，并通过江西政务服务网“赣服通”软件，可以在线办理涉及公安、人社、住建、民政等部门常用的政策，提供110余项便民服务，通过与指挥中心并网联办，可以快速的入网办理，从而提高为民服务时效，真正做到“一站式、一次性告知”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（二）贯彻落实“双一号工程”，依托法治建设推进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优化营商环境。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为深入推进“简政放权、放管结合、优化服务”的“放管服”改革，全面优化提升新枫街道营商环境，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出优化新举措——与律所签约，特邀专业律师到各村（居）上班，为辖区内的企业上户提供专业的法律咨询服务，让企业合法经营更好发展。还安排全街道干部落实包片责任，每个干部都需要对接好自己的企业及商户，随时提供帮扶，实现辖区企业包保全覆盖，为企业商户提供一站式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  <w:t>充分发挥司法行政推进平安建设工作的作用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街道针对28名在矫对象安排集中点验及学习4次，每位矫正对象均按照《江西省社区矫正法》严格监管，每月正常劳动及按时报道，并在新岸app上按要求教育学习相关法律法规，无一人托管漏管。刑满释放安置帮教人员27名，为21人按要求申请了6个月的最低生活保障，6人自愿放弃申请，均得到妥善安置，无脱管人员，也无重新犯罪迹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（四）坚持信访维稳，及时化解矛盾纠纷。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新枫街道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在辖区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（居）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建立了人民调解组织1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个，调解员60余名，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入驻综治中心、信访中心及政务服务中心形成网格化管理体系。并与2023年9月，通过各部门支持和努力下，打造成功“锦芝”调解室，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多调联动”工作机制调解等纠纷调解方式，为辖区群众及妇女儿童提供纠纷预防及调解服务。今年以来，我共排查受理矛盾纠纷550起，成功调处525起，有效维护了街道社会稳定和安定团结，三台融合法律咨询1800余次，为12名群众申请了法律援助，追讨到赔偿金6万5千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科学制定“八五”普法规划，落实“谁执法、谁普法”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多部门联动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普法责任制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以习近平法治思想为引领全面开展法治宣传教育工作，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街道司法、综治、妇联、团委、交通站等多部门联合，是围绕重点节点，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、安全生产、家庭教育、反诈骗等主题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普法活动56余场，现场解读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，推动普法宣传活动进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社区（林场）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、进校园、进企业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文明实践活动开展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，将法治宣传教育工作渗透到群众生活的各个角落，让群众感受到看得见、摸得着的法治力量。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五、加强法治政府建设工作保障情况 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新枫街道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严格贯彻落实《法治中国建设规划（2020－2025年）》《法治政府建设实施纲要（2021－2025年）》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昌江区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年法治政府建设工作要点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中的重点任务分工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加快推进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建设工作的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规范化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程序化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法治化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加强行政规范性文件常态化监督管理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</w:rPr>
        <w:t>格规范重大行政决策程序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坚持严格规范公正文明执法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采用起草单位初审、书面征求意见、提交司法局合法性审查等方式，确保文件的合法性及有效性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全面做好规范性文件清理工作，及时解决规范性文件运行中存在的矛盾和冲突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街道聘请的法律顾问全程参与法治政府建设工作，充分发挥法律顾问在依法行政中的积极作用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全面提升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法治政府建设工作的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透明运行能力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以规范化建设为抓手，促进基层监督有效覆盖，杜绝灰色地带。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及各村（居）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自觉接受上级部门的监督检查，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纪委定期对全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领导干部、各村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工作人员的个人党风廉政、工作落实情况进行监督。积极向群众公布权责清单、干部个人基本信息、补贴发放明细等，积极受群众监督，舆论监督，对群众反映的问题积极开展调查核实并作出合理回复。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第二部分：主要存在的问题及意见建议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一、主要存在的问题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法律服务工作做得不够到位。虽成立了公共法律服务工作站，但工作人员法律专业较少，有时遇到群众反映的法律问题不能第一时间给予帮助，需要向上级部门专业律师进行咨询和求助，就会影响群众办理业务的时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工作完成的及时性不够。我所工作人员在完成日常工作的同时，还要配合街道完成各部门的中心工作，如：创文创卫、营商环境、经济普查、征地拆迁等等，参与其他工作过多，有时就会影响司法行政工作的落实和完成时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工作开展的协调性不够。司法所虽是独立部门，但每年或多或少都会有些需要各部门配合完成的工作。如：每年的依法治区工作，需整个街道乃至各村（居）共同配合完成，与其他部门的协调性不够，就导致重点工作完成的不够，存在缺斤少两的现象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二、对推进全面依法治街道工作的意见建议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</w:rPr>
        <w:t>改善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</w:rPr>
        <w:t>便民利民服务。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街道公共法律服务工作站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细化窗口服务，配备对应窗口的执法工作人员，对执法工作人员经常性组织专业知识及业务培训来提高业务水平，更高效的为群众提供服务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。完善法律援助制度，制定法律援助服务质量标准和监督管理规范。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（二）创新法治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增强群众法律意识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于普法工作做得不够深入，方式也不够创新，使有些群众的法律观念还是不强，可以利用新型媒体、网络公众号、短视频直播等新媒体，宣传法律知识；学习和借鉴其他地区好的普法宣传方式，增加群众学法、用法的兴趣和接受度，增强群众的法律意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新枫街道办事处党工委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新枫街道党工委办公室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日印发   </w:t>
      </w:r>
      <w:r>
        <w:rPr>
          <w:rFonts w:hint="eastAsia"/>
        </w:rPr>
        <w:t xml:space="preserve">                                            </w:t>
      </w:r>
    </w:p>
    <w:sectPr>
      <w:footerReference r:id="rId3" w:type="default"/>
      <w:footerReference r:id="rId4" w:type="even"/>
      <w:pgSz w:w="11906" w:h="16838"/>
      <w:pgMar w:top="2154" w:right="1417" w:bottom="1928" w:left="1644" w:header="851" w:footer="1247" w:gutter="0"/>
      <w:pgNumType w:fmt="numberInDash"/>
      <w:cols w:space="720" w:num="1"/>
      <w:docGrid w:type="linesAndChars" w:linePitch="318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BE6B942-1496-4156-8967-3D5998F51AF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87F7B9-7B9F-46C7-8B46-3A0577BE3E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AEAEAFA-C3E5-4E23-8E24-DD594F780D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left="210" w:leftChars="100" w:right="210" w:rightChars="100"/>
                            <w:rPr>
                              <w:rStyle w:val="17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210" w:leftChars="100" w:right="210" w:rightChars="100"/>
                      <w:rPr>
                        <w:rStyle w:val="17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7"/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7"/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- 4 -</w:t>
    </w:r>
    <w: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OWRhY2JlOGI1YTc0NTk3ZjA1ZTZiNWI0YjE3YjMifQ=="/>
  </w:docVars>
  <w:rsids>
    <w:rsidRoot w:val="00172A27"/>
    <w:rsid w:val="000722FF"/>
    <w:rsid w:val="000E23F5"/>
    <w:rsid w:val="00152927"/>
    <w:rsid w:val="00306CA7"/>
    <w:rsid w:val="00347D6D"/>
    <w:rsid w:val="00520FDB"/>
    <w:rsid w:val="008D083E"/>
    <w:rsid w:val="00A97B35"/>
    <w:rsid w:val="00AD2CB7"/>
    <w:rsid w:val="00BA52B6"/>
    <w:rsid w:val="00BD4003"/>
    <w:rsid w:val="00BD5B1F"/>
    <w:rsid w:val="00BF51A6"/>
    <w:rsid w:val="00C12EA2"/>
    <w:rsid w:val="00C96FDF"/>
    <w:rsid w:val="00CF2DB7"/>
    <w:rsid w:val="00D94EB1"/>
    <w:rsid w:val="00DC7D59"/>
    <w:rsid w:val="00DF3D02"/>
    <w:rsid w:val="00E06375"/>
    <w:rsid w:val="00F12B2D"/>
    <w:rsid w:val="00F93553"/>
    <w:rsid w:val="00FF6EC5"/>
    <w:rsid w:val="034B19A4"/>
    <w:rsid w:val="0382474B"/>
    <w:rsid w:val="06462D7B"/>
    <w:rsid w:val="07127E14"/>
    <w:rsid w:val="079A065D"/>
    <w:rsid w:val="079F4913"/>
    <w:rsid w:val="08AC4F59"/>
    <w:rsid w:val="08D9100A"/>
    <w:rsid w:val="0C5D29FE"/>
    <w:rsid w:val="0D5F6046"/>
    <w:rsid w:val="10150A56"/>
    <w:rsid w:val="104F02B0"/>
    <w:rsid w:val="1367781A"/>
    <w:rsid w:val="14603C31"/>
    <w:rsid w:val="16672788"/>
    <w:rsid w:val="19345E02"/>
    <w:rsid w:val="1B5220D7"/>
    <w:rsid w:val="1BC2002E"/>
    <w:rsid w:val="1C624AFB"/>
    <w:rsid w:val="21333549"/>
    <w:rsid w:val="23FD54C0"/>
    <w:rsid w:val="24AF6E07"/>
    <w:rsid w:val="26937B9F"/>
    <w:rsid w:val="2A3C0667"/>
    <w:rsid w:val="2C0911B2"/>
    <w:rsid w:val="2DCF1431"/>
    <w:rsid w:val="2EA1726A"/>
    <w:rsid w:val="2FEF2C1A"/>
    <w:rsid w:val="30D36097"/>
    <w:rsid w:val="30D4498E"/>
    <w:rsid w:val="31C73098"/>
    <w:rsid w:val="31D444EF"/>
    <w:rsid w:val="331F4146"/>
    <w:rsid w:val="33B97815"/>
    <w:rsid w:val="3538734A"/>
    <w:rsid w:val="35E97ADC"/>
    <w:rsid w:val="36806379"/>
    <w:rsid w:val="38147847"/>
    <w:rsid w:val="394D4F4C"/>
    <w:rsid w:val="397B6528"/>
    <w:rsid w:val="397D12F1"/>
    <w:rsid w:val="39AC3736"/>
    <w:rsid w:val="3BA725FA"/>
    <w:rsid w:val="42FC59A5"/>
    <w:rsid w:val="43541A55"/>
    <w:rsid w:val="4461175C"/>
    <w:rsid w:val="46E2098A"/>
    <w:rsid w:val="471721C5"/>
    <w:rsid w:val="493147C6"/>
    <w:rsid w:val="4A107471"/>
    <w:rsid w:val="4A35510A"/>
    <w:rsid w:val="4B221ED8"/>
    <w:rsid w:val="4D5728B6"/>
    <w:rsid w:val="506D5769"/>
    <w:rsid w:val="53685D87"/>
    <w:rsid w:val="56013364"/>
    <w:rsid w:val="56980AE9"/>
    <w:rsid w:val="56DD15F3"/>
    <w:rsid w:val="57202DF4"/>
    <w:rsid w:val="5805272B"/>
    <w:rsid w:val="58CC7AFA"/>
    <w:rsid w:val="593A4FF7"/>
    <w:rsid w:val="599C0E6D"/>
    <w:rsid w:val="5A36774A"/>
    <w:rsid w:val="5C2E4BBF"/>
    <w:rsid w:val="5D9A3F16"/>
    <w:rsid w:val="5E7122F3"/>
    <w:rsid w:val="5FA60339"/>
    <w:rsid w:val="633F4EB4"/>
    <w:rsid w:val="665F510F"/>
    <w:rsid w:val="68F24DC9"/>
    <w:rsid w:val="6A8A07C3"/>
    <w:rsid w:val="6C4F7CEE"/>
    <w:rsid w:val="6D5B47B3"/>
    <w:rsid w:val="6DB12DEE"/>
    <w:rsid w:val="6E411CCE"/>
    <w:rsid w:val="6ED3075F"/>
    <w:rsid w:val="72D06C8A"/>
    <w:rsid w:val="732B3385"/>
    <w:rsid w:val="740215F3"/>
    <w:rsid w:val="79643165"/>
    <w:rsid w:val="79F63C5C"/>
    <w:rsid w:val="7AA34B77"/>
    <w:rsid w:val="7BF701C2"/>
    <w:rsid w:val="7CD67ABD"/>
    <w:rsid w:val="7D397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next w:val="1"/>
    <w:qFormat/>
    <w:uiPriority w:val="0"/>
    <w:pPr>
      <w:keepNext/>
      <w:widowControl/>
      <w:spacing w:before="240" w:after="60"/>
      <w:jc w:val="left"/>
      <w:outlineLvl w:val="1"/>
    </w:pPr>
    <w:rPr>
      <w:rFonts w:ascii="Cambria" w:hAnsi="Cambria" w:eastAsia="宋体" w:cs="Times New Roman"/>
      <w:b/>
      <w:bCs/>
      <w:i/>
      <w:iCs/>
      <w:kern w:val="1"/>
      <w:sz w:val="28"/>
      <w:szCs w:val="28"/>
      <w:lang w:val="en-US" w:eastAsia="zh-CN" w:bidi="ar-SA"/>
    </w:rPr>
  </w:style>
  <w:style w:type="character" w:default="1" w:styleId="16">
    <w:name w:val="Default Paragraph Font"/>
    <w:autoRedefine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rPr>
      <w:rFonts w:eastAsia="华文中宋"/>
      <w:b/>
      <w:bCs/>
      <w:sz w:val="36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  <w:szCs w:val="21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7"/>
    <w:qFormat/>
    <w:uiPriority w:val="0"/>
    <w:pPr>
      <w:ind w:left="420" w:leftChars="200" w:firstLine="210"/>
    </w:p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BodyText"/>
    <w:basedOn w:val="1"/>
    <w:qFormat/>
    <w:uiPriority w:val="0"/>
    <w:pPr>
      <w:spacing w:after="120"/>
      <w:textAlignment w:val="baseline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Normal Indent"/>
    <w:basedOn w:val="1"/>
    <w:autoRedefine/>
    <w:qFormat/>
    <w:uiPriority w:val="0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3928</Words>
  <Characters>4001</Characters>
  <Lines>3</Lines>
  <Paragraphs>1</Paragraphs>
  <TotalTime>7</TotalTime>
  <ScaleCrop>false</ScaleCrop>
  <LinksUpToDate>false</LinksUpToDate>
  <CharactersWithSpaces>4094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2012-02-20T18:18:00Z</dcterms:created>
  <dc:creator>雨林木风</dc:creator>
  <cp:lastModifiedBy>水蓝时见鲸</cp:lastModifiedBy>
  <cp:lastPrinted>2024-03-19T07:43:15Z</cp:lastPrinted>
  <dcterms:modified xsi:type="dcterms:W3CDTF">2024-03-19T07:46:20Z</dcterms:modified>
  <dc:title>关于开展迎新春市容环境综合整治活动的通知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603B5B0CEEBC4A0595FF93D1BDC7CCCF_13</vt:lpwstr>
  </property>
</Properties>
</file>