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9816EE">
      <w:pPr>
        <w:keepNext w:val="0"/>
        <w:keepLines w:val="0"/>
        <w:pageBreakBefore w:val="0"/>
        <w:kinsoku/>
        <w:wordWrap/>
        <w:overflowPunct/>
        <w:topLinePunct w:val="0"/>
        <w:autoSpaceDE/>
        <w:autoSpaceDN/>
        <w:bidi w:val="0"/>
        <w:adjustRightInd/>
        <w:snapToGrid/>
        <w:spacing w:line="680" w:lineRule="exact"/>
        <w:ind w:left="0" w:leftChars="0"/>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新枫街道202</w:t>
      </w:r>
      <w:r>
        <w:rPr>
          <w:rFonts w:hint="eastAsia" w:ascii="宋体" w:hAnsi="宋体" w:cs="宋体"/>
          <w:b/>
          <w:bCs/>
          <w:sz w:val="44"/>
          <w:szCs w:val="44"/>
          <w:lang w:val="en-US" w:eastAsia="zh-CN"/>
        </w:rPr>
        <w:t>4</w:t>
      </w:r>
      <w:r>
        <w:rPr>
          <w:rFonts w:hint="eastAsia" w:ascii="宋体" w:hAnsi="宋体" w:eastAsia="宋体" w:cs="宋体"/>
          <w:b/>
          <w:bCs/>
          <w:sz w:val="44"/>
          <w:szCs w:val="44"/>
        </w:rPr>
        <w:t>年工作总结</w:t>
      </w:r>
    </w:p>
    <w:p w14:paraId="11B6DF24">
      <w:pPr>
        <w:keepNext w:val="0"/>
        <w:keepLines w:val="0"/>
        <w:pageBreakBefore w:val="0"/>
        <w:kinsoku/>
        <w:wordWrap/>
        <w:overflowPunct/>
        <w:topLinePunct w:val="0"/>
        <w:autoSpaceDE/>
        <w:autoSpaceDN/>
        <w:bidi w:val="0"/>
        <w:adjustRightInd/>
        <w:snapToGrid/>
        <w:spacing w:line="680" w:lineRule="exact"/>
        <w:ind w:left="0" w:leftChars="0"/>
        <w:jc w:val="center"/>
        <w:textAlignment w:val="auto"/>
        <w:rPr>
          <w:rFonts w:hint="eastAsia"/>
          <w:lang w:eastAsia="zh-CN"/>
        </w:rPr>
      </w:pPr>
      <w:r>
        <w:rPr>
          <w:rFonts w:hint="eastAsia" w:ascii="宋体" w:hAnsi="宋体" w:eastAsia="宋体" w:cs="宋体"/>
          <w:b/>
          <w:bCs/>
          <w:sz w:val="44"/>
          <w:szCs w:val="44"/>
          <w:lang w:val="en-US" w:eastAsia="zh-CN"/>
        </w:rPr>
        <w:t>暨</w:t>
      </w:r>
      <w:r>
        <w:rPr>
          <w:rFonts w:hint="eastAsia" w:ascii="宋体" w:hAnsi="宋体" w:eastAsia="宋体" w:cs="宋体"/>
          <w:b/>
          <w:bCs/>
          <w:sz w:val="44"/>
          <w:szCs w:val="44"/>
        </w:rPr>
        <w:t>202</w:t>
      </w:r>
      <w:r>
        <w:rPr>
          <w:rFonts w:hint="eastAsia" w:ascii="宋体" w:hAnsi="宋体" w:cs="宋体"/>
          <w:b/>
          <w:bCs/>
          <w:sz w:val="44"/>
          <w:szCs w:val="44"/>
          <w:lang w:val="en-US" w:eastAsia="zh-CN"/>
        </w:rPr>
        <w:t>5</w:t>
      </w:r>
      <w:r>
        <w:rPr>
          <w:rFonts w:hint="eastAsia" w:ascii="宋体" w:hAnsi="宋体" w:eastAsia="宋体" w:cs="宋体"/>
          <w:b/>
          <w:bCs/>
          <w:sz w:val="44"/>
          <w:szCs w:val="44"/>
        </w:rPr>
        <w:t>年工作安排</w:t>
      </w:r>
    </w:p>
    <w:p w14:paraId="06C44DE8">
      <w:pPr>
        <w:pStyle w:val="3"/>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 w:hAnsi="仿宋" w:eastAsia="仿宋" w:cs="仿宋"/>
          <w:b w:val="0"/>
          <w:bCs w:val="0"/>
          <w:sz w:val="32"/>
          <w:szCs w:val="32"/>
        </w:rPr>
      </w:pPr>
      <w:r>
        <w:rPr>
          <w:rFonts w:hint="eastAsia" w:ascii="仿宋" w:hAnsi="仿宋" w:eastAsia="仿宋" w:cs="仿宋"/>
          <w:b w:val="0"/>
          <w:bCs w:val="0"/>
          <w:sz w:val="32"/>
          <w:szCs w:val="32"/>
          <w:shd w:val="clear" w:color="auto" w:fill="auto"/>
        </w:rPr>
        <w:t>今年以来，新枫街道在区委、区政府的正确领导下，始终坚持以习近平新时代中国特色社会主义思想为指导，</w:t>
      </w:r>
      <w:r>
        <w:rPr>
          <w:rFonts w:hint="eastAsia" w:ascii="仿宋" w:hAnsi="仿宋" w:eastAsia="仿宋" w:cs="仿宋"/>
          <w:b w:val="0"/>
          <w:bCs w:val="0"/>
          <w:sz w:val="32"/>
          <w:szCs w:val="32"/>
          <w:shd w:val="clear" w:color="auto" w:fill="auto"/>
          <w:lang w:eastAsia="zh-CN"/>
        </w:rPr>
        <w:t>深入学习</w:t>
      </w:r>
      <w:r>
        <w:rPr>
          <w:rFonts w:hint="eastAsia" w:ascii="仿宋" w:hAnsi="仿宋" w:eastAsia="仿宋" w:cs="仿宋"/>
          <w:b w:val="0"/>
          <w:bCs w:val="0"/>
          <w:sz w:val="32"/>
          <w:szCs w:val="32"/>
          <w:shd w:val="clear" w:color="auto" w:fill="auto"/>
        </w:rPr>
        <w:t>贯彻</w:t>
      </w:r>
      <w:r>
        <w:rPr>
          <w:rFonts w:hint="eastAsia" w:ascii="仿宋" w:hAnsi="仿宋" w:eastAsia="仿宋" w:cs="仿宋"/>
          <w:b w:val="0"/>
          <w:bCs w:val="0"/>
          <w:sz w:val="32"/>
          <w:szCs w:val="32"/>
          <w:shd w:val="clear" w:color="auto" w:fill="auto"/>
          <w:lang w:eastAsia="zh-CN"/>
        </w:rPr>
        <w:t>党的二十大、二十届三中全会精神和</w:t>
      </w:r>
      <w:r>
        <w:rPr>
          <w:rFonts w:hint="eastAsia" w:ascii="仿宋" w:hAnsi="仿宋" w:eastAsia="仿宋" w:cs="仿宋"/>
          <w:b w:val="0"/>
          <w:bCs w:val="0"/>
          <w:sz w:val="32"/>
          <w:szCs w:val="32"/>
          <w:shd w:val="clear" w:color="auto" w:fill="auto"/>
        </w:rPr>
        <w:t>习近平总书记视察江西</w:t>
      </w:r>
      <w:r>
        <w:rPr>
          <w:rFonts w:hint="eastAsia" w:ascii="仿宋" w:hAnsi="仿宋" w:eastAsia="仿宋" w:cs="仿宋"/>
          <w:b w:val="0"/>
          <w:bCs w:val="0"/>
          <w:sz w:val="32"/>
          <w:szCs w:val="32"/>
          <w:shd w:val="clear" w:color="auto" w:fill="auto"/>
          <w:lang w:eastAsia="zh-CN"/>
        </w:rPr>
        <w:t>系列</w:t>
      </w:r>
      <w:r>
        <w:rPr>
          <w:rFonts w:hint="eastAsia" w:ascii="仿宋" w:hAnsi="仿宋" w:eastAsia="仿宋" w:cs="仿宋"/>
          <w:b w:val="0"/>
          <w:bCs w:val="0"/>
          <w:sz w:val="32"/>
          <w:szCs w:val="32"/>
          <w:shd w:val="clear" w:color="auto" w:fill="auto"/>
        </w:rPr>
        <w:t>重要讲话精神，</w:t>
      </w:r>
      <w:r>
        <w:rPr>
          <w:rFonts w:hint="eastAsia" w:ascii="仿宋" w:hAnsi="仿宋" w:eastAsia="仿宋" w:cs="仿宋"/>
          <w:sz w:val="32"/>
          <w:szCs w:val="32"/>
          <w:lang w:eastAsia="zh-CN"/>
        </w:rPr>
        <w:t>聚焦“走在前、勇争先、善作为”的目标要求，以区委3344战略行动为工作指南，凝心聚力、加压奋进，</w:t>
      </w:r>
      <w:r>
        <w:rPr>
          <w:rFonts w:hint="eastAsia" w:ascii="仿宋" w:hAnsi="仿宋" w:eastAsia="仿宋" w:cs="仿宋"/>
          <w:b w:val="0"/>
          <w:bCs w:val="0"/>
          <w:sz w:val="32"/>
          <w:szCs w:val="32"/>
        </w:rPr>
        <w:t>持续开创街道经济和社会各项事业新局面。</w:t>
      </w:r>
      <w:r>
        <w:rPr>
          <w:rFonts w:hint="eastAsia" w:ascii="仿宋" w:hAnsi="仿宋" w:eastAsia="仿宋" w:cs="仿宋"/>
          <w:b w:val="0"/>
          <w:bCs w:val="0"/>
          <w:sz w:val="32"/>
          <w:szCs w:val="32"/>
          <w:lang w:val="en-US" w:eastAsia="zh-CN"/>
        </w:rPr>
        <w:t>街道先后荣获第二届全省新时代五星文明实践所，全省安全生产月活动优秀单位、消防工作优秀单位，全市共青团工作先进乡镇（街道）等荣誉称号。</w:t>
      </w:r>
      <w:r>
        <w:rPr>
          <w:rFonts w:hint="eastAsia" w:ascii="仿宋" w:hAnsi="仿宋" w:eastAsia="仿宋" w:cs="仿宋"/>
          <w:sz w:val="32"/>
          <w:szCs w:val="32"/>
          <w:lang w:val="en-US" w:eastAsia="zh-CN"/>
        </w:rPr>
        <w:t>现将街道2024年工作总结及2025年工作安排汇报如下：</w:t>
      </w:r>
    </w:p>
    <w:p w14:paraId="4774A351">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both"/>
        <w:textAlignment w:val="auto"/>
        <w:outlineLvl w:val="9"/>
        <w:rPr>
          <w:rFonts w:hint="eastAsia" w:ascii="仿宋" w:hAnsi="仿宋" w:eastAsia="仿宋" w:cs="仿宋"/>
          <w:b/>
          <w:bCs/>
          <w:sz w:val="32"/>
          <w:szCs w:val="32"/>
          <w:lang w:eastAsia="zh-CN"/>
        </w:rPr>
      </w:pPr>
      <w:r>
        <w:rPr>
          <w:rFonts w:hint="eastAsia" w:ascii="仿宋" w:hAnsi="仿宋" w:eastAsia="仿宋" w:cs="仿宋"/>
          <w:b/>
          <w:bCs/>
          <w:sz w:val="32"/>
          <w:szCs w:val="32"/>
          <w:lang w:val="en-US" w:eastAsia="zh-CN"/>
        </w:rPr>
        <w:t>一、</w:t>
      </w:r>
      <w:r>
        <w:rPr>
          <w:rFonts w:hint="eastAsia" w:ascii="仿宋" w:hAnsi="仿宋" w:eastAsia="仿宋" w:cs="仿宋"/>
          <w:b/>
          <w:bCs/>
          <w:sz w:val="32"/>
          <w:szCs w:val="32"/>
        </w:rPr>
        <w:t>聚焦红色领航</w:t>
      </w:r>
      <w:r>
        <w:rPr>
          <w:rFonts w:hint="eastAsia" w:ascii="仿宋" w:hAnsi="仿宋" w:eastAsia="仿宋" w:cs="仿宋"/>
          <w:b/>
          <w:bCs/>
          <w:sz w:val="32"/>
          <w:szCs w:val="32"/>
          <w:lang w:eastAsia="zh-CN"/>
        </w:rPr>
        <w:t>，</w:t>
      </w:r>
      <w:r>
        <w:rPr>
          <w:rFonts w:hint="eastAsia" w:ascii="仿宋" w:hAnsi="仿宋" w:eastAsia="仿宋" w:cs="仿宋"/>
          <w:b/>
          <w:bCs/>
          <w:sz w:val="32"/>
          <w:szCs w:val="32"/>
        </w:rPr>
        <w:t>基层党建全面深化</w:t>
      </w:r>
    </w:p>
    <w:p w14:paraId="0CB0B15D">
      <w:pPr>
        <w:pStyle w:val="8"/>
        <w:keepNext w:val="0"/>
        <w:keepLines w:val="0"/>
        <w:pageBreakBefore w:val="0"/>
        <w:numPr>
          <w:ilvl w:val="0"/>
          <w:numId w:val="0"/>
        </w:numPr>
        <w:kinsoku/>
        <w:wordWrap/>
        <w:overflowPunct/>
        <w:topLinePunct w:val="0"/>
        <w:autoSpaceDE/>
        <w:autoSpaceDN/>
        <w:bidi w:val="0"/>
        <w:adjustRightInd/>
        <w:snapToGrid/>
        <w:spacing w:line="600" w:lineRule="exact"/>
        <w:ind w:firstLine="643" w:firstLineChars="200"/>
        <w:jc w:val="both"/>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b/>
          <w:bCs/>
          <w:sz w:val="32"/>
          <w:szCs w:val="32"/>
          <w:lang w:val="en-US" w:eastAsia="zh-CN"/>
        </w:rPr>
        <w:t>1.全面高效开展党纪学习教育。</w:t>
      </w:r>
      <w:r>
        <w:rPr>
          <w:rFonts w:hint="eastAsia" w:ascii="仿宋" w:hAnsi="仿宋" w:eastAsia="仿宋" w:cs="仿宋"/>
          <w:kern w:val="2"/>
          <w:sz w:val="32"/>
          <w:szCs w:val="32"/>
          <w:lang w:val="en-US" w:eastAsia="zh-CN" w:bidi="ar-SA"/>
        </w:rPr>
        <w:t>一是精密部署规划。街道及时召开街道党委（扩大）会议，研究部署街道党纪学习教育工作，研究制定了《新枫街道党纪学习教育工作安排》，明确细化了11项具体任务，目前，14个基层党委、41个党支部均通过党员大会的形式全面完成党纪学习教育工作启动部署；二是开展理论学习。街道党工委理论学习中心组开展2次集体学习《条例》，41个党支部均已通过“三会一课”、主题党日形式组织党员进行了党纪学习教育，参学党员900余名，6月7日，街道党工委书记给街道党员干部上了一堂主题为“筑牢纪律之基，争当遵规守纪的排头兵”的党纪学习教育的专题党课。三是统筹稳步推进。明确以学习《条例》为重点，确保党纪学习教育动作规范、不走过场。依托街道微信公众号做好宣传解读，及时转载刊发解读40余篇，营造学条例、知条例、用条例的浓厚氛围。</w:t>
      </w:r>
    </w:p>
    <w:p w14:paraId="6750AFF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2.稳步推进基层党建工作。</w:t>
      </w:r>
      <w:r>
        <w:rPr>
          <w:rFonts w:hint="eastAsia" w:ascii="仿宋" w:hAnsi="仿宋" w:eastAsia="仿宋" w:cs="仿宋"/>
          <w:color w:val="000000"/>
          <w:kern w:val="0"/>
          <w:sz w:val="32"/>
          <w:szCs w:val="32"/>
          <w:u w:val="none" w:color="auto"/>
          <w:vertAlign w:val="baseline"/>
          <w:lang w:val="en-US" w:eastAsia="zh-CN"/>
        </w:rPr>
        <w:t>5月</w:t>
      </w:r>
      <w:r>
        <w:rPr>
          <w:rFonts w:hint="eastAsia" w:ascii="仿宋" w:hAnsi="仿宋" w:eastAsia="仿宋" w:cs="仿宋"/>
          <w:b w:val="0"/>
          <w:bCs w:val="0"/>
          <w:color w:val="000000"/>
          <w:kern w:val="0"/>
          <w:sz w:val="32"/>
          <w:szCs w:val="32"/>
          <w:u w:val="none" w:color="auto"/>
          <w:vertAlign w:val="baseline"/>
          <w:lang w:val="en-US" w:eastAsia="zh-CN"/>
        </w:rPr>
        <w:t>10日，街道党工委召开2024年度第一次党建工作领导小组会议，研究基层党建2024年</w:t>
      </w:r>
      <w:r>
        <w:rPr>
          <w:rFonts w:hint="eastAsia" w:ascii="仿宋" w:hAnsi="仿宋" w:eastAsia="仿宋" w:cs="仿宋"/>
          <w:sz w:val="32"/>
          <w:szCs w:val="32"/>
          <w:lang w:val="en-US" w:eastAsia="zh-CN"/>
        </w:rPr>
        <w:t>度“书记领航”项目清单，积极打造街道党群服务中心一楼的“访诉调”一体化项目，持续推动基层党建全面提升。</w:t>
      </w:r>
      <w:r>
        <w:rPr>
          <w:rFonts w:hint="eastAsia" w:ascii="仿宋" w:hAnsi="仿宋" w:eastAsia="仿宋" w:cs="仿宋"/>
          <w:sz w:val="32"/>
          <w:szCs w:val="32"/>
          <w:highlight w:val="none"/>
          <w:lang w:val="en-US" w:eastAsia="zh-CN"/>
        </w:rPr>
        <w:t>今年，街道将十八渡社区鹭金昌江府一期作为此次红色物业的小区，已申报至上级相关部门</w:t>
      </w:r>
      <w:r>
        <w:rPr>
          <w:rFonts w:hint="eastAsia" w:ascii="仿宋" w:hAnsi="仿宋" w:eastAsia="仿宋" w:cs="仿宋"/>
          <w:sz w:val="32"/>
          <w:szCs w:val="32"/>
          <w:lang w:val="en-US" w:eastAsia="zh-CN"/>
        </w:rPr>
        <w:t>。全面规范“两委”干部建设，根据《关于选聘社区“两委”干部预备人选的通知》要求，已组织38名符合条件人员报名参加</w:t>
      </w:r>
      <w:r>
        <w:rPr>
          <w:rFonts w:hint="eastAsia" w:ascii="仿宋" w:hAnsi="仿宋" w:eastAsia="仿宋" w:cs="仿宋"/>
          <w:color w:val="auto"/>
          <w:sz w:val="32"/>
          <w:szCs w:val="32"/>
          <w:highlight w:val="none"/>
          <w:lang w:val="en-US" w:eastAsia="zh-CN"/>
        </w:rPr>
        <w:t>笔试、面试，并筛选出了6名拟选任人员名单。</w:t>
      </w:r>
    </w:p>
    <w:p w14:paraId="7B111E8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3.全面从严治党走深走实。</w:t>
      </w:r>
      <w:r>
        <w:rPr>
          <w:rFonts w:hint="eastAsia" w:ascii="仿宋" w:hAnsi="仿宋" w:eastAsia="仿宋" w:cs="仿宋"/>
          <w:kern w:val="2"/>
          <w:sz w:val="32"/>
          <w:szCs w:val="32"/>
          <w:lang w:val="en-US" w:eastAsia="zh-CN" w:bidi="ar-SA"/>
        </w:rPr>
        <w:t>街道党工委研究和部署本年度党风廉政建设责任目标任务，印发了《2024年度落实全面从严治党主体责任清单》，明确细化目标任务责任和重点工作安排，以</w:t>
      </w:r>
      <w:r>
        <w:rPr>
          <w:rFonts w:hint="eastAsia" w:ascii="仿宋" w:hAnsi="仿宋" w:eastAsia="仿宋" w:cs="仿宋"/>
          <w:sz w:val="32"/>
          <w:szCs w:val="32"/>
          <w:lang w:val="en-US" w:eastAsia="zh-CN"/>
        </w:rPr>
        <w:t>开展群众</w:t>
      </w:r>
      <w:r>
        <w:rPr>
          <w:rFonts w:hint="eastAsia" w:ascii="仿宋" w:hAnsi="仿宋" w:eastAsia="仿宋" w:cs="仿宋"/>
          <w:kern w:val="2"/>
          <w:sz w:val="32"/>
          <w:szCs w:val="32"/>
          <w:lang w:val="en-US" w:eastAsia="zh-CN" w:bidi="ar-SA"/>
        </w:rPr>
        <w:t>身边不正之风和腐败问题集中整治自整治工作为抓手，开展以来，取得了较大成效，截止目前，排查收集问题线索47条，已立案25起，结案23起，未结案2起。第二种形态处理23人（其中党内警告20人，党内严重警告1人，政务记过1人，免于党纪处分1人）；第一种形态处理29人（其中谈话提醒26人，诫勉谈话2人，责令检查1人）同时，我们始终坚持以解决群众的“急难愁盼”为整治行动的出发点和落脚点，目前已收集到群众诉求73条，经梳理归类后有16条，主要涉及老人就餐、小孩读书、道路破损、居民小区环境卫生、下水道堵塞等方面，已解决14条，解决了三河老新村道路提升改造、太阳船社区幸福食堂等问题</w:t>
      </w:r>
      <w:r>
        <w:rPr>
          <w:rFonts w:hint="eastAsia" w:ascii="仿宋" w:hAnsi="仿宋" w:eastAsia="仿宋" w:cs="仿宋"/>
          <w:sz w:val="32"/>
          <w:szCs w:val="32"/>
          <w:lang w:val="en-US" w:eastAsia="zh-CN"/>
        </w:rPr>
        <w:t>。</w:t>
      </w:r>
    </w:p>
    <w:p w14:paraId="4F2DD384">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二、紧盯目标任务，经济发展稳中有进</w:t>
      </w:r>
    </w:p>
    <w:p w14:paraId="6C378908">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1.经济总量稳步提升。</w:t>
      </w:r>
      <w:bookmarkStart w:id="0" w:name="_GoBack"/>
      <w:bookmarkEnd w:id="0"/>
      <w:r>
        <w:rPr>
          <w:rFonts w:hint="eastAsia" w:ascii="仿宋" w:hAnsi="仿宋" w:eastAsia="仿宋" w:cs="仿宋"/>
          <w:sz w:val="32"/>
          <w:szCs w:val="32"/>
          <w:shd w:val="clear" w:color="auto" w:fill="auto"/>
          <w:lang w:val="en-US" w:eastAsia="zh-CN"/>
        </w:rPr>
        <w:t>街道财政总收入</w:t>
      </w:r>
      <w:r>
        <w:rPr>
          <w:rFonts w:hint="eastAsia" w:ascii="仿宋" w:hAnsi="仿宋" w:eastAsia="仿宋" w:cs="仿宋"/>
          <w:sz w:val="32"/>
          <w:szCs w:val="32"/>
        </w:rPr>
        <w:t>2408</w:t>
      </w:r>
      <w:r>
        <w:rPr>
          <w:rFonts w:hint="eastAsia" w:ascii="仿宋" w:hAnsi="仿宋" w:eastAsia="仿宋" w:cs="仿宋"/>
          <w:sz w:val="32"/>
          <w:szCs w:val="32"/>
          <w:shd w:val="clear" w:color="auto" w:fill="auto"/>
          <w:lang w:val="en-US" w:eastAsia="zh-CN"/>
        </w:rPr>
        <w:t>万元，其中一般公共预算收入</w:t>
      </w:r>
      <w:r>
        <w:rPr>
          <w:rFonts w:hint="eastAsia" w:ascii="仿宋" w:hAnsi="仿宋" w:eastAsia="仿宋" w:cs="仿宋"/>
          <w:sz w:val="32"/>
          <w:szCs w:val="32"/>
        </w:rPr>
        <w:t>1010</w:t>
      </w:r>
      <w:r>
        <w:rPr>
          <w:rFonts w:hint="eastAsia" w:ascii="仿宋" w:hAnsi="仿宋" w:eastAsia="仿宋" w:cs="仿宋"/>
          <w:sz w:val="32"/>
          <w:szCs w:val="32"/>
          <w:shd w:val="clear" w:color="auto" w:fill="auto"/>
          <w:lang w:val="en-US" w:eastAsia="zh-CN"/>
        </w:rPr>
        <w:t>万元，税收收入</w:t>
      </w:r>
      <w:r>
        <w:rPr>
          <w:rFonts w:hint="eastAsia" w:ascii="仿宋" w:hAnsi="仿宋" w:eastAsia="仿宋" w:cs="仿宋"/>
          <w:sz w:val="32"/>
          <w:szCs w:val="32"/>
        </w:rPr>
        <w:t>2313</w:t>
      </w:r>
      <w:r>
        <w:rPr>
          <w:rFonts w:hint="eastAsia" w:ascii="仿宋" w:hAnsi="仿宋" w:eastAsia="仿宋" w:cs="仿宋"/>
          <w:sz w:val="32"/>
          <w:szCs w:val="32"/>
          <w:shd w:val="clear" w:color="auto" w:fill="auto"/>
          <w:lang w:val="en-US" w:eastAsia="zh-CN"/>
        </w:rPr>
        <w:t>万元。固定资产投资完成</w:t>
      </w:r>
      <w:r>
        <w:rPr>
          <w:rFonts w:hint="eastAsia" w:ascii="仿宋" w:hAnsi="仿宋" w:eastAsia="仿宋" w:cs="仿宋"/>
          <w:sz w:val="32"/>
          <w:szCs w:val="32"/>
          <w:lang w:val="en-US" w:eastAsia="zh-CN"/>
        </w:rPr>
        <w:t>5.7亿</w:t>
      </w:r>
      <w:r>
        <w:rPr>
          <w:rFonts w:hint="eastAsia" w:ascii="仿宋" w:hAnsi="仿宋" w:eastAsia="仿宋" w:cs="仿宋"/>
          <w:sz w:val="32"/>
          <w:szCs w:val="32"/>
          <w:shd w:val="clear" w:color="auto" w:fill="auto"/>
          <w:lang w:val="en-US" w:eastAsia="zh-CN"/>
        </w:rPr>
        <w:t>元，</w:t>
      </w:r>
      <w:r>
        <w:rPr>
          <w:rFonts w:hint="eastAsia" w:ascii="仿宋" w:hAnsi="仿宋" w:eastAsia="仿宋" w:cs="仿宋"/>
          <w:sz w:val="32"/>
          <w:szCs w:val="32"/>
          <w:lang w:val="en-US" w:eastAsia="zh-CN"/>
        </w:rPr>
        <w:t>剩余可报项目资金约6亿元。</w:t>
      </w:r>
      <w:r>
        <w:rPr>
          <w:rFonts w:hint="eastAsia" w:ascii="仿宋" w:hAnsi="仿宋" w:eastAsia="仿宋" w:cs="仿宋"/>
          <w:spacing w:val="0"/>
          <w:kern w:val="2"/>
          <w:sz w:val="32"/>
          <w:szCs w:val="32"/>
          <w:lang w:val="en-US" w:eastAsia="zh-CN" w:bidi="ar-SA"/>
        </w:rPr>
        <w:t>已经完成五上企业入库4家，</w:t>
      </w:r>
      <w:r>
        <w:rPr>
          <w:rFonts w:hint="eastAsia" w:ascii="仿宋" w:hAnsi="仿宋" w:eastAsia="仿宋" w:cs="仿宋"/>
          <w:sz w:val="32"/>
          <w:szCs w:val="32"/>
        </w:rPr>
        <w:t>亿元以上</w:t>
      </w:r>
      <w:r>
        <w:rPr>
          <w:rFonts w:hint="eastAsia" w:ascii="仿宋" w:hAnsi="仿宋" w:eastAsia="仿宋" w:cs="仿宋"/>
          <w:sz w:val="32"/>
          <w:szCs w:val="32"/>
          <w:lang w:eastAsia="zh-CN"/>
        </w:rPr>
        <w:t>新增</w:t>
      </w:r>
      <w:r>
        <w:rPr>
          <w:rFonts w:hint="eastAsia" w:ascii="仿宋" w:hAnsi="仿宋" w:eastAsia="仿宋" w:cs="仿宋"/>
          <w:sz w:val="32"/>
          <w:szCs w:val="32"/>
          <w:lang w:val="en-US" w:eastAsia="zh-CN"/>
        </w:rPr>
        <w:t>2家，预计本年度入库固投4家。</w:t>
      </w:r>
    </w:p>
    <w:p w14:paraId="5B3A362C">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2.招商引资取得实效。</w:t>
      </w:r>
      <w:r>
        <w:rPr>
          <w:rFonts w:hint="eastAsia" w:ascii="仿宋" w:hAnsi="仿宋" w:eastAsia="仿宋" w:cs="仿宋"/>
          <w:sz w:val="32"/>
          <w:szCs w:val="32"/>
          <w:shd w:val="clear" w:color="auto" w:fill="auto"/>
          <w:lang w:val="en-US" w:eastAsia="zh-CN"/>
        </w:rPr>
        <w:t>我们将发展电子信息、先进陶瓷、数字经济、楼宇经济作为工作的重点，精准发力，创新方式，稳步推进招商引资工作。</w:t>
      </w:r>
      <w:r>
        <w:rPr>
          <w:rFonts w:hint="eastAsia" w:ascii="仿宋" w:hAnsi="仿宋" w:eastAsia="仿宋" w:cs="仿宋"/>
          <w:sz w:val="32"/>
          <w:szCs w:val="32"/>
          <w:lang w:val="en-US" w:eastAsia="zh-CN"/>
        </w:rPr>
        <w:t>街道党政主官分别赴上海和杭州各招商一次，</w:t>
      </w:r>
      <w:r>
        <w:rPr>
          <w:rFonts w:hint="eastAsia" w:ascii="仿宋" w:hAnsi="仿宋" w:eastAsia="仿宋" w:cs="仿宋"/>
          <w:sz w:val="32"/>
          <w:szCs w:val="32"/>
          <w:shd w:val="clear" w:color="auto" w:fill="auto"/>
          <w:lang w:val="en-US" w:eastAsia="zh-CN"/>
        </w:rPr>
        <w:t>，收集</w:t>
      </w:r>
      <w:r>
        <w:rPr>
          <w:rFonts w:hint="eastAsia" w:ascii="仿宋" w:hAnsi="仿宋" w:eastAsia="仿宋" w:cs="仿宋"/>
          <w:b w:val="0"/>
          <w:bCs w:val="0"/>
          <w:kern w:val="2"/>
          <w:sz w:val="32"/>
          <w:szCs w:val="32"/>
          <w:shd w:val="clear" w:color="auto" w:fill="auto"/>
          <w:lang w:val="en-US" w:eastAsia="zh-CN" w:bidi="ar-SA"/>
        </w:rPr>
        <w:t>招商线索20余条，已签约3家平台类楼宇经济企业，</w:t>
      </w:r>
      <w:r>
        <w:rPr>
          <w:rFonts w:hint="eastAsia" w:ascii="仿宋" w:hAnsi="仿宋" w:eastAsia="仿宋" w:cs="仿宋"/>
          <w:sz w:val="32"/>
          <w:szCs w:val="32"/>
          <w:lang w:val="en-US" w:eastAsia="zh-CN"/>
        </w:rPr>
        <w:t>总部经济已完成5家签约，已经对接四家意向企业，分别是上海的创业护航（上海）信息科技有限公司、企昇科技集团有限公司和杭州的燊泰控股、风云动画公司，目前正积极协商洽谈后续事宜。</w:t>
      </w:r>
    </w:p>
    <w:p w14:paraId="2C484930">
      <w:pPr>
        <w:keepNext w:val="0"/>
        <w:keepLines w:val="0"/>
        <w:pageBreakBefore w:val="0"/>
        <w:numPr>
          <w:ilvl w:val="0"/>
          <w:numId w:val="0"/>
        </w:numPr>
        <w:kinsoku/>
        <w:wordWrap/>
        <w:overflowPunct/>
        <w:topLinePunct w:val="0"/>
        <w:autoSpaceDE/>
        <w:autoSpaceDN/>
        <w:bidi w:val="0"/>
        <w:adjustRightInd/>
        <w:snapToGrid/>
        <w:spacing w:line="600" w:lineRule="exact"/>
        <w:ind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3.营商环境持续优化。</w:t>
      </w:r>
      <w:r>
        <w:rPr>
          <w:rFonts w:hint="eastAsia" w:ascii="仿宋" w:hAnsi="仿宋" w:eastAsia="仿宋" w:cs="仿宋"/>
          <w:sz w:val="32"/>
          <w:szCs w:val="32"/>
          <w:lang w:val="en-US" w:eastAsia="zh-CN"/>
        </w:rPr>
        <w:t>新枫街道市场主体数12055家（实体经济+平台经济），平台经济共4701家；</w:t>
      </w:r>
      <w:r>
        <w:rPr>
          <w:rFonts w:hint="eastAsia" w:ascii="仿宋" w:hAnsi="仿宋" w:eastAsia="仿宋" w:cs="仿宋"/>
          <w:bCs/>
          <w:sz w:val="32"/>
          <w:szCs w:val="32"/>
        </w:rPr>
        <w:t>今年以来，街道采取有力措施</w:t>
      </w:r>
      <w:r>
        <w:rPr>
          <w:rFonts w:hint="eastAsia" w:ascii="仿宋" w:hAnsi="仿宋" w:eastAsia="仿宋" w:cs="仿宋"/>
          <w:bCs/>
          <w:sz w:val="32"/>
          <w:szCs w:val="32"/>
          <w:lang w:val="en-US" w:eastAsia="zh-CN"/>
        </w:rPr>
        <w:t>，进一步深化</w:t>
      </w:r>
      <w:r>
        <w:rPr>
          <w:rFonts w:hint="eastAsia" w:ascii="仿宋" w:hAnsi="仿宋" w:eastAsia="仿宋" w:cs="仿宋"/>
          <w:bCs/>
          <w:sz w:val="32"/>
          <w:szCs w:val="32"/>
        </w:rPr>
        <w:t>落实“</w:t>
      </w:r>
      <w:r>
        <w:rPr>
          <w:rFonts w:hint="eastAsia" w:ascii="仿宋" w:hAnsi="仿宋" w:eastAsia="仿宋" w:cs="仿宋"/>
          <w:bCs/>
          <w:sz w:val="32"/>
          <w:szCs w:val="32"/>
          <w:lang w:val="en-US" w:eastAsia="zh-CN"/>
        </w:rPr>
        <w:t>万</w:t>
      </w:r>
      <w:r>
        <w:rPr>
          <w:rFonts w:hint="eastAsia" w:ascii="仿宋" w:hAnsi="仿宋" w:eastAsia="仿宋" w:cs="仿宋"/>
          <w:bCs/>
          <w:sz w:val="32"/>
          <w:szCs w:val="32"/>
        </w:rPr>
        <w:t>干</w:t>
      </w:r>
      <w:r>
        <w:rPr>
          <w:rFonts w:hint="eastAsia" w:ascii="仿宋" w:hAnsi="仿宋" w:eastAsia="仿宋" w:cs="仿宋"/>
          <w:bCs/>
          <w:sz w:val="32"/>
          <w:szCs w:val="32"/>
          <w:lang w:val="en-US" w:eastAsia="zh-CN"/>
        </w:rPr>
        <w:t>入</w:t>
      </w:r>
      <w:r>
        <w:rPr>
          <w:rFonts w:hint="eastAsia" w:ascii="仿宋" w:hAnsi="仿宋" w:eastAsia="仿宋" w:cs="仿宋"/>
          <w:bCs/>
          <w:sz w:val="32"/>
          <w:szCs w:val="32"/>
        </w:rPr>
        <w:t>万企”行动，</w:t>
      </w:r>
      <w:r>
        <w:rPr>
          <w:rFonts w:hint="eastAsia" w:ascii="仿宋" w:hAnsi="仿宋" w:eastAsia="仿宋" w:cs="仿宋"/>
          <w:sz w:val="32"/>
          <w:szCs w:val="32"/>
          <w:lang w:val="en-US" w:eastAsia="zh-CN"/>
        </w:rPr>
        <w:t>完善“1+3+N”三全暧企工作机制，形成“党建引领、三级联动、N种场景”实践机制，举办营商环境助企活动4场，助企设点67家，协同税务、区人社局、区统计局、区人事劳动局、对362 家企业进行了宣讲，</w:t>
      </w:r>
      <w:r>
        <w:rPr>
          <w:rFonts w:hint="eastAsia" w:ascii="仿宋" w:hAnsi="仿宋" w:eastAsia="仿宋" w:cs="仿宋"/>
          <w:b w:val="0"/>
          <w:bCs w:val="0"/>
          <w:sz w:val="32"/>
          <w:szCs w:val="32"/>
          <w:lang w:val="en-US" w:eastAsia="zh-CN"/>
        </w:rPr>
        <w:t>创设金融窗口，</w:t>
      </w:r>
      <w:r>
        <w:rPr>
          <w:rFonts w:hint="eastAsia" w:ascii="仿宋" w:hAnsi="仿宋" w:eastAsia="仿宋" w:cs="仿宋"/>
          <w:sz w:val="32"/>
          <w:szCs w:val="32"/>
          <w:lang w:val="en-US" w:eastAsia="zh-CN"/>
        </w:rPr>
        <w:t>为企业提供金融服务银行贷款约356万元，法律上门服务6次，营商环境新闻报道122篇，收集诉求问题 251个，问题解决率达 99 %，。</w:t>
      </w:r>
      <w:r>
        <w:rPr>
          <w:rFonts w:hint="eastAsia" w:ascii="仿宋" w:hAnsi="仿宋" w:eastAsia="仿宋" w:cs="仿宋"/>
          <w:i w:val="0"/>
          <w:iCs w:val="0"/>
          <w:caps w:val="0"/>
          <w:color w:val="000000"/>
          <w:spacing w:val="7"/>
          <w:sz w:val="32"/>
          <w:szCs w:val="32"/>
          <w:shd w:val="clear" w:fill="FFFFFF"/>
        </w:rPr>
        <w:t>持续擦亮</w:t>
      </w:r>
      <w:r>
        <w:rPr>
          <w:rFonts w:hint="eastAsia" w:ascii="仿宋" w:hAnsi="仿宋" w:eastAsia="仿宋" w:cs="仿宋"/>
          <w:i w:val="0"/>
          <w:iCs w:val="0"/>
          <w:caps w:val="0"/>
          <w:color w:val="000000"/>
          <w:spacing w:val="7"/>
          <w:sz w:val="32"/>
          <w:szCs w:val="32"/>
          <w:shd w:val="clear" w:fill="FFFFFF"/>
          <w:lang w:eastAsia="zh-CN"/>
        </w:rPr>
        <w:t>了</w:t>
      </w:r>
      <w:r>
        <w:rPr>
          <w:rFonts w:hint="eastAsia" w:ascii="仿宋" w:hAnsi="仿宋" w:eastAsia="仿宋" w:cs="仿宋"/>
          <w:i w:val="0"/>
          <w:iCs w:val="0"/>
          <w:caps w:val="0"/>
          <w:color w:val="000000"/>
          <w:spacing w:val="7"/>
          <w:sz w:val="32"/>
          <w:szCs w:val="32"/>
          <w:shd w:val="clear" w:fill="FFFFFF"/>
        </w:rPr>
        <w:t>“营在新枫”品牌。</w:t>
      </w:r>
    </w:p>
    <w:p w14:paraId="5086480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outlineLvl w:val="9"/>
        <w:rPr>
          <w:rFonts w:hint="eastAsia" w:ascii="仿宋" w:hAnsi="仿宋" w:eastAsia="仿宋" w:cs="仿宋"/>
          <w:b w:val="0"/>
          <w:bCs w:val="0"/>
          <w:kern w:val="2"/>
          <w:sz w:val="32"/>
          <w:szCs w:val="32"/>
          <w:shd w:val="clear" w:color="auto" w:fill="auto"/>
          <w:lang w:val="en-US" w:eastAsia="zh-CN" w:bidi="ar-SA"/>
        </w:rPr>
      </w:pPr>
      <w:r>
        <w:rPr>
          <w:rFonts w:hint="eastAsia" w:ascii="仿宋" w:hAnsi="仿宋" w:eastAsia="仿宋" w:cs="仿宋"/>
          <w:b/>
          <w:bCs/>
          <w:kern w:val="2"/>
          <w:sz w:val="32"/>
          <w:szCs w:val="32"/>
          <w:lang w:val="en-US" w:eastAsia="zh-CN" w:bidi="ar-SA"/>
        </w:rPr>
        <w:t>三、改善民生福祉，城市治理水平提升</w:t>
      </w:r>
    </w:p>
    <w:p w14:paraId="6869254A">
      <w:pPr>
        <w:keepNext w:val="0"/>
        <w:keepLines w:val="0"/>
        <w:pageBreakBefore w:val="0"/>
        <w:numPr>
          <w:ilvl w:val="0"/>
          <w:numId w:val="0"/>
        </w:numPr>
        <w:kinsoku/>
        <w:wordWrap/>
        <w:overflowPunct/>
        <w:topLinePunct w:val="0"/>
        <w:autoSpaceDE/>
        <w:autoSpaceDN/>
        <w:bidi w:val="0"/>
        <w:adjustRightInd/>
        <w:snapToGrid/>
        <w:spacing w:line="600" w:lineRule="exact"/>
        <w:ind w:firstLine="643" w:firstLineChars="200"/>
        <w:jc w:val="both"/>
        <w:textAlignment w:val="auto"/>
        <w:outlineLvl w:val="9"/>
        <w:rPr>
          <w:rFonts w:hint="eastAsia" w:ascii="仿宋" w:hAnsi="仿宋" w:eastAsia="仿宋" w:cs="仿宋"/>
          <w:b w:val="0"/>
          <w:bCs w:val="0"/>
          <w:kern w:val="2"/>
          <w:sz w:val="32"/>
          <w:szCs w:val="32"/>
          <w:shd w:val="clear" w:color="auto" w:fill="auto"/>
          <w:lang w:val="en-US" w:eastAsia="zh-CN" w:bidi="ar-SA"/>
        </w:rPr>
      </w:pPr>
      <w:r>
        <w:rPr>
          <w:rFonts w:hint="eastAsia" w:ascii="仿宋" w:hAnsi="仿宋" w:eastAsia="仿宋" w:cs="仿宋"/>
          <w:b/>
          <w:bCs/>
          <w:sz w:val="32"/>
          <w:szCs w:val="32"/>
          <w:lang w:val="en-US" w:eastAsia="zh-CN"/>
        </w:rPr>
        <w:t>1.乡村振兴卓有成效。</w:t>
      </w:r>
      <w:r>
        <w:rPr>
          <w:rFonts w:hint="eastAsia" w:ascii="仿宋" w:hAnsi="仿宋" w:eastAsia="仿宋" w:cs="仿宋"/>
          <w:color w:val="000000" w:themeColor="text1"/>
          <w:sz w:val="32"/>
          <w:szCs w:val="32"/>
          <w:lang w:val="en-US" w:eastAsia="zh-CN"/>
          <w14:textFill>
            <w14:solidFill>
              <w14:schemeClr w14:val="tx1"/>
            </w14:solidFill>
          </w14:textFill>
        </w:rPr>
        <w:t>街道现有脱贫户49户，132人。河西村20户39人，三河村</w:t>
      </w:r>
      <w:r>
        <w:rPr>
          <w:rFonts w:hint="eastAsia" w:ascii="仿宋" w:hAnsi="仿宋" w:eastAsia="仿宋" w:cs="仿宋"/>
          <w:b w:val="0"/>
          <w:bCs w:val="0"/>
          <w:kern w:val="2"/>
          <w:sz w:val="32"/>
          <w:szCs w:val="32"/>
          <w:shd w:val="clear" w:color="auto" w:fill="auto"/>
          <w:lang w:val="en-US" w:eastAsia="zh-CN" w:bidi="ar-SA"/>
        </w:rPr>
        <w:t>29户，93人，两村都无监测户。我们牢牢守住不发生规模性返贫底线，班子成员定期对脱贫户进行家访。助学帮扶：“雨露计划”补贴已全部享受到位；“两免一补”已享受到位；（享受“雨露计划” 3人，三河村： 5 人；河西村1人，每人补贴 1500 元/学期）;医保帮扶：脱贫户应保尽保，参保率100%；就业帮扶：公益性岗位补贴、交通补贴都已发放到位。</w:t>
      </w:r>
    </w:p>
    <w:p w14:paraId="32D75C11">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kern w:val="2"/>
          <w:sz w:val="32"/>
          <w:szCs w:val="32"/>
          <w:lang w:val="en-US" w:eastAsia="zh-CN" w:bidi="ar-SA"/>
        </w:rPr>
        <w:t>2.安全生产盯紧盯牢。</w:t>
      </w:r>
      <w:r>
        <w:rPr>
          <w:rFonts w:hint="eastAsia" w:ascii="仿宋" w:hAnsi="仿宋" w:eastAsia="仿宋" w:cs="仿宋"/>
          <w:b w:val="0"/>
          <w:bCs w:val="0"/>
          <w:kern w:val="2"/>
          <w:sz w:val="32"/>
          <w:szCs w:val="32"/>
          <w:shd w:val="clear" w:color="auto" w:fill="auto"/>
          <w:lang w:val="en-US" w:eastAsia="zh-CN" w:bidi="ar-SA"/>
        </w:rPr>
        <w:t>新枫街道高度重视安全生产工作，</w:t>
      </w:r>
      <w:r>
        <w:rPr>
          <w:rFonts w:hint="eastAsia" w:ascii="仿宋" w:hAnsi="仿宋" w:eastAsia="仿宋" w:cs="仿宋"/>
          <w:b/>
          <w:bCs/>
          <w:kern w:val="2"/>
          <w:sz w:val="32"/>
          <w:szCs w:val="32"/>
          <w:shd w:val="clear" w:color="auto" w:fill="auto"/>
          <w:lang w:val="en-US" w:eastAsia="zh-CN" w:bidi="ar-SA"/>
        </w:rPr>
        <w:t>一是</w:t>
      </w:r>
      <w:r>
        <w:rPr>
          <w:rFonts w:hint="eastAsia" w:ascii="仿宋" w:hAnsi="仿宋" w:eastAsia="仿宋" w:cs="仿宋"/>
          <w:b w:val="0"/>
          <w:bCs w:val="0"/>
          <w:kern w:val="2"/>
          <w:sz w:val="32"/>
          <w:szCs w:val="32"/>
          <w:shd w:val="clear" w:color="auto" w:fill="auto"/>
          <w:lang w:val="en-US" w:eastAsia="zh-CN" w:bidi="ar-SA"/>
        </w:rPr>
        <w:t>按照“拆牌、破网、清通道”专项行动要求，自专项行动工作以来，新枫街道按42个网格划分进行隐患排查整治，已检查摸排九小场所1068家，排查出隐患总数161个，其中已整改156个，整改率100%。</w:t>
      </w:r>
      <w:r>
        <w:rPr>
          <w:rFonts w:hint="eastAsia" w:ascii="仿宋" w:hAnsi="仿宋" w:eastAsia="仿宋" w:cs="仿宋"/>
          <w:b/>
          <w:bCs/>
          <w:kern w:val="0"/>
          <w:sz w:val="32"/>
          <w:szCs w:val="32"/>
          <w:lang w:val="en-US" w:eastAsia="zh-CN"/>
        </w:rPr>
        <w:t>二是</w:t>
      </w:r>
      <w:r>
        <w:rPr>
          <w:rFonts w:hint="eastAsia" w:ascii="仿宋" w:hAnsi="仿宋" w:eastAsia="仿宋" w:cs="仿宋"/>
          <w:kern w:val="0"/>
          <w:sz w:val="32"/>
          <w:szCs w:val="32"/>
          <w:lang w:val="en-US" w:eastAsia="zh-CN"/>
        </w:rPr>
        <w:t>扎实开展隐患排查工作,</w:t>
      </w:r>
      <w:r>
        <w:rPr>
          <w:rFonts w:hint="eastAsia" w:ascii="仿宋" w:hAnsi="仿宋" w:eastAsia="仿宋" w:cs="仿宋"/>
          <w:sz w:val="32"/>
          <w:szCs w:val="32"/>
        </w:rPr>
        <w:t>严格落实领导干部带班和24小时值班制度，处理辖区投诉举报</w:t>
      </w:r>
      <w:r>
        <w:rPr>
          <w:rFonts w:hint="eastAsia" w:ascii="仿宋" w:hAnsi="仿宋" w:eastAsia="仿宋" w:cs="仿宋"/>
          <w:sz w:val="32"/>
          <w:szCs w:val="32"/>
          <w:lang w:val="en-US" w:eastAsia="zh-CN"/>
        </w:rPr>
        <w:t>14</w:t>
      </w:r>
      <w:r>
        <w:rPr>
          <w:rFonts w:hint="eastAsia" w:ascii="仿宋" w:hAnsi="仿宋" w:eastAsia="仿宋" w:cs="仿宋"/>
          <w:sz w:val="32"/>
          <w:szCs w:val="32"/>
        </w:rPr>
        <w:t>次，下达消防监督整改单</w:t>
      </w:r>
      <w:r>
        <w:rPr>
          <w:rFonts w:hint="eastAsia" w:ascii="仿宋" w:hAnsi="仿宋" w:eastAsia="仿宋" w:cs="仿宋"/>
          <w:sz w:val="32"/>
          <w:szCs w:val="32"/>
          <w:lang w:val="en-US" w:eastAsia="zh-CN"/>
        </w:rPr>
        <w:t>10</w:t>
      </w:r>
      <w:r>
        <w:rPr>
          <w:rFonts w:hint="eastAsia" w:ascii="仿宋" w:hAnsi="仿宋" w:eastAsia="仿宋" w:cs="仿宋"/>
          <w:sz w:val="32"/>
          <w:szCs w:val="32"/>
        </w:rPr>
        <w:t>次</w:t>
      </w:r>
      <w:r>
        <w:rPr>
          <w:rFonts w:hint="eastAsia" w:ascii="仿宋" w:hAnsi="仿宋" w:eastAsia="仿宋" w:cs="仿宋"/>
          <w:sz w:val="32"/>
          <w:szCs w:val="32"/>
          <w:lang w:eastAsia="zh-CN"/>
        </w:rPr>
        <w:t>，</w:t>
      </w:r>
      <w:r>
        <w:rPr>
          <w:rFonts w:hint="eastAsia" w:ascii="仿宋" w:hAnsi="仿宋" w:eastAsia="仿宋" w:cs="仿宋"/>
          <w:kern w:val="0"/>
          <w:sz w:val="32"/>
          <w:szCs w:val="32"/>
          <w:lang w:val="en-US" w:eastAsia="zh-CN"/>
        </w:rPr>
        <w:t>截至到目前辖区内未发生一起重大安全生产事故；</w:t>
      </w:r>
      <w:r>
        <w:rPr>
          <w:rFonts w:hint="eastAsia" w:ascii="仿宋" w:hAnsi="仿宋" w:eastAsia="仿宋" w:cs="仿宋"/>
          <w:b/>
          <w:bCs/>
          <w:kern w:val="0"/>
          <w:sz w:val="32"/>
          <w:szCs w:val="32"/>
          <w:lang w:val="en-US" w:eastAsia="zh-CN"/>
        </w:rPr>
        <w:t>三是</w:t>
      </w:r>
      <w:r>
        <w:rPr>
          <w:rFonts w:hint="eastAsia" w:ascii="仿宋" w:hAnsi="仿宋" w:eastAsia="仿宋" w:cs="仿宋"/>
          <w:kern w:val="0"/>
          <w:sz w:val="32"/>
          <w:szCs w:val="32"/>
          <w:lang w:val="en-US" w:eastAsia="zh-CN"/>
        </w:rPr>
        <w:t>层层压实工作责任，与14个村(社区)均签订了安全生产责任、消防责任状。</w:t>
      </w:r>
      <w:r>
        <w:rPr>
          <w:rFonts w:hint="eastAsia" w:ascii="仿宋" w:hAnsi="仿宋" w:eastAsia="仿宋" w:cs="仿宋"/>
          <w:b w:val="0"/>
          <w:bCs w:val="0"/>
          <w:kern w:val="2"/>
          <w:sz w:val="32"/>
          <w:szCs w:val="32"/>
          <w:shd w:val="clear" w:color="auto" w:fill="auto"/>
          <w:lang w:val="en-US" w:eastAsia="zh-CN" w:bidi="ar-SA"/>
        </w:rPr>
        <w:t>经过街道各</w:t>
      </w:r>
      <w:r>
        <w:rPr>
          <w:rFonts w:hint="eastAsia" w:ascii="仿宋" w:hAnsi="仿宋" w:eastAsia="仿宋" w:cs="仿宋"/>
          <w:sz w:val="32"/>
          <w:szCs w:val="32"/>
          <w:lang w:val="en-US" w:eastAsia="zh-CN"/>
        </w:rPr>
        <w:t>部门各村居宣传工作共同努力，新枫街道办事处荣获江西省“安全宣传月”活动优秀单位、江西省消防先进单位、昌江区“一警六员”第一名次；</w:t>
      </w:r>
    </w:p>
    <w:p w14:paraId="3740481C">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3.信访法治化建设稳步推进。</w:t>
      </w:r>
      <w:r>
        <w:rPr>
          <w:rFonts w:hint="eastAsia" w:ascii="仿宋" w:hAnsi="仿宋" w:eastAsia="仿宋" w:cs="仿宋"/>
          <w:sz w:val="32"/>
          <w:szCs w:val="32"/>
          <w:lang w:val="en-US" w:eastAsia="zh-CN"/>
        </w:rPr>
        <w:t>新枫街道作为昌江区试点乡镇（街道）之一，积极主动扛起推进信访工作法治化主体责任，</w:t>
      </w:r>
      <w:r>
        <w:rPr>
          <w:rFonts w:hint="eastAsia" w:ascii="仿宋" w:hAnsi="仿宋" w:eastAsia="仿宋" w:cs="仿宋"/>
          <w:b w:val="0"/>
          <w:bCs w:val="0"/>
          <w:sz w:val="32"/>
          <w:szCs w:val="32"/>
          <w:lang w:val="en-US" w:eastAsia="zh-CN"/>
        </w:rPr>
        <w:t>印发了新枫街道全面推进信访工作法治化工作</w:t>
      </w:r>
      <w:r>
        <w:rPr>
          <w:rFonts w:hint="eastAsia" w:ascii="仿宋" w:hAnsi="仿宋" w:eastAsia="仿宋" w:cs="仿宋"/>
          <w:sz w:val="32"/>
          <w:szCs w:val="32"/>
          <w:lang w:val="en-US" w:eastAsia="zh-CN"/>
        </w:rPr>
        <w:t>方案，我们在平台功能化上出实招，我们以街道信访接待中心为基础，结合综治中心、司法所等相关职能部门，在街道党群服务中心一楼全力打造“访调诉”一站式服务平台。平台下设“便民服务区、来访登记区、矛盾化解区、诉前调解区”四大功能区，并配备专职人员负责日常工作，目前平台已经完工。</w:t>
      </w:r>
      <w:r>
        <w:rPr>
          <w:rFonts w:hint="eastAsia" w:ascii="仿宋" w:hAnsi="仿宋" w:eastAsia="仿宋" w:cs="仿宋"/>
          <w:b w:val="0"/>
          <w:bCs w:val="0"/>
          <w:sz w:val="32"/>
          <w:szCs w:val="32"/>
          <w:lang w:val="en-US" w:eastAsia="zh-CN"/>
        </w:rPr>
        <w:t>街道秉持先易后难循序渐进由点及面的原则，将信访工作基础较好的嘉和社区和青花社区作为推进信访工作法治化示范社区来打造。</w:t>
      </w:r>
    </w:p>
    <w:p w14:paraId="561E3D3C">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both"/>
        <w:textAlignment w:val="auto"/>
        <w:outlineLvl w:val="9"/>
        <w:rPr>
          <w:rFonts w:hint="eastAsia" w:ascii="仿宋" w:hAnsi="仿宋" w:eastAsia="仿宋" w:cs="仿宋"/>
          <w:spacing w:val="0"/>
          <w:kern w:val="2"/>
          <w:sz w:val="32"/>
          <w:szCs w:val="32"/>
          <w:lang w:val="en-US" w:eastAsia="zh-CN" w:bidi="ar-SA"/>
        </w:rPr>
      </w:pPr>
      <w:r>
        <w:rPr>
          <w:rFonts w:hint="eastAsia" w:ascii="仿宋" w:hAnsi="仿宋" w:eastAsia="仿宋" w:cs="仿宋"/>
          <w:b/>
          <w:bCs/>
          <w:sz w:val="32"/>
          <w:szCs w:val="32"/>
          <w:lang w:val="en-US" w:eastAsia="zh-CN"/>
        </w:rPr>
        <w:t>4.民生事业亮点纷呈。</w:t>
      </w:r>
      <w:r>
        <w:rPr>
          <w:rFonts w:hint="eastAsia" w:ascii="仿宋" w:hAnsi="仿宋" w:eastAsia="仿宋" w:cs="仿宋"/>
          <w:spacing w:val="0"/>
          <w:kern w:val="2"/>
          <w:sz w:val="32"/>
          <w:szCs w:val="32"/>
          <w:lang w:val="en-US" w:eastAsia="zh-CN" w:bidi="ar-SA"/>
        </w:rPr>
        <w:t>我们始终用心用力用情狠抓“一老一小”问题，今年</w:t>
      </w:r>
      <w:r>
        <w:rPr>
          <w:rFonts w:hint="eastAsia" w:ascii="仿宋" w:hAnsi="仿宋" w:eastAsia="仿宋" w:cs="仿宋"/>
          <w:kern w:val="0"/>
          <w:sz w:val="32"/>
          <w:szCs w:val="32"/>
          <w:lang w:val="en-US" w:eastAsia="zh-CN" w:bidi="ar"/>
        </w:rPr>
        <w:t>7月16日，新枫街道太阳船社区幸福食堂正式开门营业，该食堂是昌江区首个利用社区办公用房打造的社区幸福食堂，覆盖新枫路社区、汽车站社区、太阳船社区及周边“15分钟养老圈”的1500余名居家老人，进一步解决了他们“吃饭难”的实际问题，切实为老人提供一个健康、安全、便捷的就餐环境。</w:t>
      </w:r>
    </w:p>
    <w:p w14:paraId="784AE28E">
      <w:pPr>
        <w:pStyle w:val="4"/>
        <w:keepNext w:val="0"/>
        <w:keepLines w:val="0"/>
        <w:pageBreakBefore w:val="0"/>
        <w:kinsoku/>
        <w:wordWrap/>
        <w:overflowPunct/>
        <w:topLinePunct w:val="0"/>
        <w:autoSpaceDE/>
        <w:autoSpaceDN/>
        <w:bidi w:val="0"/>
        <w:adjustRightInd/>
        <w:snapToGrid/>
        <w:spacing w:line="600" w:lineRule="exact"/>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5.全力配合申遗相关工作。</w:t>
      </w:r>
      <w:r>
        <w:rPr>
          <w:rFonts w:hint="eastAsia" w:ascii="仿宋" w:hAnsi="仿宋" w:eastAsia="仿宋" w:cs="仿宋"/>
          <w:sz w:val="32"/>
          <w:szCs w:val="32"/>
          <w:lang w:val="en-US" w:eastAsia="zh-CN"/>
        </w:rPr>
        <w:t>三闾庙历史文化街区位于我们新枫街道三河村内，是我区唯一一个申遗点位，申遗工作责任重大，意义非凡。新枫街道作为属地，在前期不懈努力下，已经高效完成三闾庙清街一期、二期的棚改征收任务，总共涉及242户3.8万余平米，为了因应工作申遗工作的需要，我们及时成立了三闾庙申遗工作专班，坚持每周定期与古镇公司召开协调调度会，及时了解最新申遗要求，坚持问题导向，截止目前已协助解决了因项目施工导致的村民阻工、围墙开裂等5个问题。街道积极做好明街路面改造、低压线路入户、外立面改造提升等配套工程，目前已经开工，</w:t>
      </w:r>
      <w:r>
        <w:rPr>
          <w:rFonts w:hint="eastAsia" w:ascii="仿宋" w:hAnsi="仿宋" w:eastAsia="仿宋" w:cs="仿宋"/>
          <w:b w:val="0"/>
          <w:bCs w:val="0"/>
          <w:sz w:val="32"/>
          <w:szCs w:val="32"/>
        </w:rPr>
        <w:t>预计12月底至2025年一月初</w:t>
      </w:r>
      <w:r>
        <w:rPr>
          <w:rFonts w:hint="eastAsia" w:ascii="仿宋" w:hAnsi="仿宋" w:eastAsia="仿宋" w:cs="仿宋"/>
          <w:b w:val="0"/>
          <w:bCs w:val="0"/>
          <w:sz w:val="32"/>
          <w:szCs w:val="32"/>
          <w:lang w:eastAsia="zh-CN"/>
        </w:rPr>
        <w:t>完成</w:t>
      </w:r>
      <w:r>
        <w:rPr>
          <w:rFonts w:hint="eastAsia" w:ascii="仿宋" w:hAnsi="仿宋" w:eastAsia="仿宋" w:cs="仿宋"/>
          <w:sz w:val="32"/>
          <w:szCs w:val="32"/>
          <w:lang w:val="en-US" w:eastAsia="zh-CN"/>
        </w:rPr>
        <w:t>。</w:t>
      </w:r>
    </w:p>
    <w:p w14:paraId="033BF80F">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outlineLvl w:val="9"/>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四、下一步工作打算</w:t>
      </w:r>
    </w:p>
    <w:p w14:paraId="7148BC6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在2025年的工作中，我们将进一步深入学习贯彻习近平总书记考察江西系列重要讲话精神，紧紧围绕“工业强区，文明新城，开放融合，幸福共享，全面建设社会主义现代化新昌江”的目标要求，奋发作为，保持定力，不断推进新枫高质量发展。</w:t>
      </w:r>
    </w:p>
    <w:p w14:paraId="21BABB35">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一是持续推动街道经济高质量发展。以发展电子信息、先进陶瓷、数字经济、楼宇经济作为工作的重点，</w:t>
      </w:r>
      <w:r>
        <w:rPr>
          <w:rFonts w:hint="eastAsia" w:ascii="仿宋" w:hAnsi="仿宋" w:eastAsia="仿宋" w:cs="仿宋"/>
          <w:sz w:val="32"/>
          <w:szCs w:val="32"/>
          <w:rtl w:val="0"/>
          <w:lang w:val="en-US" w:eastAsia="zh-CN"/>
        </w:rPr>
        <w:t>积极开展招商引资活动，科学制定2025年街道党政主官外出招商计划；</w:t>
      </w:r>
      <w:r>
        <w:rPr>
          <w:rFonts w:hint="eastAsia" w:ascii="仿宋" w:hAnsi="仿宋" w:eastAsia="仿宋" w:cs="仿宋"/>
          <w:sz w:val="32"/>
          <w:szCs w:val="32"/>
          <w:lang w:val="en-US" w:eastAsia="zh-CN"/>
        </w:rPr>
        <w:t>二是做实做细信访工作法治化试点工作。继续完善“访诉调”一体化中心功能作用，同时做好后半篇文章，确保发挥中心实际职能作用；三是全面配合完成西河商贸中心建设工作。定期做好与区发展集团的沟通协调对接工作，确保项目建设如期启动，积极履行属地职责，定期调度项目建设，力争项目早日建成。四是继续做好申遗相关工作。我们将深入贯彻习近平总书记关于申遗和遗产保护工作的重要指示精神，认真贯彻落实市、区近期召开的申遗工作推进会上的各项决策部署，坚决扛起申遗工作中新枫的政治责任，认真全面履行属地职责，坚定不移配合好古镇公司推进申遗各项工作。</w:t>
      </w:r>
    </w:p>
    <w:p w14:paraId="757BB7A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 w:hAnsi="仿宋" w:eastAsia="仿宋" w:cs="仿宋"/>
          <w:sz w:val="32"/>
          <w:szCs w:val="32"/>
          <w:lang w:val="en-US" w:eastAsia="zh-CN"/>
        </w:rPr>
      </w:pPr>
    </w:p>
    <w:p w14:paraId="504D669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4MTc1YTQ4MTc4NzgxMjllZTcyYzIxMzY4ZmI5OTIifQ=="/>
  </w:docVars>
  <w:rsids>
    <w:rsidRoot w:val="7CFC7B2B"/>
    <w:rsid w:val="03A875EB"/>
    <w:rsid w:val="0B9F4D21"/>
    <w:rsid w:val="0D562B05"/>
    <w:rsid w:val="0E121122"/>
    <w:rsid w:val="14ED5841"/>
    <w:rsid w:val="186E518C"/>
    <w:rsid w:val="1C5D17BA"/>
    <w:rsid w:val="235651B5"/>
    <w:rsid w:val="336E3E55"/>
    <w:rsid w:val="3FB452E6"/>
    <w:rsid w:val="407F76A2"/>
    <w:rsid w:val="46845A12"/>
    <w:rsid w:val="49AE04B3"/>
    <w:rsid w:val="4E246D29"/>
    <w:rsid w:val="5065075D"/>
    <w:rsid w:val="51A60F32"/>
    <w:rsid w:val="6A0530FA"/>
    <w:rsid w:val="6B8E2D0B"/>
    <w:rsid w:val="6DB47F98"/>
    <w:rsid w:val="7058635C"/>
    <w:rsid w:val="757F74C3"/>
    <w:rsid w:val="79F503F9"/>
    <w:rsid w:val="7AFB35A4"/>
    <w:rsid w:val="7CFC7B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style>
  <w:style w:type="paragraph" w:styleId="3">
    <w:name w:val="Plain Text"/>
    <w:basedOn w:val="1"/>
    <w:autoRedefine/>
    <w:unhideWhenUsed/>
    <w:qFormat/>
    <w:uiPriority w:val="99"/>
    <w:pPr>
      <w:spacing w:line="600" w:lineRule="exact"/>
    </w:pPr>
    <w:rPr>
      <w:rFonts w:ascii="宋体" w:hAnsi="Courier New" w:cs="Courier New"/>
      <w:szCs w:val="21"/>
    </w:rPr>
  </w:style>
  <w:style w:type="paragraph" w:styleId="4">
    <w:name w:val="Body Text Indent 2"/>
    <w:basedOn w:val="1"/>
    <w:qFormat/>
    <w:uiPriority w:val="0"/>
    <w:pPr>
      <w:ind w:firstLine="640" w:firstLineChars="200"/>
    </w:pPr>
    <w:rPr>
      <w:rFonts w:ascii="仿宋_GB2312" w:eastAsia="仿宋_GB2312"/>
      <w:sz w:val="32"/>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3421</Words>
  <Characters>3556</Characters>
  <Lines>0</Lines>
  <Paragraphs>0</Paragraphs>
  <TotalTime>1</TotalTime>
  <ScaleCrop>false</ScaleCrop>
  <LinksUpToDate>false</LinksUpToDate>
  <CharactersWithSpaces>3565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2024-11-04T03:03:00Z</dcterms:created>
  <dc:creator>Administrator</dc:creator>
  <cp:lastModifiedBy>Administrator</cp:lastModifiedBy>
  <dcterms:modified xsi:type="dcterms:W3CDTF">2025-01-16T05:35:21Z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A19B6E8928864113913E442986B6DAF0_11</vt:lpwstr>
  </property>
  <property fmtid="{D5CDD505-2E9C-101B-9397-08002B2CF9AE}" pid="4" name="KSOTemplateDocerSaveRecord">
    <vt:lpwstr>eyJoZGlkIjoiMmZjNTFkYmZlZjRjYjljYWZkYjhhYWU3ZjVjZTY5NzQifQ==</vt:lpwstr>
  </property>
</Properties>
</file>