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440" w:firstLineChars="100"/>
        <w:jc w:val="center"/>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w:t>
      </w:r>
      <w:r>
        <w:rPr>
          <w:rFonts w:hint="eastAsia" w:ascii="黑体" w:hAnsi="黑体" w:eastAsia="黑体" w:cs="黑体"/>
          <w:b w:val="0"/>
          <w:bCs w:val="0"/>
          <w:color w:val="333333"/>
          <w:kern w:val="0"/>
          <w:sz w:val="44"/>
          <w:szCs w:val="44"/>
          <w:lang w:eastAsia="zh-CN"/>
        </w:rPr>
        <w:t>农业农村水利局2022</w:t>
      </w:r>
      <w:r>
        <w:rPr>
          <w:rFonts w:hint="eastAsia" w:ascii="黑体" w:hAnsi="黑体" w:eastAsia="黑体" w:cs="黑体"/>
          <w:b w:val="0"/>
          <w:bCs w:val="0"/>
          <w:color w:val="333333"/>
          <w:kern w:val="0"/>
          <w:sz w:val="44"/>
          <w:szCs w:val="44"/>
        </w:rPr>
        <w:t>年部门预算</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w:t>
      </w:r>
      <w:r>
        <w:rPr>
          <w:rFonts w:hint="eastAsia" w:ascii="仿宋_GB2312" w:hAnsi="仿宋_GB2312" w:eastAsia="仿宋_GB2312" w:cs="仿宋_GB2312"/>
          <w:b/>
          <w:bCs/>
          <w:sz w:val="32"/>
          <w:szCs w:val="32"/>
          <w:lang w:eastAsia="zh-CN"/>
        </w:rPr>
        <w:t>农业农村水利局</w:t>
      </w:r>
      <w:r>
        <w:rPr>
          <w:rFonts w:hint="eastAsia" w:ascii="仿宋_GB2312" w:hAnsi="仿宋_GB2312" w:eastAsia="仿宋_GB2312" w:cs="仿宋_GB2312"/>
          <w:b/>
          <w:bCs/>
          <w:sz w:val="32"/>
          <w:szCs w:val="32"/>
        </w:rPr>
        <w:t>概况</w:t>
      </w:r>
    </w:p>
    <w:p>
      <w:pPr>
        <w:widowControl/>
        <w:spacing w:line="600" w:lineRule="exact"/>
        <w:ind w:firstLine="1280" w:firstLineChars="400"/>
        <w:jc w:val="left"/>
        <w:rPr>
          <w:rFonts w:hint="eastAsia" w:ascii="楷体_GB2312" w:eastAsia="楷体_GB2312"/>
          <w:sz w:val="32"/>
          <w:szCs w:val="30"/>
        </w:rPr>
      </w:pPr>
      <w:r>
        <w:rPr>
          <w:rFonts w:hint="eastAsia" w:ascii="仿宋_GB2312" w:hAnsi="仿宋_GB2312" w:eastAsia="仿宋_GB2312" w:cs="仿宋_GB2312"/>
          <w:b w:val="0"/>
          <w:bCs w:val="0"/>
          <w:sz w:val="32"/>
          <w:szCs w:val="32"/>
        </w:rPr>
        <w:t xml:space="preserve">    </w:t>
      </w:r>
      <w:r>
        <w:rPr>
          <w:rFonts w:hint="eastAsia" w:ascii="楷体_GB2312" w:eastAsia="楷体_GB2312"/>
          <w:sz w:val="32"/>
          <w:szCs w:val="30"/>
        </w:rPr>
        <w:t>一、部门主要职责</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w:t>
      </w:r>
      <w:r>
        <w:rPr>
          <w:rFonts w:hint="eastAsia" w:ascii="仿宋_GB2312" w:hAnsi="仿宋_GB2312" w:eastAsia="仿宋_GB2312" w:cs="仿宋_GB2312"/>
          <w:b/>
          <w:bCs/>
          <w:sz w:val="32"/>
          <w:szCs w:val="32"/>
          <w:lang w:eastAsia="zh-CN"/>
        </w:rPr>
        <w:t>农业农村水利局2022</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2022</w:t>
      </w:r>
      <w:r>
        <w:rPr>
          <w:rFonts w:hint="eastAsia" w:ascii="楷体_GB2312" w:eastAsia="楷体_GB2312"/>
          <w:sz w:val="32"/>
          <w:szCs w:val="30"/>
        </w:rPr>
        <w:t>年部门预算收支情况说明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w:t>
      </w:r>
      <w:r>
        <w:rPr>
          <w:rFonts w:hint="eastAsia" w:ascii="楷体_GB2312" w:eastAsia="楷体_GB2312"/>
          <w:sz w:val="32"/>
          <w:szCs w:val="30"/>
          <w:lang w:eastAsia="zh-CN"/>
        </w:rPr>
        <w:t>2022</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w:t>
      </w:r>
      <w:r>
        <w:rPr>
          <w:rFonts w:hint="eastAsia" w:ascii="仿宋_GB2312" w:hAnsi="仿宋_GB2312" w:eastAsia="仿宋_GB2312" w:cs="仿宋_GB2312"/>
          <w:b/>
          <w:bCs/>
          <w:sz w:val="32"/>
          <w:szCs w:val="32"/>
          <w:lang w:eastAsia="zh-CN"/>
        </w:rPr>
        <w:t>农业农村水利局2022</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昌江区农业农村水利局概况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7"/>
        <w:numPr>
          <w:ilvl w:val="0"/>
          <w:numId w:val="1"/>
        </w:numPr>
        <w:ind w:firstLineChars="0"/>
        <w:rPr>
          <w:rFonts w:ascii="微软雅黑" w:hAnsi="微软雅黑" w:eastAsia="微软雅黑" w:cs="微软雅黑"/>
          <w:b w:val="0"/>
          <w:i w:val="0"/>
          <w:caps w:val="0"/>
          <w:color w:val="555555"/>
          <w:spacing w:val="0"/>
          <w:sz w:val="24"/>
          <w:szCs w:val="24"/>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一）统筹研究和组织实施全区“三农”和水利工作的发展战略、中长期规划、重大政策。组织起草农业农村和水利有关规范性文件，参与涉农相关政策制定。统筹协调和监督指导农业综合行政执法，负责监督指导、重大案件查处和跨区域执法的组织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（二）统筹推动发展全区农村社会事业、农村公共服务、农村文化、农村基础设施和乡村治理。牵头组织改善农村人居环境，组织实施新农村建设。指导农村精神文明和优秀农耕文化建设。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拟订深化全区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四）指导全区乡村特色产业、农产品加工业、休闲农业和乡镇企业发展工作，促进农村一二三产业融合发展。提出促进大宗农产品流通的建议，培育、保护农业品牌，组织农业产业化龙头企业监测和评定工作。发布全区农业农村经济信息，监测分析农业农村经济运行。承担全区农业统计和农业农村信息化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五）负责全区种植业、畜牧业、渔业、农垦、农业机械化等农业各产业的监督管理。指导粮食等农产品生产，组织协调“菜篮子”工作，引导产业结构调整和产品品质的改善。组织构建现代农业产业体系、生产体系、经营体系，指导农业标准化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六）负责全区农产品质量安全监督管理。组织开展农产品质量安全监测、追溯、风险评估。参与制定农产品质量安全标准并会同有关部门组织实施。组织农产品质量安全的重大事故调查处理和突发事件的应对工作。指导全区农业检验检测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七）组织全区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（八）负责全区有关农业生产资料和农业投入品的监督组织全区农业生产资料市场体系建设，执行有关农业生产资料标准并监督实施。组织兽医医政、兽药药政药检工作，负责执业兽医和畜禽屠宰行业管理。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九）负责全区农业防灾减灾、农作物重大病虫害防治工作。监测、报告、发布农业灾情，组织农业救灾物资储备和调拨，提出生产救灾资金安排建议，指导紧急救灾和灾后生产恢复。指导全区动植物防疫检疫体系建设，组织、监督辖区内动植物防疫检疫工作，发布疫情并组织扑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负责农业投资管理。提出农业投融资体制机制改革建议。编制区级投资安排的农业投资项目建设规划，提出农业投资规模和方向、扶持农业农村发展财政项目的建议，按权限审批农业投资项目，负责农业投资项目资金安排和监督管理。组织国家农业综合项目的审查、论证、实施、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一）推动全区农业科技体制改革和农业科技创新体系建设。指导全区农业产业技术体系和农技推广体系建设，组织开展农业领域的高新技术和应用技术研究、科技成果转化和技术推广，负责全区农业转基因生物安全监督管理和农业植物新品种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二）负责农业领域生态环境保护和节能减排工作。牵头负责农业污染源减量和废弃物资源化利用。牵头统筹协调推进农村人居环境整治。指导农业清洁生产。指导全区农产品产地环境管理，牵头管理全区外出物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（十三）统筹推进全区农业农村人才、乡土人才工作。拟订全区农业农村人才队伍建设规划并组织实施，指导农业教育和农业职业技能开发，指导新型职业农民培育、农业科技人才培养和农村实用人才培训工作。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（十四）监督指导全区农业行业安全生产工作。负责农业机械、渔政渔港和农药实用等安全监督管理工作。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五）牵头开展全区农业对外合作工作。指导全区系统开展开放型农业及农业招商引资工作。承办政府间农业涉外事务，组织开展农业贸易促进和有关国际国内交流合作，具体执行有关农业授外项目，组织有关国际公约昌江区履约和协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（十六）负责保障水资源的合理开发利用。制定水利工程有关制度并组织实施；组织编制全区水资源发展规划、确定的重要江河湖泊流域综合规划等水利规划。切实加强水资源合理利用、优化配置和节约保护。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七）负责生活、生产经营、生态环境用水的统筹兼顾和保障。实施最严格水资源管理制度，实施水资源的统一监督管理，拟定全区水中长期供求规划、水量分配方案和调度计划并监督实施。负责主要河流、区域以及调水工程的水资源调度。组织实施取水许可、水资源有偿使用、水资源论证和防洪论证制度，指导开展水资源有偿使用工作。指导水利行业供水和乡镇供水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八）按规定制定水利工程建设有关制度并组织实施，负责提出全区水利固定资产投资规模、方向、具体安排建议并组织指导实施，按区政府规定权限审批、核准全区规划内和年度计划规模内固定资产投资项目，提出全区水利资金安排并负责项目实施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（十九）指导水资源保护工作。组织编制水资源保护规划，组织编制并实施水资源保护规划。指导饮用水水源保护有关工作，指导地下水超采区综合治理。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（二十）负责节约用水工作。拟定节约用水政策，组织编制节约用水规划并监督实施，组织制定有关标准。组织实施用水总量控制等管理制度，指导和推动节水型社会建设工作。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一）指导水利设施、水域及其岸线的管理、保护与综合利用。组织指导水利基础设施网络建设。指导江河湖泊及河口的治理、开发和保护。指导河湖水生态保护与修复、河湖生态流量水量管理以及河湖水系连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二）指导监督水利工程建设与运行管理。组织实施具有控制性的和跨区域跨流域的重要水利工程建设与运行管理。组织提出并协调全区水利工程运行和后续工程建设的有关政策措施，指导监督工程安全运行，组织工程验收有关工作，督促指导辖区内配套工程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三）负责水土保持工作。拟定水土保持规划并监督实施，组织实施水土流失的综合防治、检测预报并定期公告。负责权限内开发建设项目水土保持方案的审批及建设项目水土保持监督管理工作；指导全区重点水土保持建设项目的实施，负责水土保持设施自主验收的核查工作。负责生态哦清洁型小流域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（二十四）指导农村水利工作。组织开展灌排工程建设与改造。指导农村饮水安全工程建设管理工作，指导节水灌溉有关工作。指导农村水利改革创新和社会化服务体系建设。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五）负责重大涉水违法事件的查处。协调、仲裁跨乡镇水事纠纷，指导水政监察和水行政执法。依法负责水利行业安全生产工作，组织、指导水库大坝的安全监督管理。指导水利建设市场的监督管理。组织实施水利工程建设的监督。组织开展水利行业质量监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六）开展水利科技和对外合作工作。组织开展水利行业质量监督工作。组织重要水利科学研究和技术推广。组织实施并监督水利行业技术标准、规程规范。负责水利行业对外经济、技术合作与交流。承担水利统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七）负责落实综合防灾减灾规划相关要求，组织编制洪水干旱防治规划和防护标准、重要江河湖泊和重要水工程的防御洪水抗御旱灾调度以及应急水量调度方案，按程序报批并组织实施；承担防御洪水应急抢险的技术支撑工作；承担台风防御期间重要水工程调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（二十八）负责河湖长制日常工作，组织开展河湖长制工作的全面推行、督察、督办。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（二十九）完成区委、区政府交办的其他任务。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（三十）职能转变。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1.统筹实施全区乡村振兴战略，深化农业供给侧结构性改革，提升农业发展质量，扎实推进美丽乡村建设，建立区、乡镇、村推进乡村振兴战略考核机制，推动昌江区农业全面升级、农村全面进步、农民全面发展，加快实现农业农村现代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2.加强全区农产品质量安全和相关农业生产资料、农业投入品的监督管理，坚持最严谨的标准、最严格的监管、最严厉的处罚、最严肃的问责，严防、严管、严控质量安全风险，让人民群众吃得放心、安心。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3.深入推进简政放权，加强对全区行业交叉重复以及性质相同、用途相近的农业投资项目的统筹整合，最大限度缩小项目审批范围，进一步下放审批权，加强事中事后监管，切实提升国家支农政策效果和资金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4.切实加强水资源合理利用、优化配置和节约保护。坚持节水优先，从增加供给转向更加重视需求管理，严格控制用水总量和提高用水效率。坚持保护优先，加强水资源、水域和水利工程的管理保护，维护江河湖泊健康美丽。坚持统筹兼顾，保障合理用水需求和水资源的可持续利用，为经济社会发展提供供水安全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（三十一）与区市场监督管理局有关职责分工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1.区农业农村水利局负责食用农产品从种植养殖环节到进入批发、零售市场或生产加工企业前的质量安全监督管理。食用农产品进入批发、零售市场或生产加工企业后，由区市场监督管理局监督管理。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2.区农业农村水利局负责动植物疫病防控、畜禽屠宰环节、生鲜乳收购环节质量安全的监督管理。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3.两部门要建立食品安全产地准出、市场准入和追溯机制，加强协调配合和工作衔接，形成监管合力。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二）与区自然资源和规划部门的有关职责分工。区农业农村水利局按规定组织开展水资源、水能资源调查评价，指导开展水资源有偿使用工作，负责水资源监测工作。区自然资源和规划部门负责组织开展全区水资源调查、统一确权登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三）与区生态环境部门的有关职责分工。区农业农村水利局按规定指导饮用水水源保护、地下水资源管理保护有关工作，指导河湖水生态保护与修复工作，参与编制水功能区划和指导入河排污口设置管理工作。区生态环境部门负责编制水功能区划、排污口设置管理工作，牵头组织饮用水水源地生态环境保护工作，监督河湖水生态环境保护与修复工作，负责农业面源污染防治和农村生活污水治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四）与区应急管理局的有关职责分工。区农业农村水利局负责落实综合防灾减灾规划相关要求，组织编制洪水干旱防治规划和防护标准并指导实施；承担水情旱情检查预警工作；组织编制和实施重要江河湖泊和重要水工程的防御洪水抗御旱灾调度和应急水量调度方案，按程序报批；承担防御洪水应急抢险的技术支撑工作；承担台风防御期间重要水工程调度工作。必要时，区农业农村水利局可以提请区应急管理局，以区应急指挥机构名义部署相关防治工作。区应急管理局承担区防汛抗旱指挥部的职责，组织编制综合防灾减灾规划，指导协调相关部门水旱灾害防治工作，同相关部门建立统一的应急管理信息平台，建立监测预警和灾情报告制度，健全自然灾害信息资源获取和共享机制，依法统一发布灾情。</w:t>
      </w:r>
    </w:p>
    <w:p>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ind w:firstLine="640" w:firstLineChars="200"/>
        <w:rPr>
          <w:rFonts w:hint="default" w:ascii="仿宋" w:hAnsi="仿宋" w:eastAsia="仿宋" w:cs="宋体"/>
          <w:b w:val="0"/>
          <w:bCs w:val="0"/>
          <w:color w:val="333333"/>
          <w:kern w:val="0"/>
          <w:sz w:val="32"/>
          <w:szCs w:val="32"/>
          <w:lang w:val="en-US" w:eastAsia="zh-CN"/>
        </w:rPr>
      </w:pPr>
      <w:r>
        <w:rPr>
          <w:rFonts w:hint="eastAsia" w:ascii="仿宋_GB2312" w:hAnsi="仿宋_GB2312" w:eastAsia="仿宋_GB2312" w:cs="仿宋_GB2312"/>
          <w:b w:val="0"/>
          <w:bCs w:val="0"/>
          <w:sz w:val="32"/>
          <w:szCs w:val="32"/>
        </w:rPr>
        <w:t>纳入本套部门预算汇编范围的单位共 3个。包括：</w:t>
      </w:r>
      <w:r>
        <w:rPr>
          <w:rFonts w:hint="eastAsia" w:ascii="仿宋_GB2312" w:hAnsi="仿宋_GB2312" w:eastAsia="仿宋_GB2312" w:cs="仿宋_GB2312"/>
          <w:b w:val="0"/>
          <w:bCs w:val="0"/>
          <w:sz w:val="32"/>
          <w:szCs w:val="32"/>
          <w:lang w:eastAsia="zh-CN"/>
        </w:rPr>
        <w:t>农业农村水利局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水政监察大队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山田水库</w:t>
      </w:r>
      <w:r>
        <w:rPr>
          <w:rFonts w:hint="eastAsia" w:ascii="仿宋_GB2312" w:hAnsi="仿宋_GB2312" w:eastAsia="仿宋_GB2312" w:cs="仿宋_GB2312"/>
          <w:b w:val="0"/>
          <w:bCs w:val="0"/>
          <w:sz w:val="32"/>
          <w:szCs w:val="32"/>
        </w:rPr>
        <w:t>。</w:t>
      </w:r>
      <w:r>
        <w:rPr>
          <w:rFonts w:hint="eastAsia" w:ascii="仿宋" w:hAnsi="仿宋" w:eastAsia="仿宋" w:cs="宋体"/>
          <w:b w:val="0"/>
          <w:bCs w:val="0"/>
          <w:color w:val="333333"/>
          <w:kern w:val="0"/>
          <w:sz w:val="32"/>
          <w:szCs w:val="32"/>
        </w:rPr>
        <w:t>编制人数</w:t>
      </w:r>
      <w:r>
        <w:rPr>
          <w:rFonts w:hint="eastAsia" w:ascii="仿宋" w:hAnsi="仿宋" w:eastAsia="仿宋" w:cs="宋体"/>
          <w:b w:val="0"/>
          <w:bCs w:val="0"/>
          <w:color w:val="333333"/>
          <w:kern w:val="0"/>
          <w:sz w:val="32"/>
          <w:szCs w:val="32"/>
          <w:lang w:val="en-US" w:eastAsia="zh-CN"/>
        </w:rPr>
        <w:t>38</w:t>
      </w:r>
      <w:r>
        <w:rPr>
          <w:rFonts w:hint="eastAsia" w:ascii="仿宋" w:hAnsi="仿宋" w:eastAsia="仿宋" w:cs="宋体"/>
          <w:b w:val="0"/>
          <w:bCs w:val="0"/>
          <w:color w:val="333333"/>
          <w:kern w:val="0"/>
          <w:sz w:val="32"/>
          <w:szCs w:val="32"/>
        </w:rPr>
        <w:t>人，其中：行政编制</w:t>
      </w:r>
      <w:r>
        <w:rPr>
          <w:rFonts w:hint="eastAsia" w:ascii="仿宋" w:hAnsi="仿宋" w:eastAsia="仿宋" w:cs="宋体"/>
          <w:b w:val="0"/>
          <w:bCs w:val="0"/>
          <w:color w:val="333333"/>
          <w:kern w:val="0"/>
          <w:sz w:val="32"/>
          <w:szCs w:val="32"/>
          <w:lang w:val="en-US" w:eastAsia="zh-CN"/>
        </w:rPr>
        <w:t>11</w:t>
      </w:r>
      <w:r>
        <w:rPr>
          <w:rFonts w:hint="eastAsia" w:ascii="仿宋" w:hAnsi="仿宋" w:eastAsia="仿宋" w:cs="宋体"/>
          <w:b w:val="0"/>
          <w:bCs w:val="0"/>
          <w:color w:val="333333"/>
          <w:kern w:val="0"/>
          <w:sz w:val="32"/>
          <w:szCs w:val="32"/>
        </w:rPr>
        <w:t>人，全部补助事业编制</w:t>
      </w:r>
      <w:r>
        <w:rPr>
          <w:rFonts w:hint="eastAsia" w:ascii="仿宋" w:hAnsi="仿宋" w:eastAsia="仿宋" w:cs="宋体"/>
          <w:b w:val="0"/>
          <w:bCs w:val="0"/>
          <w:color w:val="333333"/>
          <w:kern w:val="0"/>
          <w:sz w:val="32"/>
          <w:szCs w:val="32"/>
          <w:lang w:val="en-US" w:eastAsia="zh-CN"/>
        </w:rPr>
        <w:t>27</w:t>
      </w:r>
      <w:r>
        <w:rPr>
          <w:rFonts w:hint="eastAsia" w:ascii="仿宋" w:hAnsi="仿宋" w:eastAsia="仿宋" w:cs="宋体"/>
          <w:b w:val="0"/>
          <w:bCs w:val="0"/>
          <w:color w:val="333333"/>
          <w:kern w:val="0"/>
          <w:sz w:val="32"/>
          <w:szCs w:val="32"/>
        </w:rPr>
        <w:t>人；实有人数</w:t>
      </w:r>
      <w:r>
        <w:rPr>
          <w:rFonts w:hint="eastAsia" w:ascii="仿宋" w:hAnsi="仿宋" w:eastAsia="仿宋" w:cs="宋体"/>
          <w:b w:val="0"/>
          <w:bCs w:val="0"/>
          <w:color w:val="333333"/>
          <w:kern w:val="0"/>
          <w:sz w:val="32"/>
          <w:szCs w:val="32"/>
          <w:lang w:val="en-US" w:eastAsia="zh-CN"/>
        </w:rPr>
        <w:t>38</w:t>
      </w:r>
      <w:r>
        <w:rPr>
          <w:rFonts w:hint="eastAsia" w:ascii="仿宋" w:hAnsi="仿宋" w:eastAsia="仿宋" w:cs="宋体"/>
          <w:b w:val="0"/>
          <w:bCs w:val="0"/>
          <w:color w:val="333333"/>
          <w:kern w:val="0"/>
          <w:sz w:val="32"/>
          <w:szCs w:val="32"/>
        </w:rPr>
        <w:t>人，其中：在职人数</w:t>
      </w:r>
      <w:r>
        <w:rPr>
          <w:rFonts w:hint="eastAsia" w:ascii="仿宋" w:hAnsi="仿宋" w:eastAsia="仿宋" w:cs="宋体"/>
          <w:b w:val="0"/>
          <w:bCs w:val="0"/>
          <w:color w:val="333333"/>
          <w:kern w:val="0"/>
          <w:sz w:val="32"/>
          <w:szCs w:val="32"/>
          <w:lang w:val="en-US" w:eastAsia="zh-CN"/>
        </w:rPr>
        <w:t>38</w:t>
      </w:r>
      <w:r>
        <w:rPr>
          <w:rFonts w:hint="eastAsia" w:ascii="仿宋" w:hAnsi="仿宋" w:eastAsia="仿宋" w:cs="宋体"/>
          <w:b w:val="0"/>
          <w:bCs w:val="0"/>
          <w:color w:val="333333"/>
          <w:kern w:val="0"/>
          <w:sz w:val="32"/>
          <w:szCs w:val="32"/>
        </w:rPr>
        <w:t>人</w:t>
      </w:r>
      <w:r>
        <w:rPr>
          <w:rFonts w:hint="eastAsia" w:ascii="仿宋" w:hAnsi="仿宋" w:eastAsia="仿宋" w:cs="宋体"/>
          <w:b w:val="0"/>
          <w:bCs w:val="0"/>
          <w:color w:val="333333"/>
          <w:kern w:val="0"/>
          <w:sz w:val="32"/>
          <w:szCs w:val="32"/>
          <w:lang w:eastAsia="zh-CN"/>
        </w:rPr>
        <w:t>，退休人员</w:t>
      </w:r>
      <w:r>
        <w:rPr>
          <w:rFonts w:hint="eastAsia" w:ascii="仿宋" w:hAnsi="仿宋" w:eastAsia="仿宋" w:cs="宋体"/>
          <w:b w:val="0"/>
          <w:bCs w:val="0"/>
          <w:color w:val="333333"/>
          <w:kern w:val="0"/>
          <w:sz w:val="32"/>
          <w:szCs w:val="32"/>
          <w:lang w:val="en-US" w:eastAsia="zh-CN"/>
        </w:rPr>
        <w:t>18人。</w:t>
      </w: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2022</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2022</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587.06</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587.06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，同比增加</w:t>
      </w:r>
      <w:r>
        <w:rPr>
          <w:rFonts w:hint="eastAsia" w:ascii="仿宋_GB2312" w:hAnsi="仿宋_GB2312" w:eastAsia="仿宋_GB2312" w:cs="仿宋_GB2312"/>
          <w:b w:val="0"/>
          <w:bCs w:val="0"/>
          <w:color w:val="333333"/>
          <w:kern w:val="0"/>
          <w:sz w:val="32"/>
          <w:szCs w:val="32"/>
          <w:lang w:val="en-US" w:eastAsia="zh-CN"/>
        </w:rPr>
        <w:t>9.05%，</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人员工资增加</w:t>
      </w:r>
      <w:r>
        <w:rPr>
          <w:rFonts w:hint="eastAsia" w:ascii="仿宋_GB2312" w:hAnsi="仿宋_GB2312" w:eastAsia="仿宋_GB2312" w:cs="仿宋_GB2312"/>
          <w:b w:val="0"/>
          <w:bCs w:val="0"/>
          <w:color w:val="333333"/>
          <w:kern w:val="0"/>
          <w:sz w:val="32"/>
          <w:szCs w:val="32"/>
          <w:lang w:val="en-US" w:eastAsia="zh-CN"/>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农业农村水利局支出</w:t>
      </w:r>
      <w:r>
        <w:rPr>
          <w:rFonts w:hint="eastAsia" w:ascii="仿宋_GB2312" w:hAnsi="仿宋_GB2312" w:eastAsia="仿宋_GB2312" w:cs="仿宋_GB2312"/>
          <w:b w:val="0"/>
          <w:bCs w:val="0"/>
          <w:color w:val="333333"/>
          <w:kern w:val="0"/>
          <w:sz w:val="32"/>
          <w:szCs w:val="32"/>
        </w:rPr>
        <w:t>预算总额为</w:t>
      </w:r>
      <w:r>
        <w:rPr>
          <w:rFonts w:hint="eastAsia" w:ascii="仿宋_GB2312" w:hAnsi="仿宋_GB2312" w:eastAsia="仿宋_GB2312" w:cs="仿宋_GB2312"/>
          <w:b w:val="0"/>
          <w:bCs w:val="0"/>
          <w:color w:val="333333"/>
          <w:kern w:val="0"/>
          <w:sz w:val="32"/>
          <w:szCs w:val="32"/>
          <w:lang w:val="en-US" w:eastAsia="zh-CN"/>
        </w:rPr>
        <w:t>587.06</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587.06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，同比增加</w:t>
      </w:r>
      <w:r>
        <w:rPr>
          <w:rFonts w:hint="eastAsia" w:ascii="仿宋_GB2312" w:hAnsi="仿宋_GB2312" w:eastAsia="仿宋_GB2312" w:cs="仿宋_GB2312"/>
          <w:b w:val="0"/>
          <w:bCs w:val="0"/>
          <w:color w:val="333333"/>
          <w:kern w:val="0"/>
          <w:sz w:val="32"/>
          <w:szCs w:val="32"/>
          <w:lang w:val="en-US" w:eastAsia="zh-CN"/>
        </w:rPr>
        <w:t>9.05%，</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人员工资增加</w:t>
      </w:r>
      <w:r>
        <w:rPr>
          <w:rFonts w:hint="eastAsia" w:ascii="仿宋_GB2312" w:hAnsi="仿宋_GB2312" w:eastAsia="仿宋_GB2312" w:cs="仿宋_GB2312"/>
          <w:b w:val="0"/>
          <w:bCs w:val="0"/>
          <w:color w:val="333333"/>
          <w:kern w:val="0"/>
          <w:sz w:val="32"/>
          <w:szCs w:val="32"/>
          <w:lang w:val="en-US" w:eastAsia="zh-CN"/>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352.90</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291.31</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52.15</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9.44万元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234.16</w:t>
      </w:r>
      <w:r>
        <w:rPr>
          <w:rFonts w:hint="eastAsia" w:ascii="仿宋_GB2312" w:hAnsi="仿宋_GB2312" w:eastAsia="仿宋_GB2312" w:cs="仿宋_GB2312"/>
          <w:b w:val="0"/>
          <w:bCs w:val="0"/>
          <w:color w:val="333333"/>
          <w:kern w:val="0"/>
          <w:sz w:val="32"/>
          <w:szCs w:val="32"/>
        </w:rPr>
        <w:t>万元。主要原因是</w:t>
      </w:r>
      <w:r>
        <w:rPr>
          <w:rFonts w:hint="eastAsia" w:ascii="仿宋_GB2312" w:hAnsi="仿宋_GB2312" w:eastAsia="仿宋_GB2312" w:cs="仿宋_GB2312"/>
          <w:b w:val="0"/>
          <w:bCs w:val="0"/>
          <w:color w:val="333333"/>
          <w:kern w:val="0"/>
          <w:sz w:val="32"/>
          <w:szCs w:val="32"/>
          <w:lang w:eastAsia="zh-CN"/>
        </w:rPr>
        <w:t>人员工资增加及</w:t>
      </w:r>
      <w:r>
        <w:rPr>
          <w:rFonts w:hint="eastAsia" w:ascii="仿宋_GB2312" w:hAnsi="仿宋_GB2312" w:eastAsia="仿宋_GB2312" w:cs="仿宋_GB2312"/>
          <w:b w:val="0"/>
          <w:bCs w:val="0"/>
          <w:color w:val="333333"/>
          <w:kern w:val="0"/>
          <w:sz w:val="32"/>
          <w:szCs w:val="32"/>
          <w:lang w:val="en-US" w:eastAsia="zh-CN"/>
        </w:rPr>
        <w:t>实行零基预算。</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w:t>
      </w:r>
      <w:r>
        <w:rPr>
          <w:rFonts w:hint="eastAsia" w:ascii="仿宋_GB2312" w:hAnsi="仿宋_GB2312" w:eastAsia="仿宋_GB2312" w:cs="仿宋_GB2312"/>
          <w:b w:val="0"/>
          <w:bCs w:val="0"/>
          <w:color w:val="333333"/>
          <w:kern w:val="0"/>
          <w:sz w:val="32"/>
          <w:szCs w:val="32"/>
        </w:rPr>
        <w:t>财政拨款支出预算数</w:t>
      </w:r>
      <w:r>
        <w:rPr>
          <w:rFonts w:hint="eastAsia" w:ascii="仿宋_GB2312" w:hAnsi="仿宋_GB2312" w:eastAsia="仿宋_GB2312" w:cs="仿宋_GB2312"/>
          <w:b w:val="0"/>
          <w:bCs w:val="0"/>
          <w:color w:val="333333"/>
          <w:kern w:val="0"/>
          <w:sz w:val="32"/>
          <w:szCs w:val="32"/>
          <w:lang w:val="en-US" w:eastAsia="zh-CN"/>
        </w:rPr>
        <w:t>587.06</w:t>
      </w:r>
      <w:r>
        <w:rPr>
          <w:rFonts w:hint="eastAsia" w:ascii="仿宋_GB2312" w:hAnsi="仿宋_GB2312" w:eastAsia="仿宋_GB2312" w:cs="仿宋_GB2312"/>
          <w:b w:val="0"/>
          <w:bCs w:val="0"/>
          <w:color w:val="333333"/>
          <w:kern w:val="0"/>
          <w:sz w:val="32"/>
          <w:szCs w:val="32"/>
        </w:rPr>
        <w:t>万元。具体支出情况是：区</w:t>
      </w:r>
      <w:r>
        <w:rPr>
          <w:rFonts w:hint="eastAsia" w:ascii="仿宋_GB2312" w:hAnsi="仿宋_GB2312" w:eastAsia="仿宋_GB2312" w:cs="仿宋_GB2312"/>
          <w:b w:val="0"/>
          <w:bCs w:val="0"/>
          <w:color w:val="333333"/>
          <w:kern w:val="0"/>
          <w:sz w:val="32"/>
          <w:szCs w:val="32"/>
          <w:lang w:eastAsia="zh-CN"/>
        </w:rPr>
        <w:t>农林水</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val="en-US" w:eastAsia="zh-CN"/>
        </w:rPr>
        <w:t>471.16</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43.41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38.72万元，卫生健康支出33.77万元。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bookmarkStart w:id="0" w:name="_GoBack"/>
      <w:bookmarkEnd w:id="0"/>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52.54</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52.54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7.40万元、印刷费4.50万元、邮电费2.60万元，差旅费4.30万元，维修（护）费2.00万元，会议费1.00万元、培训费1.5万元、公务接待费12.19万元、公务用车运行维护费2.59万元，其他交通费8.92万元、其他商品服务支出费5.55万元。</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3.8</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3.7</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家具用具</w:t>
      </w:r>
      <w:r>
        <w:rPr>
          <w:rFonts w:hint="eastAsia" w:ascii="仿宋_GB2312" w:hAnsi="仿宋_GB2312" w:eastAsia="仿宋_GB2312" w:cs="仿宋_GB2312"/>
          <w:b w:val="0"/>
          <w:bCs w:val="0"/>
          <w:color w:val="333333"/>
          <w:kern w:val="0"/>
          <w:sz w:val="32"/>
          <w:szCs w:val="32"/>
          <w:lang w:val="en-US" w:eastAsia="zh-CN"/>
        </w:rPr>
        <w:t>0.1</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2022</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w:t>
      </w:r>
      <w:r>
        <w:rPr>
          <w:rFonts w:hint="eastAsia" w:ascii="仿宋_GB2312" w:hAnsi="仿宋_GB2312" w:eastAsia="仿宋_GB2312" w:cs="仿宋_GB2312"/>
          <w:b w:val="0"/>
          <w:bCs w:val="0"/>
          <w:color w:val="333333"/>
          <w:kern w:val="0"/>
          <w:sz w:val="32"/>
          <w:szCs w:val="32"/>
        </w:rPr>
        <w:t xml:space="preserve"> “三公”经费年初预算安排</w:t>
      </w:r>
      <w:r>
        <w:rPr>
          <w:rFonts w:hint="eastAsia" w:ascii="仿宋_GB2312" w:hAnsi="仿宋_GB2312" w:eastAsia="仿宋_GB2312" w:cs="仿宋_GB2312"/>
          <w:b w:val="0"/>
          <w:bCs w:val="0"/>
          <w:color w:val="333333"/>
          <w:kern w:val="0"/>
          <w:sz w:val="32"/>
          <w:szCs w:val="32"/>
          <w:lang w:val="en-US" w:eastAsia="zh-CN"/>
        </w:rPr>
        <w:t>8.8</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4.4</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4.4</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w:t>
      </w:r>
      <w:r>
        <w:rPr>
          <w:rFonts w:hint="eastAsia" w:ascii="仿宋_GB2312" w:hAnsi="仿宋_GB2312" w:eastAsia="仿宋_GB2312" w:cs="仿宋_GB2312"/>
          <w:b/>
          <w:bCs/>
          <w:color w:val="333333"/>
          <w:kern w:val="0"/>
          <w:sz w:val="32"/>
          <w:szCs w:val="32"/>
          <w:lang w:eastAsia="zh-CN"/>
        </w:rPr>
        <w:t>农业农村水利局2022</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十</w:t>
      </w:r>
      <w:r>
        <w:rPr>
          <w:rFonts w:hint="eastAsia" w:ascii="仿宋_GB2312" w:hAnsi="仿宋_GB2312" w:eastAsia="仿宋_GB2312" w:cs="仿宋_GB2312"/>
          <w:b w:val="0"/>
          <w:bCs w:val="0"/>
          <w:color w:val="333333"/>
          <w:kern w:val="0"/>
          <w:sz w:val="32"/>
          <w:szCs w:val="32"/>
        </w:rPr>
        <w:t>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农林水</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昌江区农业农村水利局</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农林水</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昌江区农业农村水利局未单独设置项级科目的其他项目支出。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3MDI0Y2IzM2QxZTU0ZTNiMTIwNzBkZGZmNTVlYjQifQ=="/>
  </w:docVars>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7744A41"/>
    <w:rsid w:val="0920213A"/>
    <w:rsid w:val="0BCA397C"/>
    <w:rsid w:val="0F6065E6"/>
    <w:rsid w:val="15233C15"/>
    <w:rsid w:val="169B4F3B"/>
    <w:rsid w:val="1C2618CE"/>
    <w:rsid w:val="1D167A0B"/>
    <w:rsid w:val="1ED822F6"/>
    <w:rsid w:val="20B80505"/>
    <w:rsid w:val="25461A5F"/>
    <w:rsid w:val="29C1612C"/>
    <w:rsid w:val="2D113D3C"/>
    <w:rsid w:val="33260D4E"/>
    <w:rsid w:val="34051E66"/>
    <w:rsid w:val="35011CBA"/>
    <w:rsid w:val="35856DA1"/>
    <w:rsid w:val="393549EB"/>
    <w:rsid w:val="3E2A5748"/>
    <w:rsid w:val="42176945"/>
    <w:rsid w:val="47DA7A11"/>
    <w:rsid w:val="4B4465D2"/>
    <w:rsid w:val="4DF673D7"/>
    <w:rsid w:val="4EE1660A"/>
    <w:rsid w:val="52A64031"/>
    <w:rsid w:val="53E8275F"/>
    <w:rsid w:val="54D31CBD"/>
    <w:rsid w:val="57701BA5"/>
    <w:rsid w:val="5D061CB2"/>
    <w:rsid w:val="5E693A0A"/>
    <w:rsid w:val="682C1BD1"/>
    <w:rsid w:val="6A20273A"/>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333333"/>
      <w:u w:val="none"/>
    </w:rPr>
  </w:style>
  <w:style w:type="character" w:styleId="9">
    <w:name w:val="Emphasis"/>
    <w:basedOn w:val="6"/>
    <w:qFormat/>
    <w:uiPriority w:val="20"/>
    <w:rPr>
      <w:i/>
    </w:rPr>
  </w:style>
  <w:style w:type="character" w:styleId="10">
    <w:name w:val="HTML Definition"/>
    <w:basedOn w:val="6"/>
    <w:unhideWhenUsed/>
    <w:qFormat/>
    <w:uiPriority w:val="99"/>
    <w:rPr>
      <w:i/>
    </w:rPr>
  </w:style>
  <w:style w:type="character" w:styleId="11">
    <w:name w:val="HTML Acronym"/>
    <w:basedOn w:val="6"/>
    <w:unhideWhenUsed/>
    <w:qFormat/>
    <w:uiPriority w:val="99"/>
  </w:style>
  <w:style w:type="character" w:styleId="12">
    <w:name w:val="HTML Variable"/>
    <w:basedOn w:val="6"/>
    <w:unhideWhenUsed/>
    <w:qFormat/>
    <w:uiPriority w:val="99"/>
    <w:rPr>
      <w:i/>
    </w:rPr>
  </w:style>
  <w:style w:type="character" w:styleId="13">
    <w:name w:val="Hyperlink"/>
    <w:basedOn w:val="6"/>
    <w:unhideWhenUsed/>
    <w:qFormat/>
    <w:uiPriority w:val="99"/>
    <w:rPr>
      <w:color w:val="333333"/>
      <w:u w:val="none"/>
    </w:rPr>
  </w:style>
  <w:style w:type="character" w:styleId="14">
    <w:name w:val="HTML Code"/>
    <w:basedOn w:val="6"/>
    <w:unhideWhenUsed/>
    <w:qFormat/>
    <w:uiPriority w:val="99"/>
    <w:rPr>
      <w:rFonts w:ascii="Courier New" w:hAnsi="Courier New"/>
      <w:sz w:val="20"/>
    </w:rPr>
  </w:style>
  <w:style w:type="character" w:styleId="15">
    <w:name w:val="HTML Cite"/>
    <w:basedOn w:val="6"/>
    <w:unhideWhenUsed/>
    <w:qFormat/>
    <w:uiPriority w:val="99"/>
    <w:rPr>
      <w:i/>
    </w:rPr>
  </w:style>
  <w:style w:type="character" w:customStyle="1" w:styleId="16">
    <w:name w:val="apple-converted-space"/>
    <w:basedOn w:val="6"/>
    <w:qFormat/>
    <w:uiPriority w:val="0"/>
  </w:style>
  <w:style w:type="paragraph" w:customStyle="1" w:styleId="17">
    <w:name w:val="列出段落1"/>
    <w:basedOn w:val="1"/>
    <w:qFormat/>
    <w:uiPriority w:val="34"/>
    <w:pPr>
      <w:ind w:firstLine="420" w:firstLineChars="200"/>
    </w:pPr>
  </w:style>
  <w:style w:type="character" w:customStyle="1" w:styleId="18">
    <w:name w:val="页眉 Char"/>
    <w:basedOn w:val="6"/>
    <w:link w:val="3"/>
    <w:qFormat/>
    <w:uiPriority w:val="99"/>
    <w:rPr>
      <w:rFonts w:asciiTheme="minorHAnsi" w:hAnsiTheme="minorHAnsi" w:eastAsiaTheme="minorEastAsia" w:cstheme="minorBidi"/>
      <w:kern w:val="2"/>
      <w:sz w:val="18"/>
      <w:szCs w:val="18"/>
    </w:rPr>
  </w:style>
  <w:style w:type="character" w:customStyle="1" w:styleId="1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5602</Words>
  <Characters>5788</Characters>
  <Lines>15</Lines>
  <Paragraphs>4</Paragraphs>
  <TotalTime>81</TotalTime>
  <ScaleCrop>false</ScaleCrop>
  <LinksUpToDate>false</LinksUpToDate>
  <CharactersWithSpaces>5821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蓝灵^_^</cp:lastModifiedBy>
  <cp:lastPrinted>2018-02-01T03:45:00Z</cp:lastPrinted>
  <dcterms:modified xsi:type="dcterms:W3CDTF">2023-06-28T03:11:45Z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4B900021A4E64E35B0974CC1D54A9DFC</vt:lpwstr>
  </property>
</Properties>
</file>