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3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kern w:val="0"/>
          <w:sz w:val="44"/>
          <w:szCs w:val="44"/>
          <w:lang w:val="en-US" w:eastAsia="zh-CN" w:bidi="ar"/>
        </w:rPr>
      </w:pPr>
    </w:p>
    <w:p w14:paraId="7C893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kern w:val="0"/>
          <w:sz w:val="44"/>
          <w:szCs w:val="44"/>
          <w:lang w:val="en-US" w:eastAsia="zh-CN" w:bidi="ar"/>
        </w:rPr>
      </w:pPr>
    </w:p>
    <w:p w14:paraId="0B1A8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kern w:val="0"/>
          <w:sz w:val="44"/>
          <w:szCs w:val="44"/>
          <w:lang w:val="en-US" w:eastAsia="zh-CN" w:bidi="ar"/>
        </w:rPr>
      </w:pPr>
    </w:p>
    <w:p w14:paraId="6E7A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1400" w:lineRule="exact"/>
        <w:ind w:left="0" w:leftChars="0" w:firstLine="0" w:firstLineChars="0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w w:val="50"/>
          <w:kern w:val="0"/>
          <w:sz w:val="126"/>
          <w:szCs w:val="126"/>
          <w:lang w:val="en-US" w:eastAsia="zh-CN" w:bidi="ar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FF0000"/>
          <w:spacing w:val="1"/>
          <w:w w:val="44"/>
          <w:kern w:val="0"/>
          <w:sz w:val="126"/>
          <w:szCs w:val="126"/>
          <w:fitText w:val="8994" w:id="811542163"/>
          <w:lang w:val="en-US" w:eastAsia="zh-CN" w:bidi="ar"/>
        </w:rPr>
        <w:t>景德镇市昌江区人民政府办公室文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FF0000"/>
          <w:spacing w:val="72"/>
          <w:w w:val="44"/>
          <w:kern w:val="0"/>
          <w:sz w:val="126"/>
          <w:szCs w:val="126"/>
          <w:fitText w:val="8994" w:id="811542163"/>
          <w:lang w:val="en-US" w:eastAsia="zh-CN" w:bidi="ar"/>
        </w:rPr>
        <w:t>件</w:t>
      </w:r>
    </w:p>
    <w:p w14:paraId="40B93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kern w:val="0"/>
          <w:sz w:val="44"/>
          <w:szCs w:val="44"/>
          <w:lang w:val="en-US" w:eastAsia="zh-CN" w:bidi="ar"/>
        </w:rPr>
      </w:pPr>
    </w:p>
    <w:p w14:paraId="39CE1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firstLine="0" w:firstLine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kern w:val="0"/>
          <w:sz w:val="44"/>
          <w:szCs w:val="44"/>
          <w:lang w:val="en-US" w:eastAsia="zh-CN" w:bidi="ar"/>
        </w:rPr>
      </w:pPr>
    </w:p>
    <w:p w14:paraId="2147D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Style w:val="8"/>
          <w:rFonts w:hint="default" w:ascii="仿宋_GB2312" w:hAnsi="仿宋_GB2312" w:eastAsia="仿宋_GB2312" w:cs="仿宋_GB2312"/>
          <w:b w:val="0"/>
          <w:bCs/>
          <w:i w:val="0"/>
          <w:iCs w:val="0"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kern w:val="0"/>
          <w:sz w:val="32"/>
          <w:szCs w:val="32"/>
          <w:lang w:val="en-US" w:eastAsia="zh-CN" w:bidi="ar"/>
        </w:rPr>
        <w:t>昌府办字〔2024〕</w:t>
      </w:r>
      <w:r>
        <w:rPr>
          <w:rStyle w:val="8"/>
          <w:rFonts w:hint="eastAsia" w:ascii="仿宋_GB2312" w:hAnsi="仿宋_GB2312" w:cs="仿宋_GB2312"/>
          <w:b w:val="0"/>
          <w:bCs/>
          <w:i w:val="0"/>
          <w:iCs w:val="0"/>
          <w:kern w:val="0"/>
          <w:sz w:val="32"/>
          <w:szCs w:val="32"/>
          <w:lang w:val="en-US" w:eastAsia="zh-CN" w:bidi="ar"/>
        </w:rPr>
        <w:t>52号</w:t>
      </w:r>
    </w:p>
    <w:p w14:paraId="04098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700" w:lineRule="exact"/>
        <w:ind w:left="0" w:leftChars="0" w:firstLine="0" w:firstLine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kern w:val="0"/>
          <w:sz w:val="44"/>
          <w:szCs w:val="44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37465</wp:posOffset>
                </wp:positionV>
                <wp:extent cx="5895975" cy="0"/>
                <wp:effectExtent l="0" t="1905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4075" y="4620895"/>
                          <a:ext cx="58959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6pt;margin-top:2.95pt;height:0pt;width:464.25pt;z-index:251659264;mso-width-relative:page;mso-height-relative:page;" filled="f" stroked="t" coordsize="21600,21600" o:gfxdata="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QmzuzUAAAABwEAAA8AAAAAAAAAAQAgAAAAIgAAAGRycy9kb3ducmV2LnhtbFBLAQIUABQA&#10;AAAIAIdO4kBuMbxx9AEAAL0DAAAOAAAAAAAAAAEAIAAAACMBAABkcnMvZTJvRG9jLnhtbFBLBQYA&#10;AAAABgAGAFkBAACJ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BC7B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kern w:val="0"/>
          <w:sz w:val="44"/>
          <w:szCs w:val="44"/>
          <w:lang w:val="en-US" w:eastAsia="zh-CN" w:bidi="ar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kern w:val="0"/>
          <w:sz w:val="44"/>
          <w:szCs w:val="44"/>
          <w:lang w:val="en-US" w:eastAsia="zh-CN" w:bidi="ar"/>
        </w:rPr>
        <w:t>昌江区人民政府办公室</w:t>
      </w:r>
    </w:p>
    <w:p w14:paraId="2899F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kern w:val="0"/>
          <w:sz w:val="44"/>
          <w:szCs w:val="44"/>
          <w:lang w:val="en-US" w:eastAsia="zh-CN" w:bidi="ar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kern w:val="0"/>
          <w:sz w:val="44"/>
          <w:szCs w:val="44"/>
          <w:lang w:val="en-US" w:eastAsia="zh-CN" w:bidi="ar"/>
        </w:rPr>
        <w:t>关于建立区、乡镇（街道）行政执法</w:t>
      </w:r>
    </w:p>
    <w:p w14:paraId="3D0C0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kern w:val="0"/>
          <w:sz w:val="44"/>
          <w:szCs w:val="44"/>
          <w:lang w:val="en-US" w:eastAsia="zh-CN" w:bidi="ar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kern w:val="0"/>
          <w:sz w:val="44"/>
          <w:szCs w:val="44"/>
          <w:lang w:val="en-US" w:eastAsia="zh-CN" w:bidi="ar"/>
        </w:rPr>
        <w:t>协作配合工作机制的实施意见</w:t>
      </w:r>
    </w:p>
    <w:p w14:paraId="15C638E6">
      <w:pPr>
        <w:pStyle w:val="2"/>
        <w:rPr>
          <w:rFonts w:hint="eastAsia"/>
          <w:lang w:val="en-US" w:eastAsia="zh-CN"/>
        </w:rPr>
      </w:pPr>
    </w:p>
    <w:p w14:paraId="3256F3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各乡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eastAsia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人民政府、街道办事处，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各行政执法部门：</w:t>
      </w:r>
    </w:p>
    <w:p w14:paraId="7AC4C4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为贯彻落实《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中共江西省委组织部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中共江西省委社会工作部印发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关于破解“小马拉大车”突出问题提升基层治理效能的工作方案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的通知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赣社发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7号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文件要求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进一步规范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基层综合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行政执法工作，现就建立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级行政执法部门和乡镇（街道）综合行政执法协作配合工作机制，提出如下意见：</w:t>
      </w:r>
    </w:p>
    <w:p w14:paraId="464D10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一、总体要求</w:t>
      </w:r>
    </w:p>
    <w:p w14:paraId="231634D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围绕推进政府治理体系和治理能力现代化，立足于突出行政执法工作的统筹协调指挥职能，按照分工科学、权责明确、衔接有序、运行顺畅的原则，以加强乡镇（街道）和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行政执法部门行政执法协作配合为重点，规范乡镇（街道）综合行政执法行为，建立健全综合行政执法协作配合运行机制，形成资源共享、信息互通、协作通畅的工作格局，为建立权责一致、权威高效的综合行政执法体制提供有力保障。</w:t>
      </w:r>
    </w:p>
    <w:p w14:paraId="307CAD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微软雅黑" w:hAnsi="微软雅黑" w:eastAsia="黑体" w:cs="微软雅黑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主要任务</w:t>
      </w:r>
    </w:p>
    <w:p w14:paraId="353D38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（一）厘清职责边界</w:t>
      </w:r>
    </w:p>
    <w:p w14:paraId="7FB43E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乡镇（街道）与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业务主管部门要围绕建立健全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、乡镇（街道）之间无缝衔接的监管机制，厘清源头监管、后续监管、末端执法的界限。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业务主管部门负责本行业的管理工作，要切实落实主体责任，加强源头监管，依法履行政策制定、审查审批、批后监管、业务指导等职责，不得以行政处罚权已赋予乡镇（街道）为由拒不履行监管职责；要积极配合做好综合行政执法职权行使所涉及的检验、检测、鉴定、认定等技术支撑工作。各乡镇（街道）要依法履行行政处罚及与之相关的行政监督检查、后续监管、行政强制措施等职责。</w:t>
      </w:r>
    </w:p>
    <w:p w14:paraId="14FF38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</w:t>
      </w:r>
      <w:r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</w:t>
      </w:r>
      <w:r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）理顺层级关系</w:t>
      </w:r>
    </w:p>
    <w:p w14:paraId="030E25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1.乡镇（街道）与</w:t>
      </w: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区级</w:t>
      </w: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业务主管部门</w:t>
      </w:r>
    </w:p>
    <w:p w14:paraId="5DCAA58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各乡镇（街道）在其乡镇（街道）区域范围内承接赋权事项，接受有关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业务主管部门的业务指导和监督。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业务主管部门要继续全面履行监管职责，根据赋权范围，提供业务培训、政策指导和技术支持，积极研究制定与乡镇（街道）综合行政执法协调配合的工作机制，会同属地乡镇（街道）协调基层执法行动，组织跨区域、重大执法行动。</w:t>
      </w:r>
    </w:p>
    <w:p w14:paraId="6D5911C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2.乡镇（街道）与相关</w:t>
      </w: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区级</w:t>
      </w: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部门派驻执法机构</w:t>
      </w:r>
    </w:p>
    <w:p w14:paraId="60EE81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各乡镇（街道）要加强组织领导，统筹辖区内各派驻机构和执法力量，完善执法联动机制，消除监管盲区，实施区域内综合执法和联合执法。</w:t>
      </w:r>
    </w:p>
    <w:p w14:paraId="1AB78D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</w:t>
      </w:r>
      <w:r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</w:t>
      </w:r>
      <w:r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）加强执法协作</w:t>
      </w:r>
    </w:p>
    <w:p w14:paraId="5B563F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业务主管部门要和各乡镇（街道）加强沟通，强化执法协作，建立健全无缝衔接的监管机制，避免监管漏洞。</w:t>
      </w:r>
    </w:p>
    <w:p w14:paraId="69D03D5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default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1.</w:t>
      </w: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加强信息资源共享。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区级业务主管部门应当将与各乡镇（街道）综合行政执法事项相关的管理信息提供给各乡镇（街道），及时转送相关的法律、法规、规章、司法解释、执法解释，以及上级主管部门出台的行政规范性文件、行政执法动态信息。各乡镇（街道）在作出行政处罚决定后，应及时书面抄告区级业务主管部门备案。</w:t>
      </w:r>
    </w:p>
    <w:p w14:paraId="052E24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default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2.</w:t>
      </w: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加强部门联动协作。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属地乡镇（街道）在查处违法行为过程中需要区级业务主管部门认定、技术鉴定或提供咨询意见的，应向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业务主管部门提交执法协作文书。区级业务主管部门应自收到执法协作文书后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个工作日内，书面反馈认定、鉴定或咨询意见；对于情况紧急或证据可能灭失的，区级业务主管部门应及时派员现场处置；需技术鉴定、情况复杂的，可适当延长反馈意见期限。属地乡镇（街道）在执法活动中发现有重大安全隐患的，应及时通报相关区级业务主管部门，并可会同区级业务主管部门召开专题会议，研究案情，商讨对策，联合执法。区级业务主管部门应及时分析研究，提出建议，采取有效措施。区级业务主管部门开展专项监督检查、行政审批、行政确认等工作，需要属地乡镇（街道）参与的，应向属地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镇（街道）出具书面通知，情况紧急的也可先电话通知。</w:t>
      </w:r>
    </w:p>
    <w:p w14:paraId="18B5D1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default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3.</w:t>
      </w: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加强业务指导和技术保障。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区级业务主管部门可采取集中培训的形式，指导乡镇（街道）开展综合行政执法工作。乡镇（街道）需要业务指导的，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业务主管部门应采取上门辅导、座谈、咨询等方式，指导综合行政执法人员熟悉相关业务、法律法规、政策标准等，正确使用执法设备，熟练掌握相关技能。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业务主管部门应做好检验、检测等必需的技术保障，为乡镇（街道）开展执法活动提供技术支撑。</w:t>
      </w:r>
    </w:p>
    <w:p w14:paraId="26C8C4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（四）</w:t>
      </w:r>
      <w:r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建立工作制度</w:t>
      </w:r>
    </w:p>
    <w:p w14:paraId="5FD2B0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建立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赋权执法事项培训制度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区级行政执法部门要指导、参与乡镇（街道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按照《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江西省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提升行政执法质量三年行动计划实施方案（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2023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eastAsia="zh-CN"/>
        </w:rPr>
        <w:t>—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年）》（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赣府厅发〔2023〕21号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）要求，通过集中培训，邀请乡镇（街道）行政执法人员参加现场检查、调查取证、应急处置、案卷制作等执法活动，全面提升乡镇（街道）行政执法人员能力素质。</w:t>
      </w:r>
    </w:p>
    <w:p w14:paraId="5A7FE5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Style w:val="8"/>
          <w:rFonts w:hint="eastAsia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建立案件移送协调协作制度。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区级业务主管部门的行政处罚权下放后，应与乡镇（街道）建立案件移送相互抄告制度。案件移送应以区级业务主管部门、乡镇（街道）的名义进行，不得以内设机构的名义移送，法律法规明确规定的除外。应确定负责办理案件移送、受理等工作的具体联系部门及联系人，相互配合，并定期沟通案件进展和处理情况。乡镇（街道）、区级业务主管部门在移送案件时，应形成基本违法事实的书面材料。移送的案件材料包括涉嫌违法案件移送函、案源材料（现场检查记录、现场照片、举报投诉材料等）、初步证明违法行为事实情况的相关证据材料等。移送的案件应经单位主要领导批准、书面移送。</w:t>
      </w:r>
    </w:p>
    <w:p w14:paraId="4BD016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乡镇（街道）在行政执法过程中发现违法行为属于区级业务主管部门管辖的，或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业务主管部门在日常监管过程中发现违法行为属于乡镇（街道）管辖的，应在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个工作日内移送有管辖权的一方处理；因调查核实等客观原因确需延长移送期限的，应事先告知有管辖权的一方，但移送期限最长不超过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个工作日；情况紧急的，应在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小时内移送有管辖权的一方处理；发现违法行为正在进行的，应立即责令当事人停止违法行为或采取相关措施及时制止，防止违法行为进一步扩大，并及时告知有管辖权的一方处理。受移送单位应在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个工作日内书面告知移送单位受理情况。</w:t>
      </w:r>
    </w:p>
    <w:p w14:paraId="64C71E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乡镇（街道）在行政执法过程中发现重大疑难违法行为，需移送区级业务主管部门的，征得区级业务主管部门同意后，参照上述要求办理。</w:t>
      </w:r>
    </w:p>
    <w:p w14:paraId="5DA3DE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Style w:val="8"/>
          <w:rFonts w:hint="eastAsia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建立举报投诉信访受理制度。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对于涉及赋权事项的举报、投诉、信访，适用首问负责制，率先接到举报、投诉、信访的单位作为第一责任人予以受理。但明确不属于本单位职能，应告知举报人、投诉人或信访人向有权机关提出。</w:t>
      </w:r>
    </w:p>
    <w:p w14:paraId="2716EF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乡镇（街道）接到举报、投诉、信访的，应及时受理。经初步核实未发现违法行为的，由乡镇（街道）直接答复举报人、投诉人或信访人；经核实需要实施行政处罚的，按职责权限及时立案调查并实施相应的行政处罚；需要移送的，以及主要涉及管理问题的，形成相关书面资料移送相应区级业务主管部门处理。</w:t>
      </w:r>
    </w:p>
    <w:p w14:paraId="131F90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区级业务主管部门接到举报、投诉、信访的，应及时受理。经初步核实未发现违法行为的，由部门直接答复举报人、投诉人或信访人；经核实需要实施行政处罚的，按职责权限及时立案调查并实施相应的行政处罚；需要移送的，形成相关书面资料移送属地乡镇（街道）处理。</w:t>
      </w:r>
    </w:p>
    <w:p w14:paraId="657039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Style w:val="8"/>
          <w:rFonts w:hint="eastAsia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4.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建立执法案件协调会商制度。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各乡镇（街道）与区级业务主管部门应建立协调会商制度，协调处理行政执法中的普遍性问题和热点难点问题，会商研讨综合执法和联合执法的主体、程序、权限等业务问题，协商解决监管、处罚有关管理、技术和法律适用问题。对发现的重大案件线索，专题研究案情，组织协调推进联合执法。</w:t>
      </w:r>
    </w:p>
    <w:p w14:paraId="0AFE56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协调会商形式可分为例行会议和专题会议，例行会议由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业务主管部门召集，原则上每半年召开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次；专题会议由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业务主管部门根据工作需要适时召开。参加对象为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业务主管部门分管领导、责任科室负责人，乡镇（街道）综合行政执法机构负责人、有关业务人员，并可视情邀请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司法局及其他相关单位参加。区级业务主管部门负责形成会议纪要，相关单位应贯彻落实会议纪要有关要求。</w:t>
      </w:r>
    </w:p>
    <w:p w14:paraId="51D59E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Style w:val="8"/>
          <w:rFonts w:hint="eastAsia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5.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建立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“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两法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”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衔接制度。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建立乡镇（街道）与公安机关、检察机关、审判机关、司法行政机关信息共享、案情通报、案件移送制度，实现行政执法和刑事司法无缝对接。属地乡镇（街道）发现违法行为涉嫌犯罪的，应及时移送公安机关，不得以罚代刑。当事人不履行行政决定的，属地乡镇（街道）应依法强制执行或向</w:t>
      </w: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人民法院申请强制执行。对以暴力、威胁等手段阻碍综合行政执法人员依法执行公务的，公安机关应及时依法查处；构成犯罪的，依法追究刑事责任。</w:t>
      </w:r>
    </w:p>
    <w:p w14:paraId="26D1E3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6.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建立职责分工争议协调制度。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区级业务主管部门与乡镇（街道）发生职责分工争议的，由双方在对违法行为先予协同处置的前提下，按照统一效能、权责一致、不推诿、不扯皮原则进行协商解决。不能协调解决的，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由司法局介入协调解决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 w14:paraId="59F7DF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、组织实施</w:t>
      </w:r>
    </w:p>
    <w:p w14:paraId="6E5F28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乡镇（街道）和区级各行政执法部门要高度重视综合行政执法协作配合工作，切实增强政治意识、大局意识、责任意识，把建立综合行政执法协作配合工作机制摆上突出位置，深入研究、协调处理工作中出现的矛盾和问题，确保乡镇（街道）综合行政执法工作顺利推进。</w:t>
      </w:r>
    </w:p>
    <w:p w14:paraId="19DA2E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（二）狠抓工作落实。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乡镇（街道）和区级各行政执法部门应按照本实施意见并结合工作实际，建立完善相关工作机制。乡镇（街道）和区级各行政执法部门要充分发挥基层社会治理多种优势，增强监管合力，提高行政执法效能。</w:t>
      </w:r>
    </w:p>
    <w:p w14:paraId="24FBB1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Style w:val="8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（三）强化执法监督。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司法局要强化对综合行政执法协作配合责任的刚性约束，制定并落实乡镇（街道）和区级各行政执法部门之间的责任追究制度，将乡镇（街道）和业务主管部门协作配合落实情况纳入法治政府考核内容。对区级行政执法部门不按照职责分工履行职责，拒不履行业务指导、技术支撑、信息共享、执法协助等协作配合义务的，按规定追究有关部门和人员责任。</w:t>
      </w:r>
    </w:p>
    <w:p w14:paraId="0FE01FA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8"/>
          <w:szCs w:val="48"/>
          <w:lang w:val="en-US" w:eastAsia="zh-CN"/>
        </w:rPr>
      </w:pPr>
    </w:p>
    <w:p w14:paraId="2EC0FD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8"/>
          <w:szCs w:val="48"/>
          <w:lang w:val="en-US" w:eastAsia="zh-CN"/>
        </w:rPr>
      </w:pPr>
    </w:p>
    <w:p w14:paraId="602F9A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8"/>
          <w:szCs w:val="48"/>
          <w:lang w:val="en-US" w:eastAsia="zh-CN"/>
        </w:rPr>
      </w:pPr>
    </w:p>
    <w:p w14:paraId="5C2360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昌江区人民政府办公室</w:t>
      </w:r>
    </w:p>
    <w:p w14:paraId="3DAEDDD4">
      <w:pPr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                    2024年12月20日</w:t>
      </w:r>
    </w:p>
    <w:p w14:paraId="507148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8"/>
          <w:szCs w:val="48"/>
          <w:lang w:val="en-US" w:eastAsia="zh-CN"/>
        </w:rPr>
      </w:pPr>
    </w:p>
    <w:p w14:paraId="66B03C0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8"/>
          <w:szCs w:val="48"/>
          <w:lang w:val="en-US" w:eastAsia="zh-CN"/>
        </w:rPr>
      </w:pPr>
    </w:p>
    <w:p w14:paraId="4F3BEC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8"/>
          <w:szCs w:val="48"/>
          <w:lang w:val="en-US" w:eastAsia="zh-CN"/>
        </w:rPr>
        <w:t>有关单位名单</w:t>
      </w:r>
    </w:p>
    <w:p w14:paraId="617E74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（排名不分先后）</w:t>
      </w:r>
    </w:p>
    <w:p w14:paraId="11D9D0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135CF91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区委办（区档案局）、区委宣传部（</w:t>
      </w:r>
      <w:r>
        <w:rPr>
          <w:rFonts w:hint="eastAsia" w:ascii="仿宋_GB2312" w:hAnsi="宋体" w:cs="仿宋_GB2312"/>
          <w:color w:val="000000"/>
          <w:kern w:val="0"/>
          <w:sz w:val="32"/>
          <w:szCs w:val="32"/>
          <w:lang w:val="en-US" w:eastAsia="zh-CN" w:bidi="ar"/>
        </w:rPr>
        <w:t>区委网信办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、区委统战部（区民宗局）、区教体局、区民政局、区财政局、区住建局、区农业农村水利局、区商务局、区卫健委、区应急管理局、区审计局、区林业局、区市监局、区统计局、区城管局、区医保局、区司法局、区退役军人事务局</w:t>
      </w:r>
      <w:r>
        <w:rPr>
          <w:rFonts w:hint="eastAsia" w:ascii="仿宋_GB2312" w:hAnsi="宋体" w:cs="仿宋_GB2312"/>
          <w:color w:val="000000"/>
          <w:kern w:val="0"/>
          <w:sz w:val="32"/>
          <w:szCs w:val="32"/>
          <w:lang w:val="en-US" w:eastAsia="zh-CN" w:bidi="ar"/>
        </w:rPr>
        <w:t>、区人社局、昌江公安分局</w:t>
      </w:r>
    </w:p>
    <w:p w14:paraId="76BA2F89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吕蒙街道、鱼山镇、丽阳镇、荷塘乡</w:t>
      </w:r>
    </w:p>
    <w:p w14:paraId="352D73BD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9DA3895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C9D8A12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A0B8073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51EF733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BCADA17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84B480C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13D2714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E8136A2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E1AED5F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9867C51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35E11A2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FE7382A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07A48B9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51ED765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E5092C4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B52B985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5FFAD16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43CC802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BC17D9F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4FD7F01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4352938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3C5160C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01E30DB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C9A1F8A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DAE1111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C83504A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6C7410B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D4BB641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89D5873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C4D921F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26B0917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5A485A5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0EA9CA0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345301DE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D591A9D">
      <w:pPr>
        <w:pStyle w:val="2"/>
        <w:ind w:left="0" w:leftChars="0" w:firstLine="0" w:firstLineChars="0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376555</wp:posOffset>
                </wp:positionV>
                <wp:extent cx="560070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05pt;margin-top:29.65pt;height:0pt;width:441pt;z-index:251661312;mso-width-relative:page;mso-height-relative:page;" filled="f" stroked="t" coordsize="21600,21600" o:gfxdata="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F/xHnYAAAACAEA&#10;AA8AAAAAAAAAAQAgAAAAIgAAAGRycy9kb3ducmV2LnhtbFBLAQIUABQAAAAIAIdO4kAMx9Ud4QEA&#10;ALIDAAAOAAAAAAAAAAEAIAAAACcBAABkcnMvZTJvRG9jLnhtbFBLBQYAAAAABgAGAFkBAAB6BQ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24130</wp:posOffset>
                </wp:positionV>
                <wp:extent cx="560070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62660" y="882396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55pt;margin-top:1.9pt;height:0pt;width:441pt;z-index:251660288;mso-width-relative:page;mso-height-relative:page;" filled="f" stroked="t" coordsize="21600,21600" o:gfxdata="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k&#10;3ZUk1gAAAAYBAAAPAAAAAAAAAAEAIAAAACIAAABkcnMvZG93bnJldi54bWxQSwECFAAUAAAACACH&#10;TuJAyKvfNu0BAAC9AwAADgAAAAAAAAABACAAAAAlAQAAZHJzL2Uyb0RvYy54bWxQSwUGAAAAAAYA&#10;BgBZAQAAh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昌江区人民政府办公室              2024年12月20日印发</w:t>
      </w:r>
    </w:p>
    <w:sectPr>
      <w:footerReference r:id="rId5" w:type="default"/>
      <w:pgSz w:w="11906" w:h="16838"/>
      <w:pgMar w:top="1757" w:right="1417" w:bottom="175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665244-0008-47D9-AA5D-25BEC9CCD3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C1CCCDE-C126-4E36-B493-9446410584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B9A4BA-C3C1-42FC-B810-5D27DFA9DB32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5F94F1B-0F0E-4A73-B85E-04A635AF81D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D3540B7-70C0-4FB4-A38E-0DF9767B43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2CB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CD54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5CD54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NWMwMzM0ODgwMWJlYjU1NGRjMzM1NDBlYmEyNjMifQ=="/>
  </w:docVars>
  <w:rsids>
    <w:rsidRoot w:val="213139EB"/>
    <w:rsid w:val="1C2948F4"/>
    <w:rsid w:val="20E34C09"/>
    <w:rsid w:val="213139EB"/>
    <w:rsid w:val="32537329"/>
    <w:rsid w:val="3B5A42BF"/>
    <w:rsid w:val="3EDC5FE5"/>
    <w:rsid w:val="551B774D"/>
    <w:rsid w:val="7718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unhideWhenUsed/>
    <w:qFormat/>
    <w:uiPriority w:val="0"/>
    <w:pPr>
      <w:spacing w:line="560" w:lineRule="exact"/>
      <w:ind w:firstLine="640" w:firstLineChars="200"/>
    </w:pPr>
    <w:rPr>
      <w:rFonts w:ascii="Calibri" w:hAnsi="Calibri"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60" w:lineRule="exact"/>
      <w:ind w:firstLine="880" w:firstLineChars="200"/>
    </w:pPr>
    <w:rPr>
      <w:rFonts w:ascii="仿宋_GB2312" w:hAnsi="仿宋_GB2312" w:eastAsia="仿宋_GB2312" w:cs="仿宋_GB2312"/>
      <w:kern w:val="0"/>
      <w:sz w:val="32"/>
      <w:szCs w:val="32"/>
      <w:lang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3987</Words>
  <Characters>4022</Characters>
  <Lines>0</Lines>
  <Paragraphs>0</Paragraphs>
  <TotalTime>6</TotalTime>
  <ScaleCrop>false</ScaleCrop>
  <LinksUpToDate>false</LinksUpToDate>
  <CharactersWithSpaces>4037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2024-12-16T03:15:00Z</dcterms:created>
  <dc:creator>道道</dc:creator>
  <cp:lastModifiedBy>白真安</cp:lastModifiedBy>
  <cp:lastPrinted>2024-12-23T01:12:32Z</cp:lastPrinted>
  <dcterms:modified xsi:type="dcterms:W3CDTF">2024-12-23T01:13:27Z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4F9404FCFA004E84B22DBCDD8420A0F1_13</vt:lpwstr>
  </property>
</Properties>
</file>