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8B5B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bookmarkStart w:id="0" w:name="_GoBack"/>
      <w:bookmarkEnd w:id="0"/>
    </w:p>
    <w:p w14:paraId="643F9EAF">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p>
    <w:p w14:paraId="2470078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p>
    <w:p w14:paraId="069CB21F">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default" w:ascii="方正小标宋简体" w:hAnsi="方正小标宋简体" w:eastAsia="方正小标宋简体" w:cs="方正小标宋简体"/>
          <w:b w:val="0"/>
          <w:bCs w:val="0"/>
          <w:spacing w:val="8"/>
          <w:w w:val="50"/>
          <w:sz w:val="126"/>
          <w:szCs w:val="126"/>
          <w:lang w:val="en-US" w:eastAsia="zh-CN"/>
        </w:rPr>
      </w:pPr>
      <w:r>
        <w:rPr>
          <w:rFonts w:hint="eastAsia" w:ascii="方正小标宋简体" w:hAnsi="方正小标宋简体" w:eastAsia="方正小标宋简体" w:cs="方正小标宋简体"/>
          <w:b w:val="0"/>
          <w:bCs w:val="0"/>
          <w:color w:val="FF0000"/>
          <w:spacing w:val="1"/>
          <w:w w:val="44"/>
          <w:kern w:val="0"/>
          <w:sz w:val="126"/>
          <w:szCs w:val="126"/>
          <w:fitText w:val="8902" w:id="1652165575"/>
          <w:lang w:val="en-US" w:eastAsia="zh-CN"/>
        </w:rPr>
        <w:t>景德镇市昌江区人民政府办公室文</w:t>
      </w:r>
      <w:r>
        <w:rPr>
          <w:rFonts w:hint="eastAsia" w:ascii="方正小标宋简体" w:hAnsi="方正小标宋简体" w:eastAsia="方正小标宋简体" w:cs="方正小标宋简体"/>
          <w:b w:val="0"/>
          <w:bCs w:val="0"/>
          <w:color w:val="FF0000"/>
          <w:spacing w:val="26"/>
          <w:w w:val="44"/>
          <w:kern w:val="0"/>
          <w:sz w:val="126"/>
          <w:szCs w:val="126"/>
          <w:fitText w:val="8902" w:id="1652165575"/>
          <w:lang w:val="en-US" w:eastAsia="zh-CN"/>
        </w:rPr>
        <w:t>件</w:t>
      </w:r>
    </w:p>
    <w:p w14:paraId="5A9CBDB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p>
    <w:p w14:paraId="65B058F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val="0"/>
          <w:spacing w:val="8"/>
          <w:sz w:val="44"/>
          <w:szCs w:val="44"/>
          <w:lang w:val="en-US" w:eastAsia="zh-CN"/>
        </w:rPr>
      </w:pPr>
    </w:p>
    <w:p w14:paraId="109E655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_GB2312" w:hAnsi="仿宋_GB2312" w:eastAsia="仿宋_GB2312" w:cs="仿宋_GB2312"/>
          <w:b w:val="0"/>
          <w:bCs w:val="0"/>
          <w:spacing w:val="8"/>
          <w:sz w:val="32"/>
          <w:szCs w:val="32"/>
          <w:lang w:val="en-US" w:eastAsia="zh-CN"/>
        </w:rPr>
      </w:pPr>
      <w:r>
        <w:rPr>
          <w:rFonts w:hint="eastAsia" w:ascii="仿宋_GB2312" w:hAnsi="仿宋_GB2312" w:eastAsia="仿宋_GB2312" w:cs="仿宋_GB2312"/>
          <w:b w:val="0"/>
          <w:bCs w:val="0"/>
          <w:spacing w:val="8"/>
          <w:sz w:val="32"/>
          <w:szCs w:val="32"/>
          <w:lang w:val="en-US" w:eastAsia="zh-CN"/>
        </w:rPr>
        <w:t>昌府办字〔2025〕14号</w:t>
      </w:r>
    </w:p>
    <w:p w14:paraId="4804FCA9">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方正小标宋简体" w:hAnsi="方正小标宋简体" w:eastAsia="方正小标宋简体" w:cs="方正小标宋简体"/>
          <w:b w:val="0"/>
          <w:bCs w:val="0"/>
          <w:spacing w:val="8"/>
          <w:sz w:val="44"/>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-201295</wp:posOffset>
                </wp:positionH>
                <wp:positionV relativeFrom="paragraph">
                  <wp:posOffset>8890</wp:posOffset>
                </wp:positionV>
                <wp:extent cx="5953125" cy="9525"/>
                <wp:effectExtent l="0" t="19050" r="9525" b="28575"/>
                <wp:wrapNone/>
                <wp:docPr id="1" name="直接连接符 1"/>
                <wp:cNvGraphicFramePr/>
                <a:graphic xmlns:a="http://schemas.openxmlformats.org/drawingml/2006/main">
                  <a:graphicData uri="http://schemas.microsoft.com/office/word/2010/wordprocessingShape">
                    <wps:wsp>
                      <wps:cNvCnPr/>
                      <wps:spPr>
                        <a:xfrm>
                          <a:off x="806450" y="4678045"/>
                          <a:ext cx="5953125" cy="9525"/>
                        </a:xfrm>
                        <a:prstGeom prst="line">
                          <a:avLst/>
                        </a:prstGeom>
                        <a:ln w="3810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5.85pt;margin-top:0.7pt;height:0.75pt;width:468.75pt;z-index:251660288;mso-width-relative:page;mso-height-relative:page;" filled="f" stroked="t" coordsize="21600,21600" o:gfxdata="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m6ZoNUAAAAHAQAADwAAAAAAAAABACAAAAAiAAAAZHJzL2Rvd25yZXYueG1sUEsBAhQA&#10;FAAAAAgAh07iQGq1P7L1AQAAwAMAAA4AAAAAAAAAAQAgAAAAJAEAAGRycy9lMm9Eb2MueG1sUEsF&#10;BgAAAAAGAAYAWQEAAIsFAAAAAA==&#10;">
                <v:fill on="f" focussize="0,0"/>
                <v:stroke weight="3pt" color="#FF0000 [3204]" miterlimit="8" joinstyle="miter"/>
                <v:imagedata o:title=""/>
                <o:lock v:ext="edit" aspectratio="f"/>
              </v:line>
            </w:pict>
          </mc:Fallback>
        </mc:AlternateContent>
      </w:r>
    </w:p>
    <w:p w14:paraId="77A85452">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关于切实做好2025年全区粮食油料</w:t>
      </w:r>
    </w:p>
    <w:p w14:paraId="5C43C22B">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仿宋_GB2312" w:hAnsi="仿宋_GB2312" w:eastAsia="仿宋_GB2312" w:cs="仿宋_GB2312"/>
          <w:spacing w:val="0"/>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增产提质工作的通知</w:t>
      </w:r>
    </w:p>
    <w:p w14:paraId="6E51D46D">
      <w:pPr>
        <w:keepNext w:val="0"/>
        <w:keepLines w:val="0"/>
        <w:pageBreakBefore w:val="0"/>
        <w:widowControl/>
        <w:wordWrap/>
        <w:overflowPunct/>
        <w:topLinePunct w:val="0"/>
        <w:bidi w:val="0"/>
        <w:spacing w:line="560" w:lineRule="exact"/>
        <w:jc w:val="left"/>
        <w:rPr>
          <w:rFonts w:hint="eastAsia" w:ascii="仿宋_GB2312" w:hAnsi="仿宋_GB2312" w:eastAsia="仿宋_GB2312" w:cs="仿宋_GB2312"/>
          <w:color w:val="000000"/>
          <w:kern w:val="0"/>
          <w:sz w:val="31"/>
          <w:szCs w:val="31"/>
          <w:lang w:bidi="ar"/>
        </w:rPr>
      </w:pPr>
    </w:p>
    <w:p w14:paraId="0CB7E762">
      <w:pPr>
        <w:keepNext w:val="0"/>
        <w:keepLines w:val="0"/>
        <w:pageBreakBefore w:val="0"/>
        <w:widowControl/>
        <w:wordWrap/>
        <w:overflowPunct/>
        <w:topLinePunct w:val="0"/>
        <w:bidi w:val="0"/>
        <w:spacing w:line="600" w:lineRule="exact"/>
        <w:jc w:val="left"/>
        <w:rPr>
          <w:rFonts w:hint="eastAsia" w:ascii="仿宋_GB2312" w:eastAsia="仿宋_GB2312"/>
          <w:sz w:val="32"/>
          <w:szCs w:val="32"/>
        </w:rPr>
      </w:pPr>
      <w:r>
        <w:rPr>
          <w:rFonts w:hint="eastAsia" w:ascii="仿宋_GB2312" w:eastAsia="仿宋_GB2312"/>
          <w:sz w:val="32"/>
          <w:szCs w:val="32"/>
        </w:rPr>
        <w:t>各乡（镇）</w:t>
      </w:r>
      <w:r>
        <w:rPr>
          <w:rFonts w:hint="eastAsia" w:ascii="仿宋_GB2312" w:eastAsia="仿宋_GB2312"/>
          <w:sz w:val="32"/>
          <w:szCs w:val="32"/>
          <w:lang w:val="en-US" w:eastAsia="zh-CN"/>
        </w:rPr>
        <w:t>人民政府、</w:t>
      </w:r>
      <w:r>
        <w:rPr>
          <w:rFonts w:hint="eastAsia" w:ascii="仿宋_GB2312" w:eastAsia="仿宋_GB2312"/>
          <w:sz w:val="32"/>
          <w:szCs w:val="32"/>
        </w:rPr>
        <w:t>街道</w:t>
      </w:r>
      <w:r>
        <w:rPr>
          <w:rFonts w:hint="eastAsia" w:ascii="仿宋_GB2312" w:eastAsia="仿宋_GB2312"/>
          <w:sz w:val="32"/>
          <w:szCs w:val="32"/>
          <w:lang w:val="en-US" w:eastAsia="zh-CN"/>
        </w:rPr>
        <w:t>办事处</w:t>
      </w:r>
      <w:r>
        <w:rPr>
          <w:rFonts w:hint="eastAsia" w:ascii="仿宋_GB2312" w:eastAsia="仿宋_GB2312"/>
          <w:sz w:val="32"/>
          <w:szCs w:val="32"/>
        </w:rPr>
        <w:t>，</w:t>
      </w:r>
      <w:r>
        <w:rPr>
          <w:rFonts w:hint="eastAsia" w:ascii="仿宋_GB2312" w:eastAsia="仿宋_GB2312"/>
          <w:color w:val="000000"/>
          <w:sz w:val="32"/>
          <w:szCs w:val="32"/>
          <w:lang w:val="en-US" w:eastAsia="zh-CN"/>
        </w:rPr>
        <w:t>区政府各有关部门</w:t>
      </w:r>
      <w:r>
        <w:rPr>
          <w:rFonts w:hint="eastAsia" w:ascii="仿宋_GB2312" w:eastAsia="仿宋_GB2312"/>
          <w:color w:val="000000"/>
          <w:sz w:val="32"/>
          <w:szCs w:val="32"/>
        </w:rPr>
        <w:t>：</w:t>
      </w:r>
    </w:p>
    <w:p w14:paraId="68E55FD8">
      <w:pPr>
        <w:keepNext w:val="0"/>
        <w:keepLines w:val="0"/>
        <w:pageBreakBefore w:val="0"/>
        <w:widowControl/>
        <w:wordWrap/>
        <w:overflowPunct/>
        <w:topLinePunct w:val="0"/>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习近平总书记在多个场合反复强调，“粮食安全是“国之大者”，保障粮食、重要农产品稳定安全供给始终是建设农业强国的头等大事”，2025年是“十四五”规划收官之年、“十五五”规划谋篇布局之年。为深入贯彻落实市委、市政府有关文件精神，切实做好全年粮食油料生产工作，经区政府同意，现将有关事项通知如下。</w:t>
      </w:r>
    </w:p>
    <w:p w14:paraId="0833D25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lang w:eastAsia="zh-CN"/>
        </w:rPr>
        <w:t>勇担当，善作为，绘写粮油生产崭新篇章</w:t>
      </w:r>
    </w:p>
    <w:p w14:paraId="789ED8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bCs/>
          <w:spacing w:val="0"/>
          <w:sz w:val="32"/>
          <w:szCs w:val="32"/>
          <w:lang w:eastAsia="zh-CN"/>
        </w:rPr>
        <w:t>（一）筑牢粮食安全责任底线。</w:t>
      </w:r>
      <w:r>
        <w:rPr>
          <w:rFonts w:hint="eastAsia" w:ascii="仿宋_GB2312" w:eastAsia="仿宋_GB2312"/>
          <w:sz w:val="32"/>
          <w:szCs w:val="32"/>
        </w:rPr>
        <w:t>各乡（镇）街道</w:t>
      </w:r>
      <w:r>
        <w:rPr>
          <w:rFonts w:hint="eastAsia" w:ascii="仿宋_GB2312" w:hAnsi="仿宋_GB2312" w:eastAsia="仿宋_GB2312" w:cs="仿宋_GB2312"/>
          <w:spacing w:val="0"/>
          <w:sz w:val="32"/>
          <w:szCs w:val="32"/>
          <w:lang w:eastAsia="zh-CN"/>
        </w:rPr>
        <w:t>要深入贯彻落实习近平总书记关于保障国家粮食安全的重要指示批示精神和考察江西重要讲话精神，始终把保障粮食等重要农产品供给作为全区“三农”工作和乡村振兴的首要任务。切实提高政治站位，充分认识保障粮食安全对稳定经济社会发展的重大意义和当前稳定粮食安全的严峻复杂形势，坚决担负起保障粮食安全的主体责任，全面落实粮食安全“党政同责”，确保各项工作部署到位。</w:t>
      </w:r>
    </w:p>
    <w:p w14:paraId="1D13B05D">
      <w:pPr>
        <w:keepNext w:val="0"/>
        <w:keepLines w:val="0"/>
        <w:pageBreakBefore w:val="0"/>
        <w:wordWrap/>
        <w:overflowPunct/>
        <w:topLinePunct w:val="0"/>
        <w:bidi w:val="0"/>
        <w:spacing w:line="600" w:lineRule="exact"/>
        <w:ind w:firstLine="643" w:firstLineChars="200"/>
        <w:rPr>
          <w:rFonts w:hint="eastAsia" w:ascii="仿宋_GB2312" w:hAnsi="仿宋_GB2312" w:eastAsia="仿宋_GB2312" w:cs="仿宋_GB2312"/>
          <w:spacing w:val="0"/>
          <w:sz w:val="32"/>
          <w:szCs w:val="32"/>
          <w:lang w:val="en-US" w:eastAsia="zh-CN"/>
        </w:rPr>
      </w:pPr>
      <w:r>
        <w:rPr>
          <w:rFonts w:hint="eastAsia" w:ascii="楷体_GB2312" w:hAnsi="楷体_GB2312" w:eastAsia="楷体_GB2312" w:cs="楷体_GB2312"/>
          <w:b/>
          <w:bCs/>
          <w:spacing w:val="0"/>
          <w:sz w:val="32"/>
          <w:szCs w:val="32"/>
          <w:lang w:eastAsia="zh-CN"/>
        </w:rPr>
        <w:t>（二）稳定粮食油料播种面积。</w:t>
      </w:r>
      <w:r>
        <w:rPr>
          <w:rFonts w:hint="eastAsia" w:ascii="仿宋_GB2312" w:eastAsia="仿宋_GB2312"/>
          <w:sz w:val="32"/>
          <w:szCs w:val="32"/>
        </w:rPr>
        <w:t>各乡（镇）街道</w:t>
      </w:r>
      <w:r>
        <w:rPr>
          <w:rFonts w:hint="eastAsia" w:ascii="仿宋_GB2312" w:hAnsi="仿宋_GB2312" w:eastAsia="仿宋_GB2312" w:cs="仿宋_GB2312"/>
          <w:spacing w:val="0"/>
          <w:sz w:val="32"/>
          <w:szCs w:val="32"/>
          <w:lang w:val="en-US" w:eastAsia="zh-CN"/>
        </w:rPr>
        <w:t>要将区级下达的粮食油料大豆任务逐级分解落实到村，建立台账，突出抓好早稻生产，全力保障各项任务圆满完成</w:t>
      </w:r>
      <w:r>
        <w:rPr>
          <w:rFonts w:hint="eastAsia" w:ascii="仿宋_GB2312" w:hAnsi="仿宋_GB2312" w:eastAsia="仿宋_GB2312" w:cs="仿宋_GB2312"/>
          <w:spacing w:val="0"/>
          <w:sz w:val="32"/>
          <w:szCs w:val="32"/>
          <w:lang w:eastAsia="zh-CN"/>
        </w:rPr>
        <w:t>。</w:t>
      </w:r>
      <w:r>
        <w:rPr>
          <w:rFonts w:hint="eastAsia" w:ascii="仿宋_GB2312" w:hAnsi="宋体" w:eastAsia="仿宋_GB2312" w:cs="宋体"/>
          <w:sz w:val="32"/>
          <w:szCs w:val="32"/>
          <w:lang w:eastAsia="zh-CN"/>
        </w:rPr>
        <w:t>确保</w:t>
      </w:r>
      <w:r>
        <w:rPr>
          <w:rFonts w:hint="eastAsia" w:ascii="仿宋_GB2312" w:hAnsi="宋体" w:eastAsia="仿宋_GB2312" w:cs="宋体"/>
          <w:sz w:val="32"/>
          <w:szCs w:val="32"/>
        </w:rPr>
        <w:t>全区</w:t>
      </w:r>
      <w:r>
        <w:rPr>
          <w:rFonts w:hint="eastAsia" w:ascii="仿宋_GB2312" w:hAnsi="宋体" w:eastAsia="仿宋_GB2312" w:cs="宋体"/>
          <w:sz w:val="32"/>
          <w:szCs w:val="32"/>
          <w:lang w:val="en-US" w:eastAsia="zh-CN"/>
        </w:rPr>
        <w:t>早稻面积</w:t>
      </w:r>
      <w:r>
        <w:rPr>
          <w:rFonts w:hint="eastAsia" w:ascii="仿宋_GB2312" w:hAnsi="宋体" w:eastAsia="仿宋_GB2312" w:cs="宋体"/>
          <w:sz w:val="32"/>
          <w:szCs w:val="32"/>
          <w:lang w:eastAsia="zh-CN"/>
        </w:rPr>
        <w:t>完成</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万亩</w:t>
      </w:r>
      <w:r>
        <w:rPr>
          <w:rFonts w:hint="eastAsia" w:ascii="仿宋_GB2312" w:hAnsi="宋体" w:eastAsia="仿宋_GB2312" w:cs="宋体"/>
          <w:sz w:val="32"/>
          <w:szCs w:val="32"/>
          <w:lang w:eastAsia="zh-CN"/>
        </w:rPr>
        <w:t>以上</w:t>
      </w:r>
      <w:r>
        <w:rPr>
          <w:rFonts w:hint="eastAsia" w:ascii="仿宋_GB2312" w:hAnsi="宋体" w:eastAsia="仿宋_GB2312" w:cs="宋体"/>
          <w:sz w:val="32"/>
          <w:szCs w:val="32"/>
        </w:rPr>
        <w:t>，大豆面积</w:t>
      </w:r>
      <w:r>
        <w:rPr>
          <w:rFonts w:hint="eastAsia" w:ascii="仿宋_GB2312" w:hAnsi="宋体" w:eastAsia="仿宋_GB2312" w:cs="宋体"/>
          <w:sz w:val="32"/>
          <w:szCs w:val="32"/>
          <w:lang w:eastAsia="zh-CN"/>
        </w:rPr>
        <w:t>完成</w:t>
      </w:r>
      <w:r>
        <w:rPr>
          <w:rFonts w:hint="eastAsia" w:ascii="仿宋_GB2312" w:hAnsi="宋体" w:eastAsia="仿宋_GB2312" w:cs="宋体"/>
          <w:sz w:val="32"/>
          <w:szCs w:val="32"/>
        </w:rPr>
        <w:t>0.3</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万亩</w:t>
      </w:r>
      <w:r>
        <w:rPr>
          <w:rFonts w:hint="eastAsia" w:ascii="仿宋_GB2312" w:hAnsi="宋体" w:eastAsia="仿宋_GB2312" w:cs="宋体"/>
          <w:sz w:val="32"/>
          <w:szCs w:val="32"/>
          <w:lang w:eastAsia="zh-CN"/>
        </w:rPr>
        <w:t>以上</w:t>
      </w:r>
      <w:r>
        <w:rPr>
          <w:rFonts w:hint="eastAsia" w:ascii="仿宋_GB2312" w:hAnsi="宋体" w:eastAsia="仿宋_GB2312" w:cs="宋体"/>
          <w:sz w:val="32"/>
          <w:szCs w:val="32"/>
        </w:rPr>
        <w:t>，粮食播种面积稳定在7.65万亩以上，总产量力争达到5500万斤，（粮食生产目标见附件），</w:t>
      </w:r>
      <w:r>
        <w:rPr>
          <w:rFonts w:hint="eastAsia" w:ascii="仿宋_GB2312" w:hAnsi="仿宋_GB2312" w:eastAsia="仿宋_GB2312" w:cs="仿宋_GB2312"/>
          <w:spacing w:val="0"/>
          <w:sz w:val="32"/>
          <w:szCs w:val="32"/>
          <w:lang w:val="en-US" w:eastAsia="zh-CN"/>
        </w:rPr>
        <w:t>草本油料作物播种面积2.96 万亩以上。要切实做好水稻水田合理匹配，确保早稻等粮食面积有效落实，要充分发掘旱地和非传统耕地潜能，发展“田埂豆”等种植模式，稳定大豆种植面积。持续推进油菜下水田，兼顾芝麻等油料作物，高效开展稻油轮作，巩固油菜扩种成果。</w:t>
      </w:r>
    </w:p>
    <w:p w14:paraId="00B948CD">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val="0"/>
          <w:bCs w:val="0"/>
          <w:spacing w:val="-6"/>
          <w:sz w:val="32"/>
          <w:szCs w:val="32"/>
          <w:lang w:val="en-US" w:eastAsia="zh-CN"/>
        </w:rPr>
      </w:pPr>
      <w:r>
        <w:rPr>
          <w:rFonts w:hint="eastAsia" w:ascii="楷体_GB2312" w:hAnsi="楷体_GB2312" w:eastAsia="楷体_GB2312" w:cs="楷体_GB2312"/>
          <w:b/>
          <w:bCs/>
          <w:spacing w:val="0"/>
          <w:sz w:val="32"/>
          <w:szCs w:val="32"/>
          <w:lang w:eastAsia="zh-CN"/>
        </w:rPr>
        <w:t>（三）促推粮油作物</w:t>
      </w:r>
      <w:r>
        <w:rPr>
          <w:rFonts w:hint="eastAsia" w:ascii="楷体_GB2312" w:hAnsi="楷体_GB2312" w:eastAsia="楷体_GB2312" w:cs="楷体_GB2312"/>
          <w:b/>
          <w:bCs/>
          <w:spacing w:val="0"/>
          <w:sz w:val="32"/>
          <w:szCs w:val="32"/>
          <w:lang w:val="en-US" w:eastAsia="zh-CN"/>
        </w:rPr>
        <w:t>单产提升</w:t>
      </w:r>
      <w:r>
        <w:rPr>
          <w:rFonts w:hint="eastAsia" w:ascii="楷体_GB2312" w:hAnsi="楷体_GB2312" w:eastAsia="楷体_GB2312" w:cs="楷体_GB2312"/>
          <w:b/>
          <w:bCs/>
          <w:spacing w:val="0"/>
          <w:sz w:val="32"/>
          <w:szCs w:val="32"/>
          <w:lang w:eastAsia="zh-CN"/>
        </w:rPr>
        <w:t>。</w:t>
      </w:r>
      <w:r>
        <w:rPr>
          <w:rFonts w:hint="eastAsia" w:ascii="仿宋_GB2312" w:hAnsi="仿宋_GB2312" w:eastAsia="仿宋_GB2312" w:cs="仿宋_GB2312"/>
          <w:b w:val="0"/>
          <w:bCs w:val="0"/>
          <w:sz w:val="32"/>
          <w:szCs w:val="32"/>
          <w:lang w:val="en-US" w:eastAsia="zh-CN"/>
        </w:rPr>
        <w:t>粮食产能提升行动为抓手，聚焦水稻、油菜等重点作物，分品种制定技术方案，推进“五良”系统集成，围绕农业生产环节全要素，耕种管收各环节。培育一批粮油规模种植能手和高产典型，普及推广单</w:t>
      </w:r>
      <w:r>
        <w:rPr>
          <w:rFonts w:hint="eastAsia" w:ascii="仿宋_GB2312" w:hAnsi="仿宋_GB2312" w:eastAsia="仿宋_GB2312" w:cs="仿宋_GB2312"/>
          <w:b w:val="0"/>
          <w:bCs w:val="0"/>
          <w:spacing w:val="-6"/>
          <w:sz w:val="32"/>
          <w:szCs w:val="32"/>
          <w:lang w:val="en-US" w:eastAsia="zh-CN"/>
        </w:rPr>
        <w:t>产提升技术模式，由点到线及面，辐射带动水稻、油菜、芝麻等重点作物区域大面积单产提升。</w:t>
      </w:r>
    </w:p>
    <w:p w14:paraId="31C9348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lang w:eastAsia="zh-CN"/>
        </w:rPr>
        <w:t>二、补短板，强支撑，夯实粮油产业发展根基</w:t>
      </w:r>
    </w:p>
    <w:p w14:paraId="0B2210A2">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bCs/>
          <w:spacing w:val="0"/>
          <w:sz w:val="32"/>
          <w:szCs w:val="32"/>
          <w:lang w:eastAsia="zh-CN"/>
        </w:rPr>
        <w:t>（四）强化耕地保护综合治理。</w:t>
      </w:r>
      <w:r>
        <w:rPr>
          <w:rFonts w:hint="eastAsia" w:ascii="仿宋_GB2312" w:hAnsi="仿宋_GB2312" w:eastAsia="仿宋_GB2312" w:cs="仿宋_GB2312"/>
          <w:spacing w:val="0"/>
          <w:sz w:val="32"/>
          <w:szCs w:val="32"/>
          <w:lang w:val="en-US" w:eastAsia="zh-CN"/>
        </w:rPr>
        <w:t>严格耕地总量管控和占补平衡管理，切实落实补充耕地责任，严守</w:t>
      </w:r>
      <w:r>
        <w:rPr>
          <w:rFonts w:hint="eastAsia" w:ascii="仿宋_GB2312" w:hAnsi="仿宋_GB2312" w:eastAsia="仿宋_GB2312" w:cs="仿宋_GB2312"/>
          <w:spacing w:val="0"/>
          <w:sz w:val="32"/>
          <w:szCs w:val="32"/>
          <w:lang w:eastAsia="zh-CN"/>
        </w:rPr>
        <w:t>耕地保护和永久基本农田保护任务。有序推进撂荒耕地复耕复种和耕地“非粮化”整改复耕，严格落实“大棚房”问题常态化监管，建立健全耕地用途管控监测体系。高质量推进高标准农田建设，抓好高标准农田工程质量和资金安全监管，统筹推进灌区骨干工程与高标准农田灌排体系建设，持续推进农田灌溉“最后一公里”问题整治攻坚行动。加强耕地酸化治理，推广应用种植绿肥、轮作等耕地土壤培肥改良技术，提升耕地质量。</w:t>
      </w:r>
    </w:p>
    <w:p w14:paraId="61ACAE2F">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val="0"/>
          <w:bCs w:val="0"/>
          <w:spacing w:val="0"/>
          <w:sz w:val="32"/>
          <w:szCs w:val="32"/>
          <w:lang w:val="en-US" w:eastAsia="zh-CN"/>
        </w:rPr>
      </w:pPr>
      <w:r>
        <w:rPr>
          <w:rFonts w:hint="eastAsia" w:ascii="楷体_GB2312" w:hAnsi="楷体_GB2312" w:eastAsia="楷体_GB2312" w:cs="楷体_GB2312"/>
          <w:b/>
          <w:bCs/>
          <w:spacing w:val="0"/>
          <w:sz w:val="32"/>
          <w:szCs w:val="32"/>
          <w:lang w:eastAsia="zh-CN"/>
        </w:rPr>
        <w:t>（</w:t>
      </w:r>
      <w:r>
        <w:rPr>
          <w:rFonts w:hint="eastAsia" w:ascii="楷体_GB2312" w:hAnsi="楷体_GB2312" w:eastAsia="楷体_GB2312" w:cs="楷体_GB2312"/>
          <w:b/>
          <w:bCs/>
          <w:spacing w:val="0"/>
          <w:sz w:val="32"/>
          <w:szCs w:val="32"/>
          <w:lang w:val="en-US" w:eastAsia="zh-CN"/>
        </w:rPr>
        <w:t>五</w:t>
      </w:r>
      <w:r>
        <w:rPr>
          <w:rFonts w:hint="eastAsia" w:ascii="楷体_GB2312" w:hAnsi="楷体_GB2312" w:eastAsia="楷体_GB2312" w:cs="楷体_GB2312"/>
          <w:b/>
          <w:bCs/>
          <w:spacing w:val="0"/>
          <w:sz w:val="32"/>
          <w:szCs w:val="32"/>
          <w:lang w:eastAsia="zh-CN"/>
        </w:rPr>
        <w:t>）</w:t>
      </w:r>
      <w:r>
        <w:rPr>
          <w:rFonts w:hint="eastAsia" w:ascii="楷体_GB2312" w:hAnsi="楷体_GB2312" w:eastAsia="楷体_GB2312" w:cs="楷体_GB2312"/>
          <w:b/>
          <w:bCs/>
          <w:spacing w:val="0"/>
          <w:sz w:val="32"/>
          <w:szCs w:val="32"/>
          <w:lang w:val="en-US" w:eastAsia="zh-CN"/>
        </w:rPr>
        <w:t>加强良技良机集成应用。</w:t>
      </w:r>
      <w:r>
        <w:rPr>
          <w:rFonts w:hint="eastAsia" w:ascii="仿宋_GB2312" w:hAnsi="仿宋_GB2312" w:eastAsia="仿宋_GB2312" w:cs="仿宋_GB2312"/>
          <w:spacing w:val="0"/>
          <w:sz w:val="32"/>
          <w:szCs w:val="32"/>
          <w:lang w:val="en-US" w:eastAsia="zh-CN"/>
        </w:rPr>
        <w:t>积极整合技术力量，</w:t>
      </w:r>
      <w:r>
        <w:rPr>
          <w:rFonts w:hint="eastAsia" w:ascii="仿宋_GB2312" w:hAnsi="仿宋_GB2312" w:eastAsia="仿宋_GB2312" w:cs="仿宋_GB2312"/>
          <w:b w:val="0"/>
          <w:bCs w:val="0"/>
          <w:spacing w:val="0"/>
          <w:sz w:val="32"/>
          <w:szCs w:val="32"/>
        </w:rPr>
        <w:t>加快科技成果推广应用，</w:t>
      </w:r>
      <w:r>
        <w:rPr>
          <w:rFonts w:hint="eastAsia" w:ascii="仿宋_GB2312" w:hAnsi="仿宋_GB2312" w:eastAsia="仿宋_GB2312" w:cs="仿宋_GB2312"/>
          <w:b w:val="0"/>
          <w:bCs w:val="0"/>
          <w:spacing w:val="0"/>
          <w:sz w:val="32"/>
          <w:szCs w:val="32"/>
          <w:lang w:eastAsia="zh-CN"/>
        </w:rPr>
        <w:t>集成</w:t>
      </w:r>
      <w:r>
        <w:rPr>
          <w:rFonts w:hint="eastAsia" w:ascii="仿宋_GB2312" w:hAnsi="仿宋_GB2312" w:eastAsia="仿宋_GB2312" w:cs="仿宋_GB2312"/>
          <w:b w:val="0"/>
          <w:bCs w:val="0"/>
          <w:spacing w:val="0"/>
          <w:sz w:val="32"/>
          <w:szCs w:val="32"/>
        </w:rPr>
        <w:t>推广水稻集中育秧、“三控”施肥、“一喷多促”和大豆根瘤菌接种、匀播密植、机耕机播机收以及油菜增密、降损、三沟配套、“一促四防”等绿色高产高效技术。加强粮油作物种质资源收集保护，开展高产优质、广适多抗、宜机专用新品种选育推广。持续实施农机装备补短板行动，加快水稻机插、机抛、机防、机烘等农机化集成应用，集成推广油菜免耕或翻耕“条直播”精量播种机、轻简机型或复式作业移栽机、联合收割机或割晒、捡拾割台分段式收获机等高效适用农机装备，创建一批集农业生产与农机服务于一体的综合农事服务中心。</w:t>
      </w:r>
    </w:p>
    <w:p w14:paraId="01F0F20F">
      <w:pPr>
        <w:keepNext w:val="0"/>
        <w:keepLines w:val="0"/>
        <w:pageBreakBefore w:val="0"/>
        <w:widowControl/>
        <w:kinsoku w:val="0"/>
        <w:wordWrap/>
        <w:overflowPunct/>
        <w:topLinePunct w:val="0"/>
        <w:autoSpaceDE w:val="0"/>
        <w:autoSpaceDN w:val="0"/>
        <w:bidi w:val="0"/>
        <w:adjustRightInd w:val="0"/>
        <w:snapToGrid w:val="0"/>
        <w:spacing w:line="600" w:lineRule="exact"/>
        <w:ind w:firstLine="321" w:firstLineChars="100"/>
        <w:jc w:val="both"/>
        <w:textAlignment w:val="baseline"/>
        <w:rPr>
          <w:rFonts w:hint="eastAsia" w:eastAsia="仿宋_GB2312"/>
          <w:u w:val="single"/>
          <w:lang w:eastAsia="zh-CN"/>
        </w:rPr>
      </w:pPr>
      <w:r>
        <w:rPr>
          <w:rFonts w:hint="eastAsia" w:ascii="仿宋_GB2312" w:hAnsi="仿宋_GB2312" w:eastAsia="仿宋_GB2312" w:cs="仿宋_GB2312"/>
          <w:b/>
          <w:bCs/>
          <w:spacing w:val="0"/>
          <w:sz w:val="32"/>
          <w:szCs w:val="32"/>
          <w:lang w:val="en-US" w:eastAsia="zh-CN"/>
        </w:rPr>
        <w:t xml:space="preserve"> </w:t>
      </w:r>
      <w:r>
        <w:rPr>
          <w:rFonts w:hint="eastAsia" w:ascii="楷体_GB2312" w:hAnsi="楷体_GB2312" w:eastAsia="楷体_GB2312" w:cs="楷体_GB2312"/>
          <w:b w:val="0"/>
          <w:bCs w:val="0"/>
          <w:spacing w:val="0"/>
          <w:sz w:val="32"/>
          <w:szCs w:val="32"/>
          <w:lang w:val="en-US" w:eastAsia="zh-CN"/>
        </w:rPr>
        <w:t xml:space="preserve"> </w:t>
      </w:r>
      <w:r>
        <w:rPr>
          <w:rFonts w:hint="eastAsia" w:ascii="楷体_GB2312" w:hAnsi="楷体_GB2312" w:eastAsia="楷体_GB2312" w:cs="楷体_GB2312"/>
          <w:b/>
          <w:bCs/>
          <w:spacing w:val="0"/>
          <w:sz w:val="32"/>
          <w:szCs w:val="32"/>
          <w:lang w:eastAsia="zh-CN"/>
        </w:rPr>
        <w:t>（</w:t>
      </w:r>
      <w:r>
        <w:rPr>
          <w:rFonts w:hint="eastAsia" w:ascii="楷体_GB2312" w:hAnsi="楷体_GB2312" w:eastAsia="楷体_GB2312" w:cs="楷体_GB2312"/>
          <w:b/>
          <w:bCs/>
          <w:spacing w:val="0"/>
          <w:sz w:val="32"/>
          <w:szCs w:val="32"/>
          <w:lang w:val="en-US" w:eastAsia="zh-CN"/>
        </w:rPr>
        <w:t>六</w:t>
      </w:r>
      <w:r>
        <w:rPr>
          <w:rFonts w:hint="eastAsia" w:ascii="楷体_GB2312" w:hAnsi="楷体_GB2312" w:eastAsia="楷体_GB2312" w:cs="楷体_GB2312"/>
          <w:b/>
          <w:bCs/>
          <w:spacing w:val="0"/>
          <w:sz w:val="32"/>
          <w:szCs w:val="32"/>
          <w:lang w:eastAsia="zh-CN"/>
        </w:rPr>
        <w:t>）创优农业生产科技赋能。</w:t>
      </w:r>
      <w:r>
        <w:rPr>
          <w:rFonts w:hint="eastAsia" w:ascii="仿宋_GB2312" w:hAnsi="仿宋_GB2312" w:eastAsia="仿宋_GB2312" w:cs="仿宋_GB2312"/>
          <w:b w:val="0"/>
          <w:bCs w:val="0"/>
          <w:spacing w:val="0"/>
          <w:sz w:val="32"/>
          <w:szCs w:val="32"/>
          <w:lang w:eastAsia="zh-CN"/>
        </w:rPr>
        <w:t>大力发展农业新质生产力，</w:t>
      </w:r>
      <w:r>
        <w:rPr>
          <w:rFonts w:hint="eastAsia" w:ascii="仿宋_GB2312" w:hAnsi="仿宋_GB2312" w:eastAsia="仿宋_GB2312" w:cs="仿宋_GB2312"/>
          <w:b w:val="0"/>
          <w:bCs w:val="0"/>
          <w:spacing w:val="0"/>
          <w:sz w:val="32"/>
          <w:szCs w:val="32"/>
          <w:lang w:val="en-US" w:eastAsia="zh-CN"/>
        </w:rPr>
        <w:t>加</w:t>
      </w:r>
      <w:r>
        <w:rPr>
          <w:rFonts w:hint="eastAsia" w:ascii="仿宋_GB2312" w:hAnsi="仿宋_GB2312" w:eastAsia="仿宋_GB2312" w:cs="仿宋_GB2312"/>
          <w:b w:val="0"/>
          <w:bCs w:val="0"/>
          <w:kern w:val="0"/>
          <w:sz w:val="32"/>
          <w:szCs w:val="32"/>
          <w:lang w:val="en-US" w:eastAsia="zh-CN" w:bidi="ar"/>
        </w:rPr>
        <w:t>强农业技术创新，提升粮油生产效率。引入现代管理理念和方法，创新农业组织形式，推动粮油生产规模化、专业化和市场化。推广秸秆还田等措施，促进资源的循环利用，减少农药化肥的使用，推动粮油生产绿色转型。</w:t>
      </w:r>
    </w:p>
    <w:p w14:paraId="2BA510B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600" w:lineRule="exact"/>
        <w:ind w:firstLine="643" w:firstLineChars="200"/>
        <w:jc w:val="both"/>
        <w:textAlignment w:val="baseline"/>
        <w:rPr>
          <w:rFonts w:hint="eastAsia" w:ascii="仿宋_GB2312" w:hAnsi="仿宋_GB2312" w:eastAsia="仿宋_GB2312" w:cs="仿宋_GB2312"/>
          <w:color w:val="000000"/>
          <w:spacing w:val="0"/>
          <w:sz w:val="32"/>
          <w:szCs w:val="32"/>
          <w:lang w:eastAsia="zh-CN"/>
        </w:rPr>
      </w:pPr>
      <w:r>
        <w:rPr>
          <w:rFonts w:hint="eastAsia" w:ascii="楷体_GB2312" w:hAnsi="楷体_GB2312" w:eastAsia="楷体_GB2312" w:cs="楷体_GB2312"/>
          <w:b/>
          <w:bCs/>
          <w:spacing w:val="0"/>
          <w:kern w:val="2"/>
          <w:sz w:val="32"/>
          <w:szCs w:val="32"/>
          <w:lang w:val="en-US" w:eastAsia="zh-CN" w:bidi="ar-SA"/>
        </w:rPr>
        <w:t>（七）培植粮食产业市场优势。</w:t>
      </w:r>
      <w:r>
        <w:rPr>
          <w:rFonts w:hint="eastAsia" w:ascii="仿宋_GB2312" w:hAnsi="仿宋_GB2312" w:eastAsia="仿宋_GB2312" w:cs="仿宋_GB2312"/>
          <w:color w:val="000000"/>
          <w:spacing w:val="0"/>
          <w:sz w:val="32"/>
          <w:szCs w:val="32"/>
          <w:lang w:eastAsia="zh-CN"/>
        </w:rPr>
        <w:t>加大龙头企业、农民合作社、家庭农场、专业大户等新型经营主体培育力度，推动发展多种形式的粮油作物适度规模经营。支持各有关主体发展统防统治、机耕机收、集中烘干等生产性服务，提高粮油生产社会化服务水平。打造一批优质粮油生产基地，发展“订单化”生产，立足我区农业生产及生态资源优势，培育如“浮香一号”大米等地方优势品牌。坚持做好“外引内培”文章，积极争取粮油精深加工头部企业进驻，支持做大做强本土企业。加大稻米、油料品牌宣传和营销，参与各类农产品展销、电商、大型商超对接活动，提升市场占有率。</w:t>
      </w:r>
    </w:p>
    <w:p w14:paraId="056E057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lang w:eastAsia="zh-CN"/>
        </w:rPr>
      </w:pPr>
      <w:r>
        <w:rPr>
          <w:rFonts w:hint="eastAsia" w:ascii="黑体" w:hAnsi="黑体" w:eastAsia="黑体" w:cs="黑体"/>
          <w:b w:val="0"/>
          <w:bCs w:val="0"/>
          <w:spacing w:val="0"/>
          <w:sz w:val="32"/>
          <w:szCs w:val="32"/>
          <w:lang w:eastAsia="zh-CN"/>
        </w:rPr>
        <w:t>三、优机制，聚合力，助力粮油生产再创佳绩</w:t>
      </w:r>
    </w:p>
    <w:p w14:paraId="7957754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600" w:lineRule="exact"/>
        <w:ind w:firstLine="643" w:firstLineChars="200"/>
        <w:jc w:val="both"/>
        <w:textAlignment w:val="baseline"/>
        <w:rPr>
          <w:rFonts w:hint="eastAsia" w:ascii="楷体_GB2312" w:hAnsi="楷体_GB2312" w:eastAsia="楷体_GB2312" w:cs="楷体_GB2312"/>
          <w:b w:val="0"/>
          <w:bCs w:val="0"/>
          <w:snapToGrid w:val="0"/>
          <w:color w:val="000000"/>
          <w:spacing w:val="0"/>
          <w:kern w:val="0"/>
          <w:sz w:val="32"/>
          <w:szCs w:val="32"/>
          <w:lang w:eastAsia="zh-CN"/>
        </w:rPr>
      </w:pPr>
      <w:r>
        <w:rPr>
          <w:rFonts w:hint="eastAsia" w:ascii="楷体_GB2312" w:hAnsi="楷体_GB2312" w:eastAsia="楷体_GB2312" w:cs="楷体_GB2312"/>
          <w:b/>
          <w:bCs/>
          <w:spacing w:val="0"/>
          <w:kern w:val="2"/>
          <w:sz w:val="32"/>
          <w:szCs w:val="32"/>
          <w:lang w:val="en-US" w:eastAsia="zh-CN" w:bidi="ar-SA"/>
        </w:rPr>
        <w:t>（八）落实粮油生产扶持政策。</w:t>
      </w:r>
      <w:r>
        <w:rPr>
          <w:rFonts w:hint="eastAsia" w:ascii="仿宋_GB2312" w:hAnsi="仿宋_GB2312" w:eastAsia="仿宋_GB2312" w:cs="仿宋_GB2312"/>
          <w:b w:val="0"/>
          <w:bCs w:val="0"/>
          <w:snapToGrid w:val="0"/>
          <w:color w:val="000000"/>
          <w:kern w:val="0"/>
          <w:sz w:val="32"/>
          <w:szCs w:val="32"/>
          <w:lang w:val="en-US" w:eastAsia="zh-CN" w:bidi="ar"/>
        </w:rPr>
        <w:t>优化耕地地力保护补贴发放机制，对撂荒一年以上的主体取消次年补贴资格。落实稻谷补贴等政策。落实水稻完全成本保险政策，进一步优化保险理赔机制。落实设施农业用地政策，保障种粮经营主体仓储烘干、农机库棚等用地需求。切实做好种子、农药、肥料等重要农资市场供需调度、价格监测、商业化储备和执法监管等工作，为农业生产保驾护航。</w:t>
      </w:r>
    </w:p>
    <w:p w14:paraId="3DB311A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600" w:lineRule="exact"/>
        <w:ind w:firstLine="643" w:firstLineChars="200"/>
        <w:jc w:val="both"/>
        <w:textAlignment w:val="baseline"/>
        <w:rPr>
          <w:rFonts w:hint="eastAsia" w:ascii="仿宋_GB2312" w:hAnsi="仿宋_GB2312" w:eastAsia="仿宋_GB2312" w:cs="仿宋_GB2312"/>
          <w:b w:val="0"/>
          <w:bCs w:val="0"/>
          <w:snapToGrid w:val="0"/>
          <w:color w:val="000000"/>
          <w:kern w:val="0"/>
          <w:sz w:val="32"/>
          <w:szCs w:val="32"/>
          <w:lang w:val="en-US" w:eastAsia="zh-CN" w:bidi="ar"/>
        </w:rPr>
      </w:pPr>
      <w:r>
        <w:rPr>
          <w:rFonts w:hint="eastAsia" w:ascii="楷体_GB2312" w:hAnsi="楷体_GB2312" w:eastAsia="楷体_GB2312" w:cs="楷体_GB2312"/>
          <w:b/>
          <w:bCs/>
          <w:spacing w:val="0"/>
          <w:kern w:val="2"/>
          <w:sz w:val="32"/>
          <w:szCs w:val="32"/>
          <w:lang w:val="en-US" w:eastAsia="zh-CN" w:bidi="ar-SA"/>
        </w:rPr>
        <w:t>（九）健全减损降耗长效机制。</w:t>
      </w:r>
      <w:r>
        <w:rPr>
          <w:rFonts w:hint="eastAsia" w:ascii="仿宋_GB2312" w:hAnsi="仿宋_GB2312" w:eastAsia="仿宋_GB2312" w:cs="仿宋_GB2312"/>
          <w:b w:val="0"/>
          <w:bCs w:val="0"/>
          <w:snapToGrid w:val="0"/>
          <w:color w:val="000000"/>
          <w:kern w:val="0"/>
          <w:sz w:val="32"/>
          <w:szCs w:val="32"/>
          <w:lang w:val="en-US" w:eastAsia="zh-CN" w:bidi="ar"/>
        </w:rPr>
        <w:t>强化粮食机收减损宣传推广、技术指导和监测巡查，强化机收作业质量标准、技术规范和减损措施。减少粮食存储损失损耗，推动政策性粮油仓储企业规范化管理，提升粮油仓储设施储粮功效。加强粮食运输减损，持续推进粮食“散改集”，发展粮食多式联运，探索应用粮食高效减损物流模式。减少粮食加工损失，引导粮食适度加工，持续推进豆粕减量替代行动，促进粮食高效利用。建立健全粮食损失损耗调查制度，构建覆盖粮食生产、储存、运输、加工和消费各环节的监测和评估机制。</w:t>
      </w:r>
    </w:p>
    <w:p w14:paraId="46FEF49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600" w:lineRule="exact"/>
        <w:ind w:firstLine="643" w:firstLineChars="200"/>
        <w:jc w:val="both"/>
        <w:textAlignment w:val="baseline"/>
        <w:rPr>
          <w:rFonts w:hint="eastAsia" w:ascii="仿宋_GB2312" w:hAnsi="仿宋_GB2312" w:eastAsia="仿宋_GB2312" w:cs="仿宋_GB2312"/>
          <w:spacing w:val="0"/>
          <w:sz w:val="32"/>
          <w:szCs w:val="32"/>
          <w:lang w:eastAsia="zh-CN"/>
        </w:rPr>
      </w:pPr>
      <w:r>
        <w:rPr>
          <w:rFonts w:hint="eastAsia" w:ascii="楷体_GB2312" w:hAnsi="楷体_GB2312" w:eastAsia="楷体_GB2312" w:cs="楷体_GB2312"/>
          <w:b/>
          <w:bCs/>
          <w:spacing w:val="0"/>
          <w:kern w:val="2"/>
          <w:sz w:val="32"/>
          <w:szCs w:val="32"/>
          <w:lang w:val="en-US" w:eastAsia="zh-CN" w:bidi="ar-SA"/>
        </w:rPr>
        <w:t>（十）加强防灾减灾能力建设。</w:t>
      </w:r>
      <w:r>
        <w:rPr>
          <w:rFonts w:hint="eastAsia" w:ascii="仿宋_GB2312" w:hAnsi="仿宋_GB2312" w:eastAsia="仿宋_GB2312" w:cs="仿宋_GB2312"/>
          <w:b w:val="0"/>
          <w:bCs w:val="0"/>
          <w:spacing w:val="0"/>
          <w:kern w:val="2"/>
          <w:sz w:val="32"/>
          <w:szCs w:val="32"/>
          <w:lang w:val="en-US" w:eastAsia="zh-CN" w:bidi="ar-SA"/>
        </w:rPr>
        <w:t>强</w:t>
      </w:r>
      <w:r>
        <w:rPr>
          <w:rFonts w:hint="eastAsia" w:ascii="仿宋_GB2312" w:hAnsi="仿宋_GB2312" w:eastAsia="仿宋_GB2312" w:cs="仿宋_GB2312"/>
          <w:b w:val="0"/>
          <w:bCs w:val="0"/>
          <w:spacing w:val="0"/>
          <w:sz w:val="32"/>
          <w:szCs w:val="32"/>
        </w:rPr>
        <w:t>化</w:t>
      </w:r>
      <w:r>
        <w:rPr>
          <w:rFonts w:hint="eastAsia" w:ascii="仿宋_GB2312" w:hAnsi="仿宋_GB2312" w:eastAsia="仿宋_GB2312" w:cs="仿宋_GB2312"/>
          <w:spacing w:val="0"/>
          <w:sz w:val="32"/>
          <w:szCs w:val="32"/>
          <w:lang w:eastAsia="zh-CN"/>
        </w:rPr>
        <w:t>同气象、水利、应急等</w:t>
      </w:r>
      <w:r>
        <w:rPr>
          <w:rFonts w:hint="eastAsia" w:ascii="仿宋_GB2312" w:hAnsi="仿宋_GB2312" w:eastAsia="仿宋_GB2312" w:cs="仿宋_GB2312"/>
          <w:spacing w:val="0"/>
          <w:sz w:val="32"/>
          <w:szCs w:val="32"/>
        </w:rPr>
        <w:t>部门</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rPr>
        <w:t>沟通会商，健全防灾减灾预警机制。加强自然灾害监测，及时发布预警信息，制定工作预案和技术方案，落实防灾减灾等关键措施，推进科学防灾减灾</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最大限度降低灾害损失</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要</w:t>
      </w:r>
      <w:r>
        <w:rPr>
          <w:rFonts w:hint="eastAsia" w:ascii="仿宋_GB2312" w:hAnsi="仿宋_GB2312" w:eastAsia="仿宋_GB2312" w:cs="仿宋_GB2312"/>
          <w:spacing w:val="0"/>
          <w:sz w:val="32"/>
          <w:szCs w:val="32"/>
          <w:lang w:eastAsia="zh-CN"/>
        </w:rPr>
        <w:t>加强</w:t>
      </w:r>
      <w:r>
        <w:rPr>
          <w:rFonts w:hint="eastAsia" w:ascii="仿宋_GB2312" w:hAnsi="仿宋_GB2312" w:eastAsia="仿宋_GB2312" w:cs="仿宋_GB2312"/>
          <w:spacing w:val="0"/>
          <w:sz w:val="32"/>
          <w:szCs w:val="32"/>
        </w:rPr>
        <w:t>农作物病虫害防控</w:t>
      </w:r>
      <w:r>
        <w:rPr>
          <w:rFonts w:hint="eastAsia" w:ascii="仿宋_GB2312" w:hAnsi="仿宋_GB2312" w:eastAsia="仿宋_GB2312" w:cs="仿宋_GB2312"/>
          <w:spacing w:val="0"/>
          <w:sz w:val="32"/>
          <w:szCs w:val="32"/>
          <w:lang w:eastAsia="zh-CN"/>
        </w:rPr>
        <w:t>体系建设</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支持</w:t>
      </w:r>
      <w:r>
        <w:rPr>
          <w:rFonts w:hint="eastAsia" w:ascii="仿宋_GB2312" w:hAnsi="仿宋_GB2312" w:eastAsia="仿宋_GB2312" w:cs="仿宋_GB2312"/>
          <w:spacing w:val="0"/>
          <w:sz w:val="32"/>
          <w:szCs w:val="32"/>
        </w:rPr>
        <w:t>专业化防治队伍</w:t>
      </w:r>
      <w:r>
        <w:rPr>
          <w:rFonts w:hint="eastAsia" w:ascii="仿宋_GB2312" w:hAnsi="仿宋_GB2312" w:eastAsia="仿宋_GB2312" w:cs="仿宋_GB2312"/>
          <w:spacing w:val="0"/>
          <w:sz w:val="32"/>
          <w:szCs w:val="32"/>
          <w:lang w:eastAsia="zh-CN"/>
        </w:rPr>
        <w:t>发展壮大</w:t>
      </w:r>
      <w:r>
        <w:rPr>
          <w:rFonts w:hint="eastAsia" w:ascii="仿宋_GB2312" w:hAnsi="仿宋_GB2312" w:eastAsia="仿宋_GB2312" w:cs="仿宋_GB2312"/>
          <w:spacing w:val="0"/>
          <w:sz w:val="32"/>
          <w:szCs w:val="32"/>
        </w:rPr>
        <w:t>，统筹推进联防联控、统防统治和应急防治。加强中小型水库除险加固，及时消除水库安全隐患，增强现有水库抗灾保粮能力。加强水利工程设施调度，发挥水利工程设施调蓄功能，努力实现平急水需求相配。</w:t>
      </w:r>
    </w:p>
    <w:p w14:paraId="63DCC7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b/>
          <w:bCs/>
          <w:spacing w:val="0"/>
          <w:sz w:val="32"/>
          <w:szCs w:val="32"/>
          <w:lang w:eastAsia="zh-CN"/>
        </w:rPr>
        <w:t>（十</w:t>
      </w:r>
      <w:r>
        <w:rPr>
          <w:rFonts w:hint="eastAsia" w:ascii="楷体_GB2312" w:hAnsi="楷体_GB2312" w:eastAsia="楷体_GB2312" w:cs="楷体_GB2312"/>
          <w:b/>
          <w:bCs/>
          <w:spacing w:val="0"/>
          <w:sz w:val="32"/>
          <w:szCs w:val="32"/>
          <w:lang w:val="en-US" w:eastAsia="zh-CN"/>
        </w:rPr>
        <w:t>一</w:t>
      </w:r>
      <w:r>
        <w:rPr>
          <w:rFonts w:hint="eastAsia" w:ascii="楷体_GB2312" w:hAnsi="楷体_GB2312" w:eastAsia="楷体_GB2312" w:cs="楷体_GB2312"/>
          <w:b/>
          <w:bCs/>
          <w:spacing w:val="0"/>
          <w:sz w:val="32"/>
          <w:szCs w:val="32"/>
          <w:lang w:eastAsia="zh-CN"/>
        </w:rPr>
        <w:t>）完善粮油生产工作机制。</w:t>
      </w:r>
      <w:r>
        <w:rPr>
          <w:rFonts w:hint="eastAsia" w:ascii="仿宋_GB2312" w:eastAsia="仿宋_GB2312"/>
          <w:sz w:val="32"/>
          <w:szCs w:val="32"/>
        </w:rPr>
        <w:t>各乡（镇）街道</w:t>
      </w:r>
      <w:r>
        <w:rPr>
          <w:rFonts w:hint="eastAsia" w:ascii="仿宋_GB2312" w:hAnsi="仿宋_GB2312" w:eastAsia="仿宋_GB2312" w:cs="仿宋_GB2312"/>
          <w:snapToGrid w:val="0"/>
          <w:color w:val="000000"/>
          <w:spacing w:val="0"/>
          <w:kern w:val="0"/>
          <w:sz w:val="32"/>
          <w:szCs w:val="32"/>
          <w:lang w:eastAsia="zh-CN"/>
        </w:rPr>
        <w:t>要</w:t>
      </w:r>
      <w:r>
        <w:rPr>
          <w:rFonts w:hint="eastAsia" w:ascii="仿宋_GB2312" w:hAnsi="仿宋_GB2312" w:eastAsia="仿宋_GB2312" w:cs="仿宋_GB2312"/>
          <w:spacing w:val="0"/>
          <w:sz w:val="32"/>
          <w:szCs w:val="32"/>
          <w:lang w:eastAsia="zh-CN"/>
        </w:rPr>
        <w:t>认真落实区委、区政府对粮油生产的工作要求，全力支持和配合区</w:t>
      </w:r>
      <w:r>
        <w:rPr>
          <w:rFonts w:hint="eastAsia" w:ascii="仿宋_GB2312" w:hAnsi="仿宋_GB2312" w:eastAsia="仿宋_GB2312" w:cs="仿宋_GB2312"/>
          <w:spacing w:val="0"/>
          <w:sz w:val="32"/>
          <w:szCs w:val="32"/>
          <w:lang w:val="en-US" w:eastAsia="zh-CN"/>
        </w:rPr>
        <w:t>级</w:t>
      </w:r>
      <w:r>
        <w:rPr>
          <w:rFonts w:hint="eastAsia" w:ascii="仿宋_GB2312" w:hAnsi="仿宋_GB2312" w:eastAsia="仿宋_GB2312" w:cs="仿宋_GB2312"/>
          <w:spacing w:val="0"/>
          <w:sz w:val="32"/>
          <w:szCs w:val="32"/>
          <w:lang w:eastAsia="zh-CN"/>
        </w:rPr>
        <w:t>指导组开展工作，抓实抓细各项工作举措，压紧压实工作责任</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区级粮食油料作物生产指导服务组要结合农时分区域开展粮油生产指导服务工作，保障粮油生产压茬稳步推进。</w:t>
      </w:r>
      <w:r>
        <w:rPr>
          <w:rFonts w:hint="eastAsia" w:ascii="仿宋_GB2312" w:eastAsia="仿宋_GB2312"/>
          <w:sz w:val="32"/>
          <w:szCs w:val="32"/>
        </w:rPr>
        <w:t>各乡（镇）街道</w:t>
      </w:r>
      <w:r>
        <w:rPr>
          <w:rFonts w:hint="eastAsia" w:ascii="仿宋_GB2312" w:hAnsi="仿宋_GB2312" w:eastAsia="仿宋_GB2312" w:cs="仿宋_GB2312"/>
          <w:spacing w:val="0"/>
          <w:sz w:val="32"/>
          <w:szCs w:val="32"/>
          <w:lang w:val="en-US" w:eastAsia="zh-CN"/>
        </w:rPr>
        <w:t>农业农村、</w:t>
      </w:r>
      <w:r>
        <w:rPr>
          <w:rFonts w:hint="eastAsia" w:ascii="仿宋_GB2312" w:hAnsi="仿宋_GB2312" w:eastAsia="仿宋_GB2312" w:cs="仿宋_GB2312"/>
          <w:spacing w:val="0"/>
          <w:sz w:val="32"/>
          <w:szCs w:val="32"/>
          <w:lang w:eastAsia="zh-CN"/>
        </w:rPr>
        <w:t>统计部门要加强沟通联系，相互协作，做好粮油生产形势分析和相关佐证资料的收集整理，做到统有所依、应统尽统。</w:t>
      </w:r>
    </w:p>
    <w:p w14:paraId="47235EC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p>
    <w:p w14:paraId="492B8A6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附件</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eastAsia="zh-CN"/>
        </w:rPr>
        <w:t>昌江区</w:t>
      </w: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年粮</w:t>
      </w:r>
      <w:r>
        <w:rPr>
          <w:rFonts w:hint="eastAsia" w:ascii="仿宋_GB2312" w:hAnsi="仿宋_GB2312" w:eastAsia="仿宋_GB2312" w:cs="仿宋_GB2312"/>
          <w:spacing w:val="0"/>
          <w:sz w:val="32"/>
          <w:szCs w:val="32"/>
          <w:lang w:eastAsia="zh-CN"/>
        </w:rPr>
        <w:t>食</w:t>
      </w:r>
      <w:r>
        <w:rPr>
          <w:rFonts w:hint="eastAsia" w:ascii="仿宋_GB2312" w:hAnsi="仿宋_GB2312" w:eastAsia="仿宋_GB2312" w:cs="仿宋_GB2312"/>
          <w:spacing w:val="0"/>
          <w:sz w:val="32"/>
          <w:szCs w:val="32"/>
        </w:rPr>
        <w:t>生产目标任务安排表</w:t>
      </w:r>
    </w:p>
    <w:p w14:paraId="340299ED">
      <w:pPr>
        <w:keepNext w:val="0"/>
        <w:keepLines w:val="0"/>
        <w:pageBreakBefore w:val="0"/>
        <w:widowControl/>
        <w:wordWrap/>
        <w:overflowPunct/>
        <w:topLinePunct w:val="0"/>
        <w:bidi w:val="0"/>
        <w:spacing w:line="600" w:lineRule="exact"/>
        <w:jc w:val="left"/>
        <w:rPr>
          <w:rFonts w:hint="eastAsia" w:ascii="仿宋_GB2312" w:hAnsi="仿宋_GB2312" w:eastAsia="仿宋_GB2312" w:cs="仿宋_GB2312"/>
          <w:color w:val="000000"/>
          <w:kern w:val="0"/>
          <w:sz w:val="32"/>
          <w:szCs w:val="32"/>
          <w:lang w:bidi="ar"/>
        </w:rPr>
      </w:pPr>
    </w:p>
    <w:p w14:paraId="0061E067">
      <w:pPr>
        <w:keepNext w:val="0"/>
        <w:keepLines w:val="0"/>
        <w:pageBreakBefore w:val="0"/>
        <w:widowControl/>
        <w:wordWrap/>
        <w:overflowPunct/>
        <w:topLinePunct w:val="0"/>
        <w:bidi w:val="0"/>
        <w:spacing w:line="600" w:lineRule="exact"/>
        <w:jc w:val="left"/>
        <w:rPr>
          <w:rFonts w:hint="eastAsia" w:ascii="仿宋_GB2312" w:hAnsi="仿宋_GB2312" w:eastAsia="仿宋_GB2312" w:cs="仿宋_GB2312"/>
          <w:color w:val="000000"/>
          <w:kern w:val="0"/>
          <w:sz w:val="32"/>
          <w:szCs w:val="32"/>
          <w:lang w:bidi="ar"/>
        </w:rPr>
      </w:pPr>
    </w:p>
    <w:p w14:paraId="6FBF16A7">
      <w:pPr>
        <w:keepNext w:val="0"/>
        <w:keepLines w:val="0"/>
        <w:pageBreakBefore w:val="0"/>
        <w:widowControl/>
        <w:wordWrap/>
        <w:overflowPunct/>
        <w:topLinePunct w:val="0"/>
        <w:bidi w:val="0"/>
        <w:spacing w:line="600" w:lineRule="exact"/>
        <w:jc w:val="left"/>
        <w:rPr>
          <w:rFonts w:hint="eastAsia" w:ascii="仿宋_GB2312" w:hAnsi="仿宋_GB2312" w:eastAsia="仿宋_GB2312" w:cs="仿宋_GB2312"/>
          <w:color w:val="000000"/>
          <w:kern w:val="0"/>
          <w:sz w:val="32"/>
          <w:szCs w:val="32"/>
          <w:lang w:bidi="ar"/>
        </w:rPr>
      </w:pPr>
    </w:p>
    <w:p w14:paraId="04FF5D2F">
      <w:pPr>
        <w:keepNext w:val="0"/>
        <w:keepLines w:val="0"/>
        <w:pageBreakBefore w:val="0"/>
        <w:widowControl/>
        <w:wordWrap/>
        <w:overflowPunct/>
        <w:topLinePunct w:val="0"/>
        <w:bidi w:val="0"/>
        <w:spacing w:line="600" w:lineRule="exact"/>
        <w:ind w:firstLine="640" w:firstLineChars="200"/>
        <w:jc w:val="left"/>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昌江区</w:t>
      </w:r>
      <w:r>
        <w:rPr>
          <w:rFonts w:hint="eastAsia" w:ascii="仿宋_GB2312" w:hAnsi="仿宋_GB2312" w:eastAsia="仿宋_GB2312" w:cs="仿宋_GB2312"/>
          <w:color w:val="000000"/>
          <w:kern w:val="0"/>
          <w:sz w:val="32"/>
          <w:szCs w:val="32"/>
          <w:lang w:val="en-US" w:eastAsia="zh-CN" w:bidi="ar"/>
        </w:rPr>
        <w:t>人民政府办公室</w:t>
      </w:r>
    </w:p>
    <w:p w14:paraId="0CAD93BB">
      <w:pPr>
        <w:keepNext w:val="0"/>
        <w:keepLines w:val="0"/>
        <w:pageBreakBefore w:val="0"/>
        <w:widowControl/>
        <w:wordWrap/>
        <w:overflowPunct/>
        <w:topLinePunct w:val="0"/>
        <w:bidi w:val="0"/>
        <w:spacing w:line="600" w:lineRule="exact"/>
        <w:ind w:firstLine="5280" w:firstLineChars="165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202</w:t>
      </w: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bidi="ar"/>
        </w:rPr>
        <w:t>年</w:t>
      </w:r>
      <w:r>
        <w:rPr>
          <w:rFonts w:hint="eastAsia" w:ascii="仿宋_GB2312" w:hAnsi="仿宋_GB2312" w:eastAsia="仿宋_GB2312" w:cs="仿宋_GB2312"/>
          <w:color w:val="000000"/>
          <w:kern w:val="0"/>
          <w:sz w:val="32"/>
          <w:szCs w:val="32"/>
          <w:lang w:val="en-US" w:eastAsia="zh-CN" w:bidi="ar"/>
        </w:rPr>
        <w:t>4月28日</w:t>
      </w:r>
    </w:p>
    <w:p w14:paraId="4DFC7FFD">
      <w:pPr>
        <w:widowControl/>
        <w:ind w:firstLine="4640" w:firstLineChars="1450"/>
        <w:jc w:val="left"/>
        <w:rPr>
          <w:rFonts w:hint="eastAsia" w:ascii="仿宋_GB2312" w:hAnsi="仿宋_GB2312" w:eastAsia="仿宋_GB2312" w:cs="仿宋_GB2312"/>
          <w:color w:val="000000"/>
          <w:kern w:val="0"/>
          <w:sz w:val="32"/>
          <w:szCs w:val="32"/>
          <w:lang w:bidi="ar"/>
        </w:rPr>
      </w:pPr>
    </w:p>
    <w:p w14:paraId="4A863FC2">
      <w:pPr>
        <w:widowControl/>
        <w:ind w:firstLine="4640" w:firstLineChars="1450"/>
        <w:jc w:val="left"/>
        <w:rPr>
          <w:rFonts w:hint="eastAsia" w:ascii="仿宋_GB2312" w:hAnsi="仿宋_GB2312" w:eastAsia="仿宋_GB2312" w:cs="仿宋_GB2312"/>
          <w:color w:val="000000"/>
          <w:kern w:val="0"/>
          <w:sz w:val="32"/>
          <w:szCs w:val="32"/>
          <w:lang w:bidi="ar"/>
        </w:rPr>
      </w:pPr>
    </w:p>
    <w:p w14:paraId="113B6B49">
      <w:pPr>
        <w:widowControl/>
        <w:ind w:firstLine="4640" w:firstLineChars="1450"/>
        <w:jc w:val="left"/>
        <w:rPr>
          <w:rFonts w:hint="eastAsia" w:ascii="仿宋_GB2312" w:hAnsi="仿宋_GB2312" w:eastAsia="仿宋_GB2312" w:cs="仿宋_GB2312"/>
          <w:color w:val="000000"/>
          <w:kern w:val="0"/>
          <w:sz w:val="32"/>
          <w:szCs w:val="32"/>
          <w:lang w:bidi="ar"/>
        </w:rPr>
      </w:pPr>
    </w:p>
    <w:p w14:paraId="3E63D50A">
      <w:pPr>
        <w:widowControl/>
        <w:jc w:val="left"/>
        <w:rPr>
          <w:rFonts w:hint="eastAsia" w:ascii="仿宋_GB2312" w:hAnsi="仿宋_GB2312" w:eastAsia="仿宋_GB2312" w:cs="仿宋_GB2312"/>
          <w:color w:val="000000"/>
          <w:kern w:val="0"/>
          <w:sz w:val="32"/>
          <w:szCs w:val="32"/>
          <w:lang w:bidi="ar"/>
        </w:rPr>
      </w:pPr>
    </w:p>
    <w:p w14:paraId="15A91156">
      <w:pPr>
        <w:widowControl/>
        <w:jc w:val="left"/>
        <w:rPr>
          <w:rFonts w:hint="eastAsia" w:ascii="仿宋_GB2312" w:hAnsi="仿宋_GB2312" w:eastAsia="仿宋_GB2312" w:cs="仿宋_GB2312"/>
          <w:color w:val="000000"/>
          <w:kern w:val="0"/>
          <w:sz w:val="32"/>
          <w:szCs w:val="32"/>
          <w:lang w:bidi="ar"/>
        </w:rPr>
      </w:pPr>
    </w:p>
    <w:p w14:paraId="2E27B47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0E21C60">
      <w:pPr>
        <w:rPr>
          <w:rFonts w:hint="eastAsia" w:ascii="黑体" w:hAnsi="黑体" w:eastAsia="黑体" w:cs="黑体"/>
          <w:sz w:val="32"/>
          <w:szCs w:val="32"/>
          <w:lang w:val="en-US" w:eastAsia="zh-CN"/>
        </w:rPr>
      </w:pPr>
    </w:p>
    <w:p w14:paraId="7D866076">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昌江区2025年粮食油料生产目标任务表</w:t>
      </w:r>
    </w:p>
    <w:p w14:paraId="721643F0">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单位：万亩、万斤</w:t>
      </w:r>
    </w:p>
    <w:tbl>
      <w:tblPr>
        <w:tblStyle w:val="7"/>
        <w:tblpPr w:leftFromText="180" w:rightFromText="180" w:vertAnchor="text" w:horzAnchor="page" w:tblpX="1515" w:tblpY="57"/>
        <w:tblOverlap w:val="never"/>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022"/>
        <w:gridCol w:w="919"/>
        <w:gridCol w:w="938"/>
        <w:gridCol w:w="912"/>
        <w:gridCol w:w="888"/>
        <w:gridCol w:w="950"/>
        <w:gridCol w:w="975"/>
        <w:gridCol w:w="1005"/>
      </w:tblGrid>
      <w:tr w14:paraId="413F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29" w:type="dxa"/>
            <w:vMerge w:val="restart"/>
            <w:vAlign w:val="center"/>
          </w:tcPr>
          <w:p w14:paraId="6628192D">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乡镇  （街道）</w:t>
            </w:r>
          </w:p>
        </w:tc>
        <w:tc>
          <w:tcPr>
            <w:tcW w:w="5629" w:type="dxa"/>
            <w:gridSpan w:val="6"/>
            <w:vAlign w:val="center"/>
          </w:tcPr>
          <w:p w14:paraId="2D2E46B0">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粮食作物</w:t>
            </w:r>
          </w:p>
        </w:tc>
        <w:tc>
          <w:tcPr>
            <w:tcW w:w="1980" w:type="dxa"/>
            <w:gridSpan w:val="2"/>
            <w:vAlign w:val="center"/>
          </w:tcPr>
          <w:p w14:paraId="74005B28">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油料作物</w:t>
            </w:r>
          </w:p>
        </w:tc>
      </w:tr>
      <w:tr w14:paraId="6E53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29" w:type="dxa"/>
            <w:vMerge w:val="continue"/>
            <w:vAlign w:val="center"/>
          </w:tcPr>
          <w:p w14:paraId="3BA93B5E">
            <w:pPr>
              <w:jc w:val="center"/>
              <w:rPr>
                <w:rFonts w:hint="eastAsia" w:ascii="黑体" w:hAnsi="黑体" w:eastAsia="黑体" w:cs="黑体"/>
                <w:b w:val="0"/>
                <w:bCs w:val="0"/>
                <w:sz w:val="30"/>
                <w:szCs w:val="30"/>
                <w:vertAlign w:val="baseline"/>
                <w:lang w:val="en-US" w:eastAsia="zh-CN"/>
              </w:rPr>
            </w:pPr>
          </w:p>
        </w:tc>
        <w:tc>
          <w:tcPr>
            <w:tcW w:w="1022" w:type="dxa"/>
            <w:vAlign w:val="center"/>
          </w:tcPr>
          <w:p w14:paraId="5EC3CA65">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粮食面积</w:t>
            </w:r>
          </w:p>
        </w:tc>
        <w:tc>
          <w:tcPr>
            <w:tcW w:w="919" w:type="dxa"/>
            <w:vAlign w:val="center"/>
          </w:tcPr>
          <w:p w14:paraId="69234AFA">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粮食产量</w:t>
            </w:r>
          </w:p>
        </w:tc>
        <w:tc>
          <w:tcPr>
            <w:tcW w:w="938" w:type="dxa"/>
            <w:vAlign w:val="center"/>
          </w:tcPr>
          <w:p w14:paraId="531A8194">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早稻面积</w:t>
            </w:r>
          </w:p>
        </w:tc>
        <w:tc>
          <w:tcPr>
            <w:tcW w:w="912" w:type="dxa"/>
            <w:vAlign w:val="center"/>
          </w:tcPr>
          <w:p w14:paraId="5ABC4B94">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大豆面积</w:t>
            </w:r>
          </w:p>
        </w:tc>
        <w:tc>
          <w:tcPr>
            <w:tcW w:w="888" w:type="dxa"/>
            <w:vAlign w:val="center"/>
          </w:tcPr>
          <w:p w14:paraId="799F5D08">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水稻面积</w:t>
            </w:r>
          </w:p>
        </w:tc>
        <w:tc>
          <w:tcPr>
            <w:tcW w:w="950" w:type="dxa"/>
            <w:vAlign w:val="center"/>
          </w:tcPr>
          <w:p w14:paraId="3400D7FC">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旱粮面积</w:t>
            </w:r>
          </w:p>
        </w:tc>
        <w:tc>
          <w:tcPr>
            <w:tcW w:w="975" w:type="dxa"/>
            <w:vAlign w:val="center"/>
          </w:tcPr>
          <w:p w14:paraId="545139A7">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油料面积</w:t>
            </w:r>
          </w:p>
        </w:tc>
        <w:tc>
          <w:tcPr>
            <w:tcW w:w="1005" w:type="dxa"/>
            <w:vAlign w:val="center"/>
          </w:tcPr>
          <w:p w14:paraId="55B3152E">
            <w:pPr>
              <w:jc w:val="center"/>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油菜面积</w:t>
            </w:r>
          </w:p>
        </w:tc>
      </w:tr>
      <w:tr w14:paraId="55E2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29" w:type="dxa"/>
            <w:vAlign w:val="center"/>
          </w:tcPr>
          <w:p w14:paraId="14002D47">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鲇鱼山镇</w:t>
            </w:r>
          </w:p>
        </w:tc>
        <w:tc>
          <w:tcPr>
            <w:tcW w:w="1022" w:type="dxa"/>
            <w:vAlign w:val="center"/>
          </w:tcPr>
          <w:p w14:paraId="58A4F67A">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3.89</w:t>
            </w:r>
          </w:p>
        </w:tc>
        <w:tc>
          <w:tcPr>
            <w:tcW w:w="919" w:type="dxa"/>
            <w:vAlign w:val="center"/>
          </w:tcPr>
          <w:p w14:paraId="7790DCE5">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2769</w:t>
            </w:r>
          </w:p>
        </w:tc>
        <w:tc>
          <w:tcPr>
            <w:tcW w:w="938" w:type="dxa"/>
            <w:vAlign w:val="center"/>
          </w:tcPr>
          <w:p w14:paraId="33E7AF83">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0.5</w:t>
            </w:r>
          </w:p>
        </w:tc>
        <w:tc>
          <w:tcPr>
            <w:tcW w:w="912" w:type="dxa"/>
            <w:vAlign w:val="center"/>
          </w:tcPr>
          <w:p w14:paraId="293047C2">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0.17</w:t>
            </w:r>
          </w:p>
        </w:tc>
        <w:tc>
          <w:tcPr>
            <w:tcW w:w="888" w:type="dxa"/>
            <w:vAlign w:val="center"/>
          </w:tcPr>
          <w:p w14:paraId="13C7B806">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3.69</w:t>
            </w:r>
          </w:p>
        </w:tc>
        <w:tc>
          <w:tcPr>
            <w:tcW w:w="950" w:type="dxa"/>
            <w:vAlign w:val="center"/>
          </w:tcPr>
          <w:p w14:paraId="2BCD8243">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0.2</w:t>
            </w:r>
          </w:p>
        </w:tc>
        <w:tc>
          <w:tcPr>
            <w:tcW w:w="975" w:type="dxa"/>
            <w:vAlign w:val="center"/>
          </w:tcPr>
          <w:p w14:paraId="73FDB71B">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1.49</w:t>
            </w:r>
          </w:p>
        </w:tc>
        <w:tc>
          <w:tcPr>
            <w:tcW w:w="1005" w:type="dxa"/>
            <w:vAlign w:val="center"/>
          </w:tcPr>
          <w:p w14:paraId="5EC4BC08">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1.25</w:t>
            </w:r>
          </w:p>
        </w:tc>
      </w:tr>
      <w:tr w14:paraId="3634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29" w:type="dxa"/>
            <w:vAlign w:val="center"/>
          </w:tcPr>
          <w:p w14:paraId="3A47C66E">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丽阳镇</w:t>
            </w:r>
          </w:p>
        </w:tc>
        <w:tc>
          <w:tcPr>
            <w:tcW w:w="1022" w:type="dxa"/>
            <w:vAlign w:val="center"/>
          </w:tcPr>
          <w:p w14:paraId="328C6E2F">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3.4</w:t>
            </w:r>
          </w:p>
        </w:tc>
        <w:tc>
          <w:tcPr>
            <w:tcW w:w="919" w:type="dxa"/>
            <w:vAlign w:val="center"/>
          </w:tcPr>
          <w:p w14:paraId="0389D45B">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2490</w:t>
            </w:r>
          </w:p>
        </w:tc>
        <w:tc>
          <w:tcPr>
            <w:tcW w:w="938" w:type="dxa"/>
            <w:vAlign w:val="center"/>
          </w:tcPr>
          <w:p w14:paraId="38FC0F6E">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0.45</w:t>
            </w:r>
          </w:p>
        </w:tc>
        <w:tc>
          <w:tcPr>
            <w:tcW w:w="912" w:type="dxa"/>
            <w:vAlign w:val="center"/>
          </w:tcPr>
          <w:p w14:paraId="544ABB48">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0.16</w:t>
            </w:r>
          </w:p>
        </w:tc>
        <w:tc>
          <w:tcPr>
            <w:tcW w:w="888" w:type="dxa"/>
            <w:vAlign w:val="center"/>
          </w:tcPr>
          <w:p w14:paraId="72D453E9">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3.2</w:t>
            </w:r>
          </w:p>
        </w:tc>
        <w:tc>
          <w:tcPr>
            <w:tcW w:w="950" w:type="dxa"/>
            <w:vAlign w:val="center"/>
          </w:tcPr>
          <w:p w14:paraId="6D8D7010">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0.2</w:t>
            </w:r>
          </w:p>
        </w:tc>
        <w:tc>
          <w:tcPr>
            <w:tcW w:w="975" w:type="dxa"/>
            <w:vAlign w:val="center"/>
          </w:tcPr>
          <w:p w14:paraId="44FDD094">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1.3</w:t>
            </w:r>
          </w:p>
        </w:tc>
        <w:tc>
          <w:tcPr>
            <w:tcW w:w="1005" w:type="dxa"/>
            <w:vAlign w:val="center"/>
          </w:tcPr>
          <w:p w14:paraId="3BB49204">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1.1</w:t>
            </w:r>
          </w:p>
        </w:tc>
      </w:tr>
      <w:tr w14:paraId="68E2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29" w:type="dxa"/>
            <w:vAlign w:val="center"/>
          </w:tcPr>
          <w:p w14:paraId="26775018">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荷塘乡</w:t>
            </w:r>
          </w:p>
        </w:tc>
        <w:tc>
          <w:tcPr>
            <w:tcW w:w="1022" w:type="dxa"/>
            <w:vAlign w:val="center"/>
          </w:tcPr>
          <w:p w14:paraId="5E9D69D4">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0.31</w:t>
            </w:r>
          </w:p>
        </w:tc>
        <w:tc>
          <w:tcPr>
            <w:tcW w:w="919" w:type="dxa"/>
            <w:vAlign w:val="center"/>
          </w:tcPr>
          <w:p w14:paraId="6E3E9827">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189</w:t>
            </w:r>
          </w:p>
        </w:tc>
        <w:tc>
          <w:tcPr>
            <w:tcW w:w="938" w:type="dxa"/>
            <w:vAlign w:val="center"/>
          </w:tcPr>
          <w:p w14:paraId="7003AE34">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0.05</w:t>
            </w:r>
          </w:p>
        </w:tc>
        <w:tc>
          <w:tcPr>
            <w:tcW w:w="912" w:type="dxa"/>
            <w:vAlign w:val="center"/>
          </w:tcPr>
          <w:p w14:paraId="105DA044">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w:t>
            </w:r>
          </w:p>
        </w:tc>
        <w:tc>
          <w:tcPr>
            <w:tcW w:w="888" w:type="dxa"/>
            <w:vAlign w:val="center"/>
          </w:tcPr>
          <w:p w14:paraId="504F26D7">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0.3</w:t>
            </w:r>
          </w:p>
        </w:tc>
        <w:tc>
          <w:tcPr>
            <w:tcW w:w="950" w:type="dxa"/>
            <w:vAlign w:val="center"/>
          </w:tcPr>
          <w:p w14:paraId="3F8BA10E">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0.01</w:t>
            </w:r>
          </w:p>
        </w:tc>
        <w:tc>
          <w:tcPr>
            <w:tcW w:w="975" w:type="dxa"/>
            <w:vAlign w:val="center"/>
          </w:tcPr>
          <w:p w14:paraId="3F0ED4A6">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0.17</w:t>
            </w:r>
          </w:p>
        </w:tc>
        <w:tc>
          <w:tcPr>
            <w:tcW w:w="1005" w:type="dxa"/>
            <w:vAlign w:val="center"/>
          </w:tcPr>
          <w:p w14:paraId="31938E69">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0.15</w:t>
            </w:r>
          </w:p>
        </w:tc>
      </w:tr>
      <w:tr w14:paraId="7E79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29" w:type="dxa"/>
            <w:vAlign w:val="center"/>
          </w:tcPr>
          <w:p w14:paraId="5C11861B">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吕蒙街道</w:t>
            </w:r>
          </w:p>
        </w:tc>
        <w:tc>
          <w:tcPr>
            <w:tcW w:w="1022" w:type="dxa"/>
            <w:vAlign w:val="center"/>
          </w:tcPr>
          <w:p w14:paraId="1B1D6B8A">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0.05</w:t>
            </w:r>
          </w:p>
        </w:tc>
        <w:tc>
          <w:tcPr>
            <w:tcW w:w="919" w:type="dxa"/>
            <w:vAlign w:val="center"/>
          </w:tcPr>
          <w:p w14:paraId="133BB420">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52</w:t>
            </w:r>
          </w:p>
        </w:tc>
        <w:tc>
          <w:tcPr>
            <w:tcW w:w="938" w:type="dxa"/>
            <w:vAlign w:val="center"/>
          </w:tcPr>
          <w:p w14:paraId="5D4B1B38">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w:t>
            </w:r>
          </w:p>
        </w:tc>
        <w:tc>
          <w:tcPr>
            <w:tcW w:w="912" w:type="dxa"/>
            <w:vAlign w:val="center"/>
          </w:tcPr>
          <w:p w14:paraId="3385AD38">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w:t>
            </w:r>
          </w:p>
        </w:tc>
        <w:tc>
          <w:tcPr>
            <w:tcW w:w="888" w:type="dxa"/>
            <w:vAlign w:val="center"/>
          </w:tcPr>
          <w:p w14:paraId="1F256238">
            <w:p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0.05</w:t>
            </w:r>
          </w:p>
        </w:tc>
        <w:tc>
          <w:tcPr>
            <w:tcW w:w="950" w:type="dxa"/>
            <w:vAlign w:val="center"/>
          </w:tcPr>
          <w:p w14:paraId="2AA4D70B">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w:t>
            </w:r>
          </w:p>
        </w:tc>
        <w:tc>
          <w:tcPr>
            <w:tcW w:w="975" w:type="dxa"/>
            <w:vAlign w:val="center"/>
          </w:tcPr>
          <w:p w14:paraId="453D1143">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w:t>
            </w:r>
          </w:p>
        </w:tc>
        <w:tc>
          <w:tcPr>
            <w:tcW w:w="1005" w:type="dxa"/>
            <w:vAlign w:val="center"/>
          </w:tcPr>
          <w:p w14:paraId="6AFB7135">
            <w:pPr>
              <w:jc w:val="center"/>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0</w:t>
            </w:r>
          </w:p>
        </w:tc>
      </w:tr>
      <w:tr w14:paraId="360F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429" w:type="dxa"/>
            <w:vAlign w:val="center"/>
          </w:tcPr>
          <w:p w14:paraId="53722919">
            <w:pPr>
              <w:jc w:val="center"/>
              <w:rPr>
                <w:rFonts w:hint="eastAsia" w:ascii="仿宋" w:hAnsi="仿宋" w:eastAsia="仿宋" w:cs="仿宋"/>
                <w:sz w:val="30"/>
                <w:szCs w:val="30"/>
                <w:vertAlign w:val="baseline"/>
                <w:lang w:val="en-US" w:eastAsia="zh-CN"/>
              </w:rPr>
            </w:pPr>
            <w:r>
              <w:rPr>
                <w:rFonts w:hint="eastAsia" w:ascii="仿宋" w:hAnsi="仿宋" w:eastAsia="仿宋" w:cs="仿宋"/>
                <w:b/>
                <w:bCs/>
                <w:sz w:val="30"/>
                <w:szCs w:val="30"/>
                <w:vertAlign w:val="baseline"/>
                <w:lang w:val="en-US" w:eastAsia="zh-CN"/>
              </w:rPr>
              <w:t>合计</w:t>
            </w:r>
          </w:p>
        </w:tc>
        <w:tc>
          <w:tcPr>
            <w:tcW w:w="1022" w:type="dxa"/>
            <w:vAlign w:val="center"/>
          </w:tcPr>
          <w:p w14:paraId="308C22DA">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7.65</w:t>
            </w:r>
          </w:p>
        </w:tc>
        <w:tc>
          <w:tcPr>
            <w:tcW w:w="919" w:type="dxa"/>
            <w:vAlign w:val="center"/>
          </w:tcPr>
          <w:p w14:paraId="37F0FE69">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5500</w:t>
            </w:r>
          </w:p>
        </w:tc>
        <w:tc>
          <w:tcPr>
            <w:tcW w:w="938" w:type="dxa"/>
            <w:vAlign w:val="center"/>
          </w:tcPr>
          <w:p w14:paraId="5DE1C069">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w:t>
            </w:r>
          </w:p>
        </w:tc>
        <w:tc>
          <w:tcPr>
            <w:tcW w:w="912" w:type="dxa"/>
            <w:vAlign w:val="center"/>
          </w:tcPr>
          <w:p w14:paraId="52979B21">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0.33</w:t>
            </w:r>
          </w:p>
        </w:tc>
        <w:tc>
          <w:tcPr>
            <w:tcW w:w="888" w:type="dxa"/>
            <w:vAlign w:val="center"/>
          </w:tcPr>
          <w:p w14:paraId="72CFE804">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7.24</w:t>
            </w:r>
          </w:p>
        </w:tc>
        <w:tc>
          <w:tcPr>
            <w:tcW w:w="950" w:type="dxa"/>
            <w:vAlign w:val="center"/>
          </w:tcPr>
          <w:p w14:paraId="124358CF">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0.41</w:t>
            </w:r>
          </w:p>
        </w:tc>
        <w:tc>
          <w:tcPr>
            <w:tcW w:w="975" w:type="dxa"/>
            <w:vAlign w:val="center"/>
          </w:tcPr>
          <w:p w14:paraId="522473A2">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2.96</w:t>
            </w:r>
          </w:p>
        </w:tc>
        <w:tc>
          <w:tcPr>
            <w:tcW w:w="1005" w:type="dxa"/>
            <w:vAlign w:val="center"/>
          </w:tcPr>
          <w:p w14:paraId="56F81207">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2.5</w:t>
            </w:r>
          </w:p>
        </w:tc>
      </w:tr>
    </w:tbl>
    <w:p w14:paraId="7C5FF27A">
      <w:pPr>
        <w:jc w:val="right"/>
        <w:rPr>
          <w:rFonts w:hint="eastAsia"/>
          <w:lang w:val="en-US" w:eastAsia="zh-CN"/>
        </w:rPr>
      </w:pPr>
    </w:p>
    <w:p w14:paraId="24D75673">
      <w:pPr>
        <w:jc w:val="center"/>
        <w:rPr>
          <w:rFonts w:hint="eastAsia" w:ascii="宋体" w:hAnsi="宋体"/>
          <w:b/>
          <w:bCs/>
          <w:sz w:val="44"/>
          <w:szCs w:val="44"/>
        </w:rPr>
      </w:pPr>
    </w:p>
    <w:p w14:paraId="4E953F7A"/>
    <w:p w14:paraId="39EE3553"/>
    <w:p w14:paraId="1EC700E4"/>
    <w:p w14:paraId="68ACD531"/>
    <w:p w14:paraId="3CDCF21E"/>
    <w:p w14:paraId="248A5B5D"/>
    <w:p w14:paraId="1466AF9E"/>
    <w:p w14:paraId="64D91022"/>
    <w:p w14:paraId="7142EC00"/>
    <w:p w14:paraId="1778AE6B"/>
    <w:p w14:paraId="404EFC52"/>
    <w:p w14:paraId="0702FDE5"/>
    <w:p w14:paraId="698B8BAA"/>
    <w:p w14:paraId="42621804"/>
    <w:p w14:paraId="6F7F06F9"/>
    <w:p w14:paraId="52B11E7B"/>
    <w:p w14:paraId="217DA95F"/>
    <w:p w14:paraId="4EE06E32"/>
    <w:p w14:paraId="64FC1D3A"/>
    <w:p w14:paraId="787071B8"/>
    <w:p w14:paraId="6326829C"/>
    <w:p w14:paraId="5ABD336B"/>
    <w:p w14:paraId="0319686E"/>
    <w:p w14:paraId="1323D27A"/>
    <w:p w14:paraId="0E74D8B1"/>
    <w:p w14:paraId="3D3EB805"/>
    <w:p w14:paraId="68273D53"/>
    <w:p w14:paraId="2D2B69EB"/>
    <w:p w14:paraId="7375FC5D"/>
    <w:p w14:paraId="63A9D4FE"/>
    <w:p w14:paraId="5FB25757"/>
    <w:p w14:paraId="0FBD4F65"/>
    <w:p w14:paraId="6C1BDA98"/>
    <w:p w14:paraId="4417C5F3"/>
    <w:p w14:paraId="6F49A23A"/>
    <w:p w14:paraId="6AA803B4"/>
    <w:p w14:paraId="073BA741"/>
    <w:p w14:paraId="782ECE2A"/>
    <w:p w14:paraId="4FD6B7B7"/>
    <w:p w14:paraId="16819669"/>
    <w:p w14:paraId="11567755"/>
    <w:p w14:paraId="74EF3AF2"/>
    <w:p w14:paraId="3EC47D7C"/>
    <w:p w14:paraId="0551DEFB"/>
    <w:p w14:paraId="3A154010">
      <w:r>
        <w:rPr>
          <w:sz w:val="32"/>
        </w:rPr>
        <mc:AlternateContent>
          <mc:Choice Requires="wps">
            <w:drawing>
              <wp:anchor distT="0" distB="0" distL="114300" distR="114300" simplePos="0" relativeHeight="251662336" behindDoc="0" locked="0" layoutInCell="1" allowOverlap="1">
                <wp:simplePos x="0" y="0"/>
                <wp:positionH relativeFrom="column">
                  <wp:posOffset>-38735</wp:posOffset>
                </wp:positionH>
                <wp:positionV relativeFrom="paragraph">
                  <wp:posOffset>379095</wp:posOffset>
                </wp:positionV>
                <wp:extent cx="57816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7816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05pt;margin-top:29.85pt;height:0.05pt;width:455.25pt;z-index:251662336;mso-width-relative:page;mso-height-relative:page;" filled="f" stroked="t" coordsize="21600,21600" o:gfxdata="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QvJUtcAAAAIAQAADwAAAAAAAAABACAAAAAiAAAAZHJzL2Rvd25yZXYueG1sUEsB&#10;AhQAFAAAAAgAh07iQHjiM9T2AQAA5gMAAA4AAAAAAAAAAQAgAAAAJgEAAGRycy9lMm9Eb2MueG1s&#10;UEsFBgAAAAAGAAYAWQEAAI4FA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-48260</wp:posOffset>
                </wp:positionH>
                <wp:positionV relativeFrom="paragraph">
                  <wp:posOffset>7620</wp:posOffset>
                </wp:positionV>
                <wp:extent cx="578167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816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8pt;margin-top:0.6pt;height:0.05pt;width:455.25pt;z-index:251661312;mso-width-relative:page;mso-height-relative:page;" filled="f" stroked="t" coordsize="21600,21600" o:gfxdata="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4y2D0wAAAAYBAAAPAAAAAAAAAAEAIAAAACIAAABkcnMvZG93bnJldi54bWxQSwECFAAU&#10;AAAACACHTuJA3BSKXfYBAADmAwAADgAAAAAAAAABACAAAAAi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lang w:val="en-US" w:eastAsia="zh-CN"/>
        </w:rPr>
        <w:t>昌江区人民政府办公室                2025年4月28日印发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2FD4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D063B5">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5AD063B5">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E5AAA"/>
    <w:multiLevelType w:val="singleLevel"/>
    <w:tmpl w:val="AF7E5A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A61C4"/>
    <w:rsid w:val="014A61C4"/>
    <w:rsid w:val="0E4B4664"/>
    <w:rsid w:val="1122342A"/>
    <w:rsid w:val="19632832"/>
    <w:rsid w:val="1ECD4DB7"/>
    <w:rsid w:val="34F83E64"/>
    <w:rsid w:val="48142DC6"/>
    <w:rsid w:val="49E45F46"/>
    <w:rsid w:val="4CAF130F"/>
    <w:rsid w:val="5D3B2B60"/>
    <w:rsid w:val="5F993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after="120"/>
    </w:pPr>
    <w:rPr>
      <w:rFonts w:ascii="Times New Roman" w:hAnsi="Times New Roman" w:eastAsia="宋体" w:cs="Times New Roman"/>
    </w:rPr>
  </w:style>
  <w:style w:type="paragraph" w:customStyle="1" w:styleId="3">
    <w:name w:val="Quote_05ab4f12-afc2-4215-bfad-52d2fc77ef0d"/>
    <w:next w:val="1"/>
    <w:qFormat/>
    <w:uiPriority w:val="0"/>
    <w:pPr>
      <w:wordWrap w:val="0"/>
      <w:spacing w:before="200" w:after="160"/>
      <w:ind w:left="864" w:right="864"/>
      <w:jc w:val="center"/>
    </w:pPr>
    <w:rPr>
      <w:rFonts w:ascii="Calibri" w:hAnsi="Calibri" w:eastAsia="宋体" w:cs="Times New Roman"/>
      <w:i/>
      <w:iCs/>
      <w:sz w:val="21"/>
      <w:szCs w:val="28"/>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2767</Words>
  <Characters>2890</Characters>
  <Lines>0</Lines>
  <Paragraphs>0</Paragraphs>
  <TotalTime>9</TotalTime>
  <ScaleCrop>false</ScaleCrop>
  <LinksUpToDate>false</LinksUpToDate>
  <CharactersWithSpaces>2937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2025-04-08T03:33:00Z</dcterms:created>
  <dc:creator>Administrator</dc:creator>
  <cp:lastModifiedBy>白真安</cp:lastModifiedBy>
  <cp:lastPrinted>2025-04-28T02:25:00Z</cp:lastPrinted>
  <dcterms:modified xsi:type="dcterms:W3CDTF">2025-04-28T08:14:21Z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6AEF6884EDA84028B4D6734681A78721_13</vt:lpwstr>
  </property>
  <property fmtid="{D5CDD505-2E9C-101B-9397-08002B2CF9AE}" pid="4" name="KSOTemplateDocerSaveRecord">
    <vt:lpwstr>eyJoZGlkIjoiZmNmNWMwMzM0ODgwMWJlYjU1NGRjMzM1NDBlYmEyNjMiLCJ1c2VySWQiOiI0ODE0MTE5MTcifQ==</vt:lpwstr>
  </property>
</Properties>
</file>