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D3EC0">
      <w:pPr>
        <w:spacing w:line="266" w:lineRule="auto"/>
        <w:rPr>
          <w:rFonts w:ascii="Arial"/>
          <w:sz w:val="21"/>
        </w:rPr>
      </w:pPr>
    </w:p>
    <w:p w14:paraId="6180E90E">
      <w:pPr>
        <w:spacing w:line="266" w:lineRule="auto"/>
        <w:rPr>
          <w:rFonts w:ascii="Arial"/>
          <w:sz w:val="21"/>
        </w:rPr>
      </w:pPr>
    </w:p>
    <w:p w14:paraId="0B0CD055">
      <w:pPr>
        <w:spacing w:line="266" w:lineRule="auto"/>
        <w:rPr>
          <w:rFonts w:ascii="Arial"/>
          <w:sz w:val="21"/>
        </w:rPr>
      </w:pPr>
    </w:p>
    <w:p w14:paraId="56956F2B">
      <w:pPr>
        <w:spacing w:line="266" w:lineRule="auto"/>
        <w:rPr>
          <w:rFonts w:ascii="Arial"/>
          <w:sz w:val="21"/>
        </w:rPr>
      </w:pPr>
    </w:p>
    <w:p w14:paraId="20734BB1">
      <w:pPr>
        <w:spacing w:line="267" w:lineRule="auto"/>
        <w:rPr>
          <w:rFonts w:ascii="Arial"/>
          <w:sz w:val="21"/>
        </w:rPr>
      </w:pPr>
    </w:p>
    <w:p w14:paraId="5B7AD5BE">
      <w:pPr>
        <w:spacing w:line="255" w:lineRule="auto"/>
        <w:rPr>
          <w:rFonts w:ascii="Arial"/>
          <w:sz w:val="21"/>
        </w:rPr>
      </w:pPr>
    </w:p>
    <w:p w14:paraId="196F0C84">
      <w:pPr>
        <w:spacing w:line="255" w:lineRule="auto"/>
        <w:rPr>
          <w:rFonts w:hint="eastAsia" w:ascii="方正小标宋简体" w:hAnsi="方正小标宋简体" w:eastAsia="方正小标宋简体" w:cs="方正小标宋简体"/>
          <w:w w:val="50"/>
          <w:sz w:val="126"/>
          <w:szCs w:val="12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pacing w:val="1"/>
          <w:w w:val="44"/>
          <w:kern w:val="0"/>
          <w:sz w:val="126"/>
          <w:szCs w:val="126"/>
          <w:fitText w:val="8937" w:id="374491181"/>
          <w:lang w:val="en-US" w:eastAsia="zh-CN"/>
        </w:rPr>
        <w:t>景德镇市昌江区人民政府办公室文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102"/>
          <w:w w:val="44"/>
          <w:kern w:val="0"/>
          <w:sz w:val="126"/>
          <w:szCs w:val="126"/>
          <w:fitText w:val="8937" w:id="374491181"/>
          <w:lang w:val="en-US" w:eastAsia="zh-CN"/>
        </w:rPr>
        <w:t>件</w:t>
      </w:r>
    </w:p>
    <w:p w14:paraId="7A2190B4">
      <w:pPr>
        <w:spacing w:line="255" w:lineRule="auto"/>
        <w:rPr>
          <w:rFonts w:ascii="Arial"/>
          <w:sz w:val="21"/>
        </w:rPr>
      </w:pPr>
    </w:p>
    <w:p w14:paraId="1CFC7238">
      <w:pPr>
        <w:spacing w:line="255" w:lineRule="auto"/>
        <w:rPr>
          <w:rFonts w:ascii="Arial"/>
          <w:sz w:val="21"/>
        </w:rPr>
      </w:pPr>
    </w:p>
    <w:p w14:paraId="030F731A">
      <w:pPr>
        <w:spacing w:line="256" w:lineRule="auto"/>
        <w:rPr>
          <w:rFonts w:ascii="Arial"/>
          <w:sz w:val="21"/>
        </w:rPr>
      </w:pPr>
    </w:p>
    <w:p w14:paraId="71174D51">
      <w:pPr>
        <w:spacing w:before="101" w:line="223" w:lineRule="auto"/>
        <w:ind w:left="28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昌府办字</w:t>
      </w:r>
      <w:r>
        <w:rPr>
          <w:rFonts w:hint="eastAsia" w:ascii="仿宋_GB2312" w:hAnsi="仿宋_GB2312" w:eastAsia="仿宋_GB2312" w:cs="仿宋_GB2312"/>
          <w:spacing w:val="11"/>
          <w:sz w:val="31"/>
          <w:szCs w:val="31"/>
        </w:rPr>
        <w:t>〔</w:t>
      </w:r>
      <w:r>
        <w:rPr>
          <w:rFonts w:hint="eastAsia" w:ascii="仿宋_GB2312" w:hAnsi="仿宋_GB2312" w:eastAsia="仿宋_GB2312" w:cs="仿宋_GB2312"/>
          <w:spacing w:val="11"/>
          <w:sz w:val="31"/>
          <w:szCs w:val="31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pacing w:val="11"/>
          <w:sz w:val="31"/>
          <w:szCs w:val="31"/>
        </w:rPr>
        <w:t>〕</w:t>
      </w:r>
      <w:r>
        <w:rPr>
          <w:rFonts w:hint="eastAsia" w:ascii="仿宋" w:hAnsi="仿宋" w:eastAsia="仿宋" w:cs="仿宋"/>
          <w:spacing w:val="11"/>
          <w:sz w:val="31"/>
          <w:szCs w:val="31"/>
          <w:lang w:val="en-US" w:eastAsia="zh-CN"/>
        </w:rPr>
        <w:t>11</w:t>
      </w:r>
      <w:r>
        <w:rPr>
          <w:rFonts w:ascii="仿宋" w:hAnsi="仿宋" w:eastAsia="仿宋" w:cs="仿宋"/>
          <w:spacing w:val="11"/>
          <w:sz w:val="31"/>
          <w:szCs w:val="31"/>
        </w:rPr>
        <w:t>号</w:t>
      </w:r>
    </w:p>
    <w:p w14:paraId="68A951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26670</wp:posOffset>
                </wp:positionV>
                <wp:extent cx="5876925" cy="0"/>
                <wp:effectExtent l="0" t="19050" r="952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47090" y="4544695"/>
                          <a:ext cx="58769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9pt;margin-top:2.1pt;height:0pt;width:462.75pt;z-index:251659264;mso-width-relative:page;mso-height-relative:page;" filled="f" stroked="t" coordsize="21600,21600" o:gfxdata="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K&#10;EYt12QAAAAcBAAAPAAAAAAAAAAEAIAAAACIAAABkcnMvZG93bnJldi54bWxQSwECFAAUAAAACACH&#10;TuJAcRSSO+oBAACmAwAADgAAAAAAAAABACAAAAAoAQAAZHJzL2Uyb0RvYy54bWxQSwUGAAAAAAYA&#10;BgBZAQAAhAUAAAAA&#10;">
                <v:fill on="f" focussize="0,0"/>
                <v:stroke weight="3pt" color="#FF0000 [3204]" joinstyle="round"/>
                <v:imagedata o:title=""/>
                <o:lock v:ext="edit" aspectratio="f"/>
              </v:line>
            </w:pict>
          </mc:Fallback>
        </mc:AlternateContent>
      </w:r>
    </w:p>
    <w:p w14:paraId="3FBC87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昌江区人民政府办公室</w:t>
      </w:r>
    </w:p>
    <w:p w14:paraId="6D27E0B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/>
        </w:rPr>
        <w:t>关于印发《昌江区“僵尸船”清理整顿</w:t>
      </w:r>
    </w:p>
    <w:p w14:paraId="0945C4F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/>
        </w:rPr>
        <w:t>工作方案》的通知</w:t>
      </w:r>
    </w:p>
    <w:p w14:paraId="6F50D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left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</w:p>
    <w:p w14:paraId="0D66A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left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昌江区“僵尸船”清理整顿工作联席会议各成员单位、有关乡镇街道：</w:t>
      </w:r>
    </w:p>
    <w:p w14:paraId="1E65FE5E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为落实省审计组对我区自然资源管理审计反馈问题的整改工作要求，结合我区实际情况，特制定《昌江区“僵尸船”清理整顿工作方案》,现印发给你们，请各单位严格贯彻落实。</w:t>
      </w:r>
    </w:p>
    <w:p w14:paraId="303C2B29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en-US"/>
        </w:rPr>
      </w:pPr>
    </w:p>
    <w:p w14:paraId="7C902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 xml:space="preserve">                        昌江区人民政府办公室</w:t>
      </w:r>
    </w:p>
    <w:p w14:paraId="2E096511">
      <w:pPr>
        <w:keepNext w:val="0"/>
        <w:keepLines w:val="0"/>
        <w:pageBreakBefore w:val="0"/>
        <w:tabs>
          <w:tab w:val="left" w:pos="6922"/>
        </w:tabs>
        <w:wordWrap/>
        <w:overflowPunct/>
        <w:topLinePunct w:val="0"/>
        <w:bidi w:val="0"/>
        <w:spacing w:line="560" w:lineRule="exact"/>
        <w:jc w:val="center"/>
        <w:rPr>
          <w:rFonts w:hint="eastAsia" w:eastAsia="宋体"/>
          <w:lang w:val="en-US" w:eastAsia="zh-CN"/>
        </w:rPr>
        <w:sectPr>
          <w:pgSz w:w="11910" w:h="16840"/>
          <w:pgMar w:top="2098" w:right="1474" w:bottom="1984" w:left="1587" w:header="0" w:footer="0" w:gutter="0"/>
          <w:cols w:space="720" w:num="1"/>
        </w:sect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 xml:space="preserve">                           2025年4月7日</w:t>
      </w:r>
    </w:p>
    <w:p w14:paraId="22FA7C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0" w:line="600" w:lineRule="exact"/>
        <w:ind w:left="869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</w:rPr>
        <w:t>昌江区“僵尸船”清理整顿工作方案</w:t>
      </w:r>
    </w:p>
    <w:p w14:paraId="67D4681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E553A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为落实省审计组对我区自然资源管理审计反馈问题的整改工作要求，切实加强全区水上交通安全监督管理，维护良好的通航秩序，净化河域生态环境，结合我区实际，制定本工作方案。</w:t>
      </w:r>
    </w:p>
    <w:p w14:paraId="66B8D21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  <w:t>一、指导思想</w:t>
      </w:r>
    </w:p>
    <w:p w14:paraId="769AA8A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坚持以习近平新时代中国特色社会主义思想为指导，依  据《安全生产法》、《中华人民共和国水法》、《中华人民共和国内河交通安全管理条例》及《江西省河道采砂管理条例》等法律法规，按照“摸清情况、限期整改、依法整治”的工作原则和“政府主导、部门配合”的工作机制，全面开展“僵尸船”专项清理整顿工作。要建立汛期船舶安全停泊管理的长效机制，规范船舶停泊管理，坚决防止发生汛期“僵尸船”走锚等险情事件。</w:t>
      </w:r>
    </w:p>
    <w:p w14:paraId="0A38462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  <w:t>二、目标与任务</w:t>
      </w:r>
    </w:p>
    <w:p w14:paraId="5275D9B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2025年9月底前完成“僵尸船”清理整顿工作，“僵尸船” 清理整顿要认真落实“四个一律”工作措施，即：长期停泊不用、无人管理的船舶(即僵尸船)一律予以处置拆解；不符合环保要求和闲置废弃的采运砂船(含自卸式运砂船)一律取缔拆解；污染水体环境的餐饮船一律予以取缔；其他合法船舶一律落实定点停靠。</w:t>
      </w:r>
    </w:p>
    <w:p w14:paraId="03AF28E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  <w:t>三、工作步骤</w:t>
      </w:r>
    </w:p>
    <w:p w14:paraId="147214B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napToGrid/>
          <w:w w:val="100"/>
          <w:kern w:val="2"/>
          <w:sz w:val="32"/>
          <w:szCs w:val="32"/>
          <w:lang w:val="en-US" w:eastAsia="zh-CN" w:bidi="ar-SA"/>
        </w:rPr>
        <w:t>第一阶段：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排查摸底阶段。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2月6日-3月5日，各乡镇（街道）组织对辖区内疑似“僵尸船”逐一排查摸底造册。</w:t>
      </w:r>
    </w:p>
    <w:p w14:paraId="2D46DBD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napToGrid/>
          <w:w w:val="100"/>
          <w:kern w:val="2"/>
          <w:sz w:val="32"/>
          <w:szCs w:val="32"/>
          <w:lang w:val="en-US" w:eastAsia="zh-CN" w:bidi="ar-SA"/>
        </w:rPr>
        <w:t>第二阶段：宣传发动阶段。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3月6日至3月31日，宣传相关政策和法律法规，加强舆论引导，统一思想，全面深入开展“僵尸船”专项清理整治工作，劝导船舶所有人自行将船体拆解处置。</w:t>
      </w:r>
    </w:p>
    <w:p w14:paraId="7D67E05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napToGrid/>
          <w:w w:val="100"/>
          <w:kern w:val="2"/>
          <w:sz w:val="32"/>
          <w:szCs w:val="32"/>
          <w:lang w:val="en-US" w:eastAsia="zh-CN" w:bidi="ar-SA"/>
        </w:rPr>
        <w:t>第三阶段：集中整治阶段。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4月1日至9月30日，对没有自行拆解的船主进行最后通牒，对拒不执行的船主由区政府牵头，各相关部门参与、乡镇配合依法采取强制措施，强制对船体进行拆解处置。</w:t>
      </w:r>
    </w:p>
    <w:p w14:paraId="3F24F1C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napToGrid/>
          <w:w w:val="100"/>
          <w:kern w:val="2"/>
          <w:sz w:val="32"/>
          <w:szCs w:val="32"/>
          <w:lang w:val="en-US" w:eastAsia="zh-CN" w:bidi="ar-SA"/>
        </w:rPr>
        <w:t>第四阶段：建立长效管理机制。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将“僵尸船”整治工作 纳入河长办考核内容，并定期组织交通、农业农村水利、生态环境、公安等部门开展联合巡查检查工作，确保“僵尸船”不反弹。</w:t>
      </w:r>
    </w:p>
    <w:p w14:paraId="08D4681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  <w:t>四、工作要求</w:t>
      </w:r>
    </w:p>
    <w:p w14:paraId="3F85D32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napToGrid/>
          <w:w w:val="100"/>
          <w:kern w:val="2"/>
          <w:sz w:val="32"/>
          <w:szCs w:val="32"/>
          <w:lang w:val="en-US" w:eastAsia="zh-CN" w:bidi="ar-SA"/>
        </w:rPr>
        <w:t>(一)强化组织领导。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昌江区“僵尸船”清理整顿工作联席会议机制，由区政府分管领导任召集人，由区交通运输局、区农村农业水利局、区公安分局、区财政局、市交通运输综合行政执法支队三大队及各有关乡镇(街道)为成员单位，依法推进我区“僵尸船”清理整顿工作。</w:t>
      </w:r>
    </w:p>
    <w:p w14:paraId="1C33DD5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napToGrid/>
          <w:w w:val="100"/>
          <w:kern w:val="2"/>
          <w:sz w:val="32"/>
          <w:szCs w:val="32"/>
          <w:lang w:val="en-US" w:eastAsia="zh-CN" w:bidi="ar-SA"/>
        </w:rPr>
        <w:t>(二)强化部门职责。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农业农村水利局、市交通运输综合行政执法部门作为“僵尸船”整治行动的执法主体，按照有关法律法规，参与乡镇整治行动，并负责收集整治信息和影像资料；区公安分局(水上派出所)负责打击专项整治工作期间的抗法及暴力行为，保障专项整治行动顺利开展；区交通运输局会同区农业农村水利部门做好船舶锚地的选址，建立船舶安全停泊管理的长效机制，规范船舶停泊管理；各乡镇人民政府、街道办事处作为“僵尸船”整治行动的主体责任单位，要按照规定的时间期限，做好所辖区域内的“僵尸船”整治清理工作。</w:t>
      </w:r>
    </w:p>
    <w:p w14:paraId="2D6E5A6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napToGrid/>
          <w:w w:val="100"/>
          <w:kern w:val="2"/>
          <w:sz w:val="32"/>
          <w:szCs w:val="32"/>
          <w:lang w:val="en-US" w:eastAsia="zh-CN" w:bidi="ar-SA"/>
        </w:rPr>
        <w:t>(三)强化经费保障。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区财政部门要安排专项工作经费、 拆解经费，确保整治措施顺利实施。</w:t>
      </w:r>
    </w:p>
    <w:p w14:paraId="41809F6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A213B5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附件：昌江区“僵尸船”清理整顿工作联席会议组成成 员名单</w:t>
      </w:r>
    </w:p>
    <w:p w14:paraId="363FE33C">
      <w:pPr>
        <w:pStyle w:val="3"/>
        <w:bidi w:val="0"/>
        <w:rPr>
          <w:rFonts w:hint="eastAsia"/>
          <w:lang w:val="en-US" w:eastAsia="zh-CN"/>
        </w:rPr>
      </w:pPr>
    </w:p>
    <w:p w14:paraId="075292E4">
      <w:pPr>
        <w:pStyle w:val="3"/>
        <w:bidi w:val="0"/>
        <w:rPr>
          <w:rFonts w:hint="eastAsia"/>
          <w:lang w:val="en-US" w:eastAsia="zh-CN"/>
        </w:rPr>
      </w:pPr>
    </w:p>
    <w:p w14:paraId="51D637B2">
      <w:pPr>
        <w:pStyle w:val="3"/>
        <w:bidi w:val="0"/>
        <w:rPr>
          <w:rFonts w:hint="eastAsia"/>
          <w:lang w:val="en-US" w:eastAsia="zh-CN"/>
        </w:rPr>
      </w:pPr>
    </w:p>
    <w:p w14:paraId="3A1CC408">
      <w:pPr>
        <w:pStyle w:val="3"/>
        <w:bidi w:val="0"/>
        <w:rPr>
          <w:rFonts w:hint="eastAsia"/>
          <w:lang w:val="en-US" w:eastAsia="zh-CN"/>
        </w:rPr>
      </w:pPr>
    </w:p>
    <w:p w14:paraId="427E5F73">
      <w:pPr>
        <w:pStyle w:val="3"/>
        <w:bidi w:val="0"/>
        <w:rPr>
          <w:rFonts w:hint="eastAsia"/>
          <w:lang w:val="en-US" w:eastAsia="zh-CN"/>
        </w:rPr>
      </w:pPr>
    </w:p>
    <w:p w14:paraId="6B7ECA49">
      <w:pPr>
        <w:pStyle w:val="3"/>
        <w:bidi w:val="0"/>
        <w:rPr>
          <w:rFonts w:hint="eastAsia"/>
          <w:lang w:val="en-US" w:eastAsia="zh-CN"/>
        </w:rPr>
      </w:pPr>
    </w:p>
    <w:p w14:paraId="04E05CCB">
      <w:pPr>
        <w:pStyle w:val="3"/>
        <w:bidi w:val="0"/>
        <w:rPr>
          <w:rFonts w:hint="eastAsia"/>
          <w:lang w:val="en-US" w:eastAsia="zh-CN"/>
        </w:rPr>
        <w:sectPr>
          <w:footerReference r:id="rId5" w:type="default"/>
          <w:pgSz w:w="11910" w:h="16840"/>
          <w:pgMar w:top="1431" w:right="1437" w:bottom="1236" w:left="1786" w:header="0" w:footer="831" w:gutter="0"/>
          <w:cols w:space="720" w:num="1"/>
        </w:sectPr>
      </w:pPr>
    </w:p>
    <w:p w14:paraId="5AEB79E1">
      <w:pPr>
        <w:keepNext w:val="0"/>
        <w:keepLines w:val="0"/>
        <w:pageBreakBefore w:val="0"/>
        <w:wordWrap/>
        <w:overflowPunct/>
        <w:topLinePunct w:val="0"/>
        <w:bidi w:val="0"/>
        <w:spacing w:before="86" w:line="560" w:lineRule="exact"/>
        <w:ind w:right="1233"/>
        <w:jc w:val="both"/>
        <w:rPr>
          <w:rFonts w:ascii="宋体" w:hAnsi="宋体" w:eastAsia="宋体" w:cs="宋体"/>
          <w:b/>
          <w:bCs/>
          <w:spacing w:val="-10"/>
          <w:sz w:val="44"/>
          <w:szCs w:val="44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附件：</w:t>
      </w:r>
    </w:p>
    <w:p w14:paraId="474EC7B7">
      <w:pPr>
        <w:keepNext w:val="0"/>
        <w:keepLines w:val="0"/>
        <w:pageBreakBefore w:val="0"/>
        <w:wordWrap/>
        <w:overflowPunct/>
        <w:topLinePunct w:val="0"/>
        <w:bidi w:val="0"/>
        <w:spacing w:before="86" w:line="560" w:lineRule="exact"/>
        <w:ind w:left="2178" w:right="1233" w:hanging="859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</w:rPr>
        <w:t>昌江区“僵尸船”清理整顿工作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44"/>
          <w:szCs w:val="44"/>
        </w:rPr>
        <w:t>联席会议组成成员名单</w:t>
      </w:r>
    </w:p>
    <w:p w14:paraId="28C14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</w:p>
    <w:p w14:paraId="7B1E3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为做好“僵尸船”清理整顿工作，确保整顿工作取得实效，特建立昌江区“僵尸船”清理整顿工作联席会议机制。其组成人员名单如下：</w:t>
      </w:r>
    </w:p>
    <w:tbl>
      <w:tblPr>
        <w:tblStyle w:val="9"/>
        <w:tblW w:w="7956" w:type="dxa"/>
        <w:tblInd w:w="7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51"/>
        <w:gridCol w:w="5205"/>
      </w:tblGrid>
      <w:tr w14:paraId="5C4D6DD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751" w:type="dxa"/>
            <w:vAlign w:val="top"/>
          </w:tcPr>
          <w:p w14:paraId="5C799A7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firstLine="320" w:firstLineChars="100"/>
              <w:jc w:val="left"/>
              <w:textAlignment w:val="baseline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  <w:t>召集人: 聂  刚</w:t>
            </w:r>
          </w:p>
        </w:tc>
        <w:tc>
          <w:tcPr>
            <w:tcW w:w="5205" w:type="dxa"/>
            <w:vAlign w:val="top"/>
          </w:tcPr>
          <w:p w14:paraId="3681054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firstLine="322" w:firstLineChars="1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区</w:t>
            </w: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lang w:val="en-US" w:eastAsia="zh-CN"/>
              </w:rPr>
              <w:t>政府</w:t>
            </w: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副区长</w:t>
            </w:r>
          </w:p>
        </w:tc>
      </w:tr>
      <w:tr w14:paraId="232A662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751" w:type="dxa"/>
            <w:vAlign w:val="top"/>
          </w:tcPr>
          <w:p w14:paraId="71D4FB5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440" w:lineRule="exact"/>
              <w:ind w:firstLine="320" w:firstLineChars="100"/>
              <w:jc w:val="left"/>
              <w:textAlignment w:val="baseline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  <w:t>成  员: 侯志军</w:t>
            </w:r>
          </w:p>
        </w:tc>
        <w:tc>
          <w:tcPr>
            <w:tcW w:w="5205" w:type="dxa"/>
            <w:vAlign w:val="top"/>
          </w:tcPr>
          <w:p w14:paraId="5206E673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440" w:lineRule="exact"/>
              <w:ind w:firstLine="332" w:firstLineChars="1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区交通运输局局长</w:t>
            </w:r>
          </w:p>
        </w:tc>
      </w:tr>
      <w:tr w14:paraId="25DA658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751" w:type="dxa"/>
            <w:vAlign w:val="top"/>
          </w:tcPr>
          <w:p w14:paraId="4A03940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440" w:lineRule="exact"/>
              <w:ind w:firstLine="1600" w:firstLineChars="5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  <w:t>王三平</w:t>
            </w:r>
          </w:p>
        </w:tc>
        <w:tc>
          <w:tcPr>
            <w:tcW w:w="5205" w:type="dxa"/>
            <w:vAlign w:val="top"/>
          </w:tcPr>
          <w:p w14:paraId="75B990B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440" w:lineRule="exact"/>
              <w:ind w:firstLine="336" w:firstLineChars="1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区农业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  <w:t>农村</w:t>
            </w: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水利局局长</w:t>
            </w:r>
          </w:p>
        </w:tc>
      </w:tr>
      <w:tr w14:paraId="54667CC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751" w:type="dxa"/>
            <w:vAlign w:val="top"/>
          </w:tcPr>
          <w:p w14:paraId="3E8DA24A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440" w:lineRule="exact"/>
              <w:ind w:firstLine="1600" w:firstLineChars="5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  <w:t>程子玉</w:t>
            </w:r>
          </w:p>
        </w:tc>
        <w:tc>
          <w:tcPr>
            <w:tcW w:w="5205" w:type="dxa"/>
            <w:vAlign w:val="top"/>
          </w:tcPr>
          <w:p w14:paraId="38F92D6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440" w:lineRule="exact"/>
              <w:ind w:left="319" w:leftChars="152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val="en-US" w:eastAsia="zh-CN"/>
              </w:rPr>
              <w:t>市交通运输综合行政执法支队三大队大队长</w:t>
            </w:r>
          </w:p>
        </w:tc>
      </w:tr>
      <w:tr w14:paraId="0BA17A1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751" w:type="dxa"/>
            <w:vAlign w:val="top"/>
          </w:tcPr>
          <w:p w14:paraId="010F8BCA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440" w:lineRule="exact"/>
              <w:ind w:firstLine="1600" w:firstLineChars="5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  <w:t>李展图</w:t>
            </w:r>
          </w:p>
        </w:tc>
        <w:tc>
          <w:tcPr>
            <w:tcW w:w="5205" w:type="dxa"/>
            <w:vAlign w:val="top"/>
          </w:tcPr>
          <w:p w14:paraId="69C7215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440" w:lineRule="exact"/>
              <w:ind w:firstLine="328" w:firstLineChars="1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区财政局局长</w:t>
            </w:r>
          </w:p>
        </w:tc>
      </w:tr>
      <w:tr w14:paraId="17464A3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751" w:type="dxa"/>
            <w:vAlign w:val="top"/>
          </w:tcPr>
          <w:p w14:paraId="74E4F11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440" w:lineRule="exact"/>
              <w:ind w:firstLine="1600" w:firstLineChars="5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  <w:t>吴  磊</w:t>
            </w:r>
          </w:p>
        </w:tc>
        <w:tc>
          <w:tcPr>
            <w:tcW w:w="5205" w:type="dxa"/>
            <w:vAlign w:val="top"/>
          </w:tcPr>
          <w:p w14:paraId="62F385E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440" w:lineRule="exact"/>
              <w:ind w:firstLine="340" w:firstLineChars="1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32"/>
                <w:szCs w:val="32"/>
              </w:rPr>
              <w:t>昌江公安分局</w:t>
            </w:r>
            <w:r>
              <w:rPr>
                <w:rFonts w:hint="eastAsia" w:ascii="仿宋_GB2312" w:hAnsi="仿宋_GB2312" w:eastAsia="仿宋_GB2312" w:cs="仿宋_GB2312"/>
                <w:spacing w:val="10"/>
                <w:sz w:val="32"/>
                <w:szCs w:val="32"/>
                <w:lang w:val="en-US" w:eastAsia="zh-CN"/>
              </w:rPr>
              <w:t>党委委员、</w:t>
            </w:r>
            <w:r>
              <w:rPr>
                <w:rFonts w:hint="eastAsia" w:ascii="仿宋_GB2312" w:hAnsi="仿宋_GB2312" w:eastAsia="仿宋_GB2312" w:cs="仿宋_GB2312"/>
                <w:spacing w:val="10"/>
                <w:sz w:val="32"/>
                <w:szCs w:val="32"/>
              </w:rPr>
              <w:t>副局长</w:t>
            </w:r>
          </w:p>
        </w:tc>
      </w:tr>
      <w:tr w14:paraId="2FD83BC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751" w:type="dxa"/>
            <w:vAlign w:val="top"/>
          </w:tcPr>
          <w:p w14:paraId="424DCCD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440" w:lineRule="exact"/>
              <w:ind w:firstLine="1600" w:firstLineChars="5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  <w:t>徐  晖</w:t>
            </w:r>
          </w:p>
        </w:tc>
        <w:tc>
          <w:tcPr>
            <w:tcW w:w="5205" w:type="dxa"/>
            <w:vAlign w:val="top"/>
          </w:tcPr>
          <w:p w14:paraId="6B3D569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440" w:lineRule="exact"/>
              <w:ind w:firstLine="336" w:firstLineChars="1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val="en-US" w:eastAsia="zh-CN"/>
              </w:rPr>
              <w:t>昌江生态环境</w:t>
            </w: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局局长</w:t>
            </w:r>
          </w:p>
        </w:tc>
      </w:tr>
      <w:tr w14:paraId="43B1464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751" w:type="dxa"/>
            <w:vAlign w:val="top"/>
          </w:tcPr>
          <w:p w14:paraId="4D4B3893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440" w:lineRule="exact"/>
              <w:ind w:firstLine="1600" w:firstLineChars="5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  <w:t>程  玺</w:t>
            </w:r>
          </w:p>
        </w:tc>
        <w:tc>
          <w:tcPr>
            <w:tcW w:w="5205" w:type="dxa"/>
            <w:vAlign w:val="top"/>
          </w:tcPr>
          <w:p w14:paraId="21DDFDC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440" w:lineRule="exact"/>
              <w:ind w:firstLine="332" w:firstLineChars="100"/>
              <w:jc w:val="left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区</w:t>
            </w: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lang w:val="en-US" w:eastAsia="zh-CN"/>
              </w:rPr>
              <w:t>交通运输事业发展中心主任</w:t>
            </w:r>
          </w:p>
        </w:tc>
      </w:tr>
      <w:tr w14:paraId="49D5FF4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751" w:type="dxa"/>
            <w:vAlign w:val="top"/>
          </w:tcPr>
          <w:p w14:paraId="3554B0A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440" w:lineRule="exact"/>
              <w:ind w:firstLine="1600" w:firstLineChars="500"/>
              <w:jc w:val="left"/>
              <w:textAlignment w:val="baseline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  <w:t>彭清丽</w:t>
            </w:r>
          </w:p>
        </w:tc>
        <w:tc>
          <w:tcPr>
            <w:tcW w:w="5205" w:type="dxa"/>
            <w:vAlign w:val="top"/>
          </w:tcPr>
          <w:p w14:paraId="7BE91343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440" w:lineRule="exact"/>
              <w:ind w:firstLine="334" w:firstLineChars="1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鲇鱼山镇副党委副书记、镇长</w:t>
            </w:r>
          </w:p>
        </w:tc>
      </w:tr>
      <w:tr w14:paraId="70CAABE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751" w:type="dxa"/>
            <w:vAlign w:val="top"/>
          </w:tcPr>
          <w:p w14:paraId="52E82FC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440" w:lineRule="exact"/>
              <w:ind w:firstLine="1600" w:firstLineChars="500"/>
              <w:jc w:val="left"/>
              <w:textAlignment w:val="baseline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  <w:t>胡小敏</w:t>
            </w:r>
          </w:p>
        </w:tc>
        <w:tc>
          <w:tcPr>
            <w:tcW w:w="5205" w:type="dxa"/>
            <w:vAlign w:val="top"/>
          </w:tcPr>
          <w:p w14:paraId="1EF9CA4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440" w:lineRule="exact"/>
              <w:ind w:firstLine="334" w:firstLineChars="1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丽阳镇党委副书记</w:t>
            </w: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lang w:val="en-US" w:eastAsia="zh-CN"/>
              </w:rPr>
              <w:t>镇长</w:t>
            </w:r>
          </w:p>
        </w:tc>
      </w:tr>
      <w:tr w14:paraId="799736B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751" w:type="dxa"/>
            <w:vAlign w:val="top"/>
          </w:tcPr>
          <w:p w14:paraId="1622138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440" w:lineRule="exact"/>
              <w:ind w:firstLine="1600" w:firstLineChars="500"/>
              <w:jc w:val="left"/>
              <w:textAlignment w:val="baseline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  <w:t>吴重敏</w:t>
            </w:r>
          </w:p>
        </w:tc>
        <w:tc>
          <w:tcPr>
            <w:tcW w:w="5205" w:type="dxa"/>
            <w:vAlign w:val="top"/>
          </w:tcPr>
          <w:p w14:paraId="5DEC51E3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440" w:lineRule="exact"/>
              <w:ind w:firstLine="338" w:firstLineChars="1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>吕蒙</w:t>
            </w: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  <w:lang w:val="en-US" w:eastAsia="zh-CN"/>
              </w:rPr>
              <w:t>街道党工委</w:t>
            </w: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>书记、</w:t>
            </w: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  <w:lang w:val="en-US" w:eastAsia="zh-CN"/>
              </w:rPr>
              <w:t>主任</w:t>
            </w:r>
          </w:p>
        </w:tc>
      </w:tr>
    </w:tbl>
    <w:p w14:paraId="7F41802C">
      <w:pPr>
        <w:keepNext w:val="0"/>
        <w:keepLines w:val="0"/>
        <w:pageBreakBefore w:val="0"/>
        <w:tabs>
          <w:tab w:val="left" w:pos="5229"/>
        </w:tabs>
        <w:wordWrap/>
        <w:overflowPunct/>
        <w:topLinePunct w:val="0"/>
        <w:bidi w:val="0"/>
        <w:spacing w:line="560" w:lineRule="exact"/>
        <w:ind w:firstLine="692" w:firstLineChars="200"/>
        <w:jc w:val="both"/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3"/>
          <w:sz w:val="32"/>
          <w:szCs w:val="32"/>
          <w:lang w:val="en-US" w:eastAsia="zh-CN"/>
        </w:rPr>
        <w:t>联席会议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下设办公室，办公室设在区交通运输局，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办公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室负责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lang w:val="en-US" w:eastAsia="zh-CN"/>
        </w:rPr>
        <w:t>联席会议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办公室日常工作，定期调度公布相关工作进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展情况；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程玺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同志兼任办公室主任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。</w:t>
      </w:r>
    </w:p>
    <w:p w14:paraId="3D905EAB">
      <w:pPr>
        <w:keepNext w:val="0"/>
        <w:keepLines w:val="0"/>
        <w:pageBreakBefore w:val="0"/>
        <w:tabs>
          <w:tab w:val="left" w:pos="5229"/>
        </w:tabs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</w:pPr>
    </w:p>
    <w:p w14:paraId="1736711B">
      <w:pPr>
        <w:keepNext w:val="0"/>
        <w:keepLines w:val="0"/>
        <w:pageBreakBefore w:val="0"/>
        <w:tabs>
          <w:tab w:val="left" w:pos="5229"/>
        </w:tabs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</w:pPr>
    </w:p>
    <w:p w14:paraId="0A5348FD">
      <w:pPr>
        <w:keepNext w:val="0"/>
        <w:keepLines w:val="0"/>
        <w:pageBreakBefore w:val="0"/>
        <w:tabs>
          <w:tab w:val="left" w:pos="5229"/>
        </w:tabs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</w:pPr>
    </w:p>
    <w:p w14:paraId="3BEE04C8">
      <w:pPr>
        <w:keepNext w:val="0"/>
        <w:keepLines w:val="0"/>
        <w:pageBreakBefore w:val="0"/>
        <w:tabs>
          <w:tab w:val="left" w:pos="5229"/>
        </w:tabs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</w:pPr>
    </w:p>
    <w:p w14:paraId="5CB8AC51">
      <w:pPr>
        <w:keepNext w:val="0"/>
        <w:keepLines w:val="0"/>
        <w:pageBreakBefore w:val="0"/>
        <w:tabs>
          <w:tab w:val="left" w:pos="5229"/>
        </w:tabs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</w:pPr>
    </w:p>
    <w:p w14:paraId="6A6D7E79">
      <w:pPr>
        <w:keepNext w:val="0"/>
        <w:keepLines w:val="0"/>
        <w:pageBreakBefore w:val="0"/>
        <w:tabs>
          <w:tab w:val="left" w:pos="5229"/>
        </w:tabs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</w:pPr>
    </w:p>
    <w:p w14:paraId="0F125A29">
      <w:pPr>
        <w:keepNext w:val="0"/>
        <w:keepLines w:val="0"/>
        <w:pageBreakBefore w:val="0"/>
        <w:tabs>
          <w:tab w:val="left" w:pos="5229"/>
        </w:tabs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</w:pPr>
    </w:p>
    <w:p w14:paraId="296E5F4C">
      <w:pPr>
        <w:keepNext w:val="0"/>
        <w:keepLines w:val="0"/>
        <w:pageBreakBefore w:val="0"/>
        <w:tabs>
          <w:tab w:val="left" w:pos="5229"/>
        </w:tabs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</w:pPr>
    </w:p>
    <w:p w14:paraId="278E7FFA">
      <w:pPr>
        <w:keepNext w:val="0"/>
        <w:keepLines w:val="0"/>
        <w:pageBreakBefore w:val="0"/>
        <w:tabs>
          <w:tab w:val="left" w:pos="5229"/>
        </w:tabs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</w:pPr>
    </w:p>
    <w:p w14:paraId="1B5C0577">
      <w:pPr>
        <w:keepNext w:val="0"/>
        <w:keepLines w:val="0"/>
        <w:pageBreakBefore w:val="0"/>
        <w:tabs>
          <w:tab w:val="left" w:pos="5229"/>
        </w:tabs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</w:pPr>
    </w:p>
    <w:p w14:paraId="55F5092E">
      <w:pPr>
        <w:keepNext w:val="0"/>
        <w:keepLines w:val="0"/>
        <w:pageBreakBefore w:val="0"/>
        <w:tabs>
          <w:tab w:val="left" w:pos="5229"/>
        </w:tabs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</w:pPr>
    </w:p>
    <w:p w14:paraId="06085D2A">
      <w:pPr>
        <w:keepNext w:val="0"/>
        <w:keepLines w:val="0"/>
        <w:pageBreakBefore w:val="0"/>
        <w:tabs>
          <w:tab w:val="left" w:pos="5229"/>
        </w:tabs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</w:pPr>
    </w:p>
    <w:p w14:paraId="43C07F62">
      <w:pPr>
        <w:keepNext w:val="0"/>
        <w:keepLines w:val="0"/>
        <w:pageBreakBefore w:val="0"/>
        <w:tabs>
          <w:tab w:val="left" w:pos="5229"/>
        </w:tabs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</w:pPr>
    </w:p>
    <w:p w14:paraId="4FEA935B">
      <w:pPr>
        <w:keepNext w:val="0"/>
        <w:keepLines w:val="0"/>
        <w:pageBreakBefore w:val="0"/>
        <w:tabs>
          <w:tab w:val="left" w:pos="5229"/>
        </w:tabs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</w:pPr>
    </w:p>
    <w:p w14:paraId="4B9A5CF6">
      <w:pPr>
        <w:keepNext w:val="0"/>
        <w:keepLines w:val="0"/>
        <w:pageBreakBefore w:val="0"/>
        <w:tabs>
          <w:tab w:val="left" w:pos="5229"/>
        </w:tabs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</w:pPr>
    </w:p>
    <w:p w14:paraId="7855DD0E">
      <w:pPr>
        <w:keepNext w:val="0"/>
        <w:keepLines w:val="0"/>
        <w:pageBreakBefore w:val="0"/>
        <w:tabs>
          <w:tab w:val="left" w:pos="5229"/>
        </w:tabs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</w:pPr>
    </w:p>
    <w:p w14:paraId="21133BEA">
      <w:pPr>
        <w:keepNext w:val="0"/>
        <w:keepLines w:val="0"/>
        <w:pageBreakBefore w:val="0"/>
        <w:tabs>
          <w:tab w:val="left" w:pos="5229"/>
        </w:tabs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</w:pPr>
    </w:p>
    <w:p w14:paraId="7CD9100C">
      <w:pPr>
        <w:keepNext w:val="0"/>
        <w:keepLines w:val="0"/>
        <w:pageBreakBefore w:val="0"/>
        <w:tabs>
          <w:tab w:val="left" w:pos="5229"/>
        </w:tabs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</w:pPr>
    </w:p>
    <w:p w14:paraId="41B0FFAA">
      <w:pPr>
        <w:keepNext w:val="0"/>
        <w:keepLines w:val="0"/>
        <w:pageBreakBefore w:val="0"/>
        <w:tabs>
          <w:tab w:val="left" w:pos="5229"/>
        </w:tabs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</w:pPr>
    </w:p>
    <w:p w14:paraId="446A40EA">
      <w:pPr>
        <w:keepNext w:val="0"/>
        <w:keepLines w:val="0"/>
        <w:pageBreakBefore w:val="0"/>
        <w:tabs>
          <w:tab w:val="left" w:pos="5229"/>
        </w:tabs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</w:pPr>
    </w:p>
    <w:p w14:paraId="5E9BDC68">
      <w:pPr>
        <w:keepNext w:val="0"/>
        <w:keepLines w:val="0"/>
        <w:pageBreakBefore w:val="0"/>
        <w:tabs>
          <w:tab w:val="left" w:pos="5229"/>
        </w:tabs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</w:pPr>
    </w:p>
    <w:p w14:paraId="5907E15C">
      <w:pPr>
        <w:keepNext w:val="0"/>
        <w:keepLines w:val="0"/>
        <w:pageBreakBefore w:val="0"/>
        <w:tabs>
          <w:tab w:val="left" w:pos="5229"/>
        </w:tabs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</w:pPr>
    </w:p>
    <w:p w14:paraId="5A5CDA00">
      <w:pPr>
        <w:keepNext w:val="0"/>
        <w:keepLines w:val="0"/>
        <w:pageBreakBefore w:val="0"/>
        <w:tabs>
          <w:tab w:val="left" w:pos="5229"/>
        </w:tabs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</w:pPr>
    </w:p>
    <w:p w14:paraId="17D1CC27">
      <w:pPr>
        <w:keepNext w:val="0"/>
        <w:keepLines w:val="0"/>
        <w:pageBreakBefore w:val="0"/>
        <w:tabs>
          <w:tab w:val="left" w:pos="5229"/>
        </w:tabs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</w:pPr>
      <w:bookmarkStart w:id="0" w:name="_GoBack"/>
      <w:bookmarkEnd w:id="0"/>
    </w:p>
    <w:p w14:paraId="5F5878D3">
      <w:pPr>
        <w:keepNext w:val="0"/>
        <w:keepLines w:val="0"/>
        <w:pageBreakBefore w:val="0"/>
        <w:tabs>
          <w:tab w:val="left" w:pos="5229"/>
        </w:tabs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</w:pPr>
    </w:p>
    <w:p w14:paraId="37EE00ED">
      <w:pPr>
        <w:keepNext w:val="0"/>
        <w:keepLines w:val="0"/>
        <w:pageBreakBefore w:val="0"/>
        <w:tabs>
          <w:tab w:val="left" w:pos="5229"/>
        </w:tabs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</w:pPr>
    </w:p>
    <w:p w14:paraId="745EFFBD">
      <w:pPr>
        <w:keepNext w:val="0"/>
        <w:keepLines w:val="0"/>
        <w:pageBreakBefore w:val="0"/>
        <w:tabs>
          <w:tab w:val="left" w:pos="5229"/>
        </w:tabs>
        <w:wordWrap/>
        <w:overflowPunct/>
        <w:topLinePunct w:val="0"/>
        <w:bidi w:val="0"/>
        <w:spacing w:line="560" w:lineRule="exact"/>
        <w:jc w:val="both"/>
        <w:rPr>
          <w:rFonts w:hint="default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361950</wp:posOffset>
                </wp:positionV>
                <wp:extent cx="5572125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21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75pt;margin-top:28.5pt;height:0pt;width:438.75pt;z-index:251661312;mso-width-relative:page;mso-height-relative:page;" filled="f" stroked="t" coordsize="21600,21600" o:gfxdata="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nBHi1NUAAAAIAQAADwAAAAAAAAABACAA&#10;AAAiAAAAZHJzL2Rvd25yZXYueG1sUEsBAhQAFAAAAAgAh07iQPWCZPPXAQAAmgMAAA4AAAAAAAAA&#10;AQAgAAAAJAEAAGRycy9lMm9Eb2MueG1sUEsFBgAAAAAGAAYAWQEAAG0FAAAAAA=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19050</wp:posOffset>
                </wp:positionV>
                <wp:extent cx="5572125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86485" y="9444355"/>
                          <a:ext cx="55721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75pt;margin-top:1.5pt;height:0pt;width:438.75pt;z-index:251660288;mso-width-relative:page;mso-height-relative:page;" filled="f" stroked="t" coordsize="21600,21600" o:gfxdata="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SiXFv1AAAAAYB&#10;AAAPAAAAAAAAAAEAIAAAACIAAABkcnMvZG93bnJldi54bWxQSwECFAAUAAAACACHTuJAk+4+TuYB&#10;AACmAwAADgAAAAAAAAABACAAAAAjAQAAZHJzL2Uyb0RvYy54bWxQSwUGAAAAAAYABgBZAQAAewUA&#10;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昌江区人民政府办公室                 2025年4月7日印发</w:t>
      </w:r>
    </w:p>
    <w:sectPr>
      <w:footerReference r:id="rId6" w:type="default"/>
      <w:pgSz w:w="11910" w:h="16840"/>
      <w:pgMar w:top="1403" w:right="1477" w:bottom="1276" w:left="1786" w:header="0" w:footer="87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200E0FF-AE37-4B0A-96F5-51AC5E58209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460F3C5-C835-4AC2-AFB6-F74F41DCAA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DA3D097-C747-43E3-85BB-C002AF2EC205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D3F4E8B-DC90-435C-8032-3549E587F0C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C0587D10-10E4-47A4-8558-9CDC71D5DB7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6" w:fontKey="{53BF836D-1434-470A-8E60-9BC9B74CCC8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DBAD5">
    <w:pPr>
      <w:spacing w:line="235" w:lineRule="auto"/>
      <w:ind w:left="33"/>
      <w:rPr>
        <w:rFonts w:ascii="宋体" w:hAnsi="宋体" w:eastAsia="宋体" w:cs="宋体"/>
        <w:sz w:val="31"/>
        <w:szCs w:val="3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17760">
    <w:pPr>
      <w:spacing w:line="233" w:lineRule="auto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14A2DD9"/>
    <w:rsid w:val="027A5713"/>
    <w:rsid w:val="02991365"/>
    <w:rsid w:val="03613910"/>
    <w:rsid w:val="03830824"/>
    <w:rsid w:val="041E22FB"/>
    <w:rsid w:val="0BDD1094"/>
    <w:rsid w:val="0CAA6E21"/>
    <w:rsid w:val="0F242EBB"/>
    <w:rsid w:val="100F3B6B"/>
    <w:rsid w:val="11AA3420"/>
    <w:rsid w:val="122B27B2"/>
    <w:rsid w:val="16924BAE"/>
    <w:rsid w:val="16BD7C5C"/>
    <w:rsid w:val="19744A3F"/>
    <w:rsid w:val="1AED2CFB"/>
    <w:rsid w:val="24B2466D"/>
    <w:rsid w:val="27D1251B"/>
    <w:rsid w:val="28397580"/>
    <w:rsid w:val="2890116A"/>
    <w:rsid w:val="2E026666"/>
    <w:rsid w:val="2F3C1703"/>
    <w:rsid w:val="2F3E78EC"/>
    <w:rsid w:val="300A35B0"/>
    <w:rsid w:val="32755248"/>
    <w:rsid w:val="32F86AB3"/>
    <w:rsid w:val="34034EE6"/>
    <w:rsid w:val="3509652C"/>
    <w:rsid w:val="356D5162"/>
    <w:rsid w:val="3A1B4D93"/>
    <w:rsid w:val="3B6B584A"/>
    <w:rsid w:val="3D51281E"/>
    <w:rsid w:val="3E225BC8"/>
    <w:rsid w:val="3E5527E2"/>
    <w:rsid w:val="3EC332C3"/>
    <w:rsid w:val="403F72A5"/>
    <w:rsid w:val="43055919"/>
    <w:rsid w:val="45943BEF"/>
    <w:rsid w:val="470B1C8F"/>
    <w:rsid w:val="4B2E0642"/>
    <w:rsid w:val="4CE216E4"/>
    <w:rsid w:val="4FE92D8A"/>
    <w:rsid w:val="52E635B0"/>
    <w:rsid w:val="53A64E87"/>
    <w:rsid w:val="54AA0D3A"/>
    <w:rsid w:val="55BE121C"/>
    <w:rsid w:val="57603931"/>
    <w:rsid w:val="5794182D"/>
    <w:rsid w:val="57E9601D"/>
    <w:rsid w:val="59B63CDD"/>
    <w:rsid w:val="5ADC3C17"/>
    <w:rsid w:val="5C3A66A5"/>
    <w:rsid w:val="5E7F1A0A"/>
    <w:rsid w:val="64D21BE7"/>
    <w:rsid w:val="66AB26EF"/>
    <w:rsid w:val="68CA0E9B"/>
    <w:rsid w:val="6AA162E3"/>
    <w:rsid w:val="6CA200F0"/>
    <w:rsid w:val="6E201C15"/>
    <w:rsid w:val="6E9F6FDD"/>
    <w:rsid w:val="704C0A9F"/>
    <w:rsid w:val="71B52674"/>
    <w:rsid w:val="74077FCD"/>
    <w:rsid w:val="749F7D37"/>
    <w:rsid w:val="758331B5"/>
    <w:rsid w:val="771F3563"/>
    <w:rsid w:val="794762A8"/>
    <w:rsid w:val="7A831561"/>
    <w:rsid w:val="7B607D8D"/>
    <w:rsid w:val="7C745605"/>
    <w:rsid w:val="7D3B4375"/>
    <w:rsid w:val="7F2F3A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仿宋"/>
      <w:sz w:val="32"/>
    </w:rPr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Body Text Indent"/>
    <w:basedOn w:val="2"/>
    <w:next w:val="2"/>
    <w:qFormat/>
    <w:uiPriority w:val="0"/>
    <w:pPr>
      <w:ind w:left="2160" w:hanging="2160" w:hangingChars="600"/>
    </w:pPr>
    <w:rPr>
      <w:rFonts w:eastAsia="黑体"/>
      <w:sz w:val="36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1660</Words>
  <Characters>1673</Characters>
  <TotalTime>11</TotalTime>
  <ScaleCrop>false</ScaleCrop>
  <LinksUpToDate>false</LinksUpToDate>
  <CharactersWithSpaces>1728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2025-03-20T10:59:00Z</dcterms:created>
  <dc:creator>Administrator</dc:creator>
  <cp:lastModifiedBy>白真安</cp:lastModifiedBy>
  <cp:lastPrinted>2025-04-07T06:13:12Z</cp:lastPrinted>
  <dcterms:modified xsi:type="dcterms:W3CDTF">2025-04-07T06:14:23Z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2025-03-20T10:59:20Z</vt:filetime>
  </property>
  <property fmtid="{D5CDD505-2E9C-101B-9397-08002B2CF9AE}" pid="4" name="UsrData">
    <vt:lpwstr>67db8486bfc444001f63f121wl</vt:lpwstr>
  </property>
  <property fmtid="{D5CDD505-2E9C-101B-9397-08002B2CF9AE}" pid="5" name="KSOTemplateDocerSaveRecord">
    <vt:lpwstr>eyJoZGlkIjoiZmNmNWMwMzM0ODgwMWJlYjU1NGRjMzM1NDBlYmEyNjMiLCJ1c2VySWQiOiI0ODE0MTE5MTcifQ==</vt:lpwstr>
  </property>
  <property fmtid="{D5CDD505-2E9C-101B-9397-08002B2CF9AE}" pid="6" name="KSOProductBuildVer">
    <vt:lpwstr>2052-12.1.0.20305</vt:lpwstr>
  </property>
  <property fmtid="{D5CDD505-2E9C-101B-9397-08002B2CF9AE}" pid="7" name="ICV">
    <vt:lpwstr>F6C35F8B5322458581C2A347DC04455F_13</vt:lpwstr>
  </property>
</Properties>
</file>