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4F354">
      <w:pPr>
        <w:pStyle w:val="2"/>
        <w:ind w:left="0" w:leftChars="0" w:firstLine="0" w:firstLineChars="0"/>
        <w:jc w:val="center"/>
        <w:rPr>
          <w:rFonts w:hint="default" w:ascii="Times New Roman" w:hAnsi="Times New Roman" w:eastAsia="华文楷体" w:cs="Times New Roman"/>
          <w:b/>
          <w:bCs/>
          <w:color w:val="auto"/>
          <w:sz w:val="44"/>
          <w:szCs w:val="44"/>
        </w:rPr>
      </w:pPr>
      <w:r>
        <w:rPr>
          <w:rFonts w:ascii="sans-serif" w:hAnsi="sans-serif" w:eastAsia="sans-serif" w:cs="sans-serif"/>
          <w:i w:val="0"/>
          <w:iCs w:val="0"/>
          <w:caps w:val="0"/>
          <w:color w:val="000000"/>
          <w:spacing w:val="0"/>
          <w:sz w:val="27"/>
          <w:szCs w:val="27"/>
        </w:rPr>
        <w:t>‍</w:t>
      </w:r>
      <w:r>
        <w:rPr>
          <w:rFonts w:hint="eastAsia" w:ascii="宋体" w:hAnsi="宋体" w:eastAsia="宋体" w:cs="宋体"/>
          <w:i w:val="0"/>
          <w:iCs w:val="0"/>
          <w:caps w:val="0"/>
          <w:color w:val="000000"/>
          <w:spacing w:val="0"/>
          <w:sz w:val="31"/>
          <w:szCs w:val="31"/>
        </w:rPr>
        <w:t>昌府办字〔2026〕9号</w:t>
      </w:r>
    </w:p>
    <w:p w14:paraId="73373F25">
      <w:pPr>
        <w:spacing w:line="640" w:lineRule="exact"/>
        <w:ind w:left="0" w:leftChars="0" w:firstLine="0" w:firstLineChars="0"/>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昌江区人民政府办公室关于印发《景德镇市昌江区突发环境事件应急预案》的通知</w:t>
      </w:r>
    </w:p>
    <w:p w14:paraId="2BC8782D">
      <w:pPr>
        <w:spacing w:line="560" w:lineRule="exact"/>
        <w:ind w:left="0" w:leftChars="0" w:firstLine="0" w:firstLineChars="0"/>
        <w:jc w:val="both"/>
        <w:rPr>
          <w:rFonts w:hint="default" w:ascii="仿宋" w:hAnsi="仿宋" w:eastAsia="仿宋" w:cs="仿宋"/>
          <w:sz w:val="32"/>
          <w:szCs w:val="32"/>
        </w:rPr>
      </w:pPr>
    </w:p>
    <w:p w14:paraId="059283FF">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各乡（镇）人民政府、街道办事处，区政府各部门，区直各单位：</w:t>
      </w:r>
    </w:p>
    <w:p w14:paraId="34F46C0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经区政府同意，现将《景德镇市昌江区突发环境事件应急预案》印发给你们，请结合实际，认真贯彻执行。</w:t>
      </w:r>
    </w:p>
    <w:p w14:paraId="26AD165F">
      <w:pPr>
        <w:spacing w:line="560" w:lineRule="exact"/>
        <w:ind w:left="0" w:leftChars="0" w:firstLine="0" w:firstLineChars="0"/>
        <w:jc w:val="both"/>
        <w:rPr>
          <w:rFonts w:hint="eastAsia" w:ascii="仿宋" w:hAnsi="仿宋" w:eastAsia="仿宋" w:cs="仿宋"/>
          <w:sz w:val="32"/>
          <w:szCs w:val="32"/>
          <w:lang w:val="en-US" w:eastAsia="zh-CN"/>
        </w:rPr>
      </w:pPr>
    </w:p>
    <w:p w14:paraId="31079DE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napToGrid w:val="0"/>
          <w:kern w:val="0"/>
          <w:sz w:val="32"/>
          <w:szCs w:val="32"/>
          <w:lang w:val="en-US" w:eastAsia="zh-CN"/>
        </w:rPr>
      </w:pPr>
    </w:p>
    <w:p w14:paraId="3667FAD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napToGrid w:val="0"/>
          <w:kern w:val="0"/>
          <w:sz w:val="32"/>
          <w:szCs w:val="32"/>
          <w:lang w:val="en-US" w:eastAsia="zh-CN"/>
        </w:rPr>
      </w:pPr>
    </w:p>
    <w:p w14:paraId="40B9E27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 xml:space="preserve">                            昌江区人民政府办公室</w:t>
      </w:r>
    </w:p>
    <w:p w14:paraId="362EF3A6">
      <w:pPr>
        <w:keepNext w:val="0"/>
        <w:keepLines w:val="0"/>
        <w:pageBreakBefore w:val="0"/>
        <w:widowControl w:val="0"/>
        <w:kinsoku/>
        <w:wordWrap/>
        <w:overflowPunct/>
        <w:topLinePunct w:val="0"/>
        <w:autoSpaceDE/>
        <w:autoSpaceDN/>
        <w:bidi w:val="0"/>
        <w:adjustRightInd/>
        <w:snapToGrid/>
        <w:spacing w:line="600" w:lineRule="exact"/>
        <w:ind w:left="0" w:leftChars="0" w:firstLine="5440" w:firstLineChars="1700"/>
        <w:jc w:val="both"/>
        <w:textAlignment w:val="auto"/>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lang w:val="en-US" w:eastAsia="zh-CN"/>
        </w:rPr>
        <w:t>2026年5月11日</w:t>
      </w:r>
    </w:p>
    <w:p w14:paraId="73CB7CF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snapToGrid w:val="0"/>
          <w:kern w:val="0"/>
          <w:sz w:val="32"/>
          <w:szCs w:val="32"/>
          <w:lang w:val="en-US" w:eastAsia="zh-CN"/>
        </w:rPr>
      </w:pPr>
    </w:p>
    <w:p w14:paraId="1FCF5067">
      <w:pPr>
        <w:spacing w:line="560" w:lineRule="exact"/>
        <w:ind w:left="0" w:leftChars="0" w:firstLine="0" w:firstLineChars="0"/>
        <w:jc w:val="both"/>
        <w:rPr>
          <w:rFonts w:hint="default" w:ascii="Times New Roman" w:hAnsi="Times New Roman" w:eastAsia="华文楷体" w:cs="Times New Roman"/>
          <w:b/>
          <w:bCs/>
          <w:color w:val="auto"/>
          <w:sz w:val="44"/>
          <w:szCs w:val="44"/>
        </w:rPr>
      </w:pPr>
    </w:p>
    <w:p w14:paraId="0BC675F9">
      <w:pPr>
        <w:spacing w:line="560" w:lineRule="exact"/>
        <w:ind w:left="0" w:leftChars="0" w:firstLine="0" w:firstLineChars="0"/>
        <w:jc w:val="both"/>
        <w:rPr>
          <w:rFonts w:hint="default" w:ascii="Times New Roman" w:hAnsi="Times New Roman" w:eastAsia="华文楷体" w:cs="Times New Roman"/>
          <w:b/>
          <w:bCs/>
          <w:color w:val="auto"/>
          <w:sz w:val="44"/>
          <w:szCs w:val="44"/>
        </w:rPr>
      </w:pPr>
    </w:p>
    <w:p w14:paraId="3E822268">
      <w:pPr>
        <w:pStyle w:val="2"/>
        <w:rPr>
          <w:rFonts w:hint="default" w:ascii="Times New Roman" w:hAnsi="Times New Roman" w:eastAsia="华文楷体" w:cs="Times New Roman"/>
          <w:b/>
          <w:bCs/>
          <w:color w:val="auto"/>
          <w:sz w:val="44"/>
          <w:szCs w:val="44"/>
        </w:rPr>
      </w:pPr>
    </w:p>
    <w:p w14:paraId="084871FD">
      <w:pPr>
        <w:rPr>
          <w:rFonts w:hint="default" w:ascii="Times New Roman" w:hAnsi="Times New Roman" w:eastAsia="华文楷体" w:cs="Times New Roman"/>
          <w:b/>
          <w:bCs/>
          <w:color w:val="auto"/>
          <w:sz w:val="44"/>
          <w:szCs w:val="44"/>
        </w:rPr>
      </w:pPr>
    </w:p>
    <w:p w14:paraId="48F5E66F">
      <w:pPr>
        <w:pStyle w:val="2"/>
        <w:rPr>
          <w:rFonts w:hint="default" w:ascii="Times New Roman" w:hAnsi="Times New Roman" w:eastAsia="华文楷体" w:cs="Times New Roman"/>
          <w:b/>
          <w:bCs/>
          <w:color w:val="auto"/>
          <w:sz w:val="44"/>
          <w:szCs w:val="44"/>
        </w:rPr>
      </w:pPr>
    </w:p>
    <w:p w14:paraId="3443DD6E">
      <w:pPr>
        <w:rPr>
          <w:rFonts w:hint="default" w:ascii="Times New Roman" w:hAnsi="Times New Roman" w:eastAsia="华文楷体" w:cs="Times New Roman"/>
          <w:b/>
          <w:bCs/>
          <w:color w:val="auto"/>
          <w:sz w:val="44"/>
          <w:szCs w:val="44"/>
        </w:rPr>
      </w:pPr>
    </w:p>
    <w:p w14:paraId="69CAE258">
      <w:pPr>
        <w:pStyle w:val="2"/>
        <w:rPr>
          <w:rFonts w:hint="default"/>
        </w:rPr>
      </w:pPr>
    </w:p>
    <w:p w14:paraId="394DE257">
      <w:pPr>
        <w:spacing w:line="560" w:lineRule="exact"/>
        <w:jc w:val="center"/>
        <w:rPr>
          <w:rFonts w:hint="default" w:ascii="Times New Roman" w:hAnsi="Times New Roman" w:eastAsia="华文楷体" w:cs="Times New Roman"/>
          <w:b/>
          <w:bCs/>
          <w:color w:val="auto"/>
          <w:sz w:val="44"/>
          <w:szCs w:val="44"/>
        </w:rPr>
      </w:pPr>
    </w:p>
    <w:p w14:paraId="7342BD79">
      <w:pPr>
        <w:spacing w:line="240" w:lineRule="auto"/>
        <w:ind w:firstLine="0" w:firstLineChars="0"/>
        <w:jc w:val="center"/>
        <w:outlineLvl w:val="0"/>
        <w:rPr>
          <w:rFonts w:hint="eastAsia" w:ascii="方正小标宋简体" w:hAnsi="方正小标宋简体" w:eastAsia="方正小标宋简体" w:cs="方正小标宋简体"/>
          <w:b w:val="0"/>
          <w:bCs w:val="0"/>
          <w:color w:val="auto"/>
          <w:sz w:val="56"/>
          <w:szCs w:val="56"/>
          <w:lang w:val="en-US" w:eastAsia="zh-CN"/>
        </w:rPr>
      </w:pPr>
      <w:bookmarkStart w:id="0" w:name="_Toc24262"/>
      <w:bookmarkStart w:id="1" w:name="_Toc4712"/>
      <w:bookmarkStart w:id="2" w:name="_Toc79"/>
      <w:bookmarkStart w:id="3" w:name="_Toc17213"/>
      <w:bookmarkStart w:id="4" w:name="_Toc3940"/>
      <w:bookmarkStart w:id="5" w:name="_Toc32386"/>
      <w:bookmarkStart w:id="6" w:name="_Toc11522"/>
      <w:bookmarkStart w:id="675" w:name="_GoBack"/>
      <w:bookmarkEnd w:id="675"/>
      <w:r>
        <w:rPr>
          <w:rFonts w:hint="eastAsia" w:ascii="方正小标宋简体" w:hAnsi="方正小标宋简体" w:eastAsia="方正小标宋简体" w:cs="方正小标宋简体"/>
          <w:b w:val="0"/>
          <w:bCs w:val="0"/>
          <w:color w:val="auto"/>
          <w:sz w:val="56"/>
          <w:szCs w:val="56"/>
          <w:lang w:val="en-US" w:eastAsia="zh-CN"/>
        </w:rPr>
        <w:t>景德镇市昌江区</w:t>
      </w:r>
      <w:bookmarkEnd w:id="0"/>
      <w:bookmarkEnd w:id="1"/>
      <w:bookmarkEnd w:id="2"/>
      <w:bookmarkEnd w:id="3"/>
    </w:p>
    <w:p w14:paraId="58FAFCE8">
      <w:pPr>
        <w:spacing w:line="240" w:lineRule="auto"/>
        <w:ind w:firstLine="0" w:firstLineChars="0"/>
        <w:jc w:val="center"/>
        <w:outlineLvl w:val="0"/>
        <w:rPr>
          <w:rFonts w:hint="eastAsia" w:ascii="方正小标宋简体" w:hAnsi="方正小标宋简体" w:eastAsia="方正小标宋简体" w:cs="方正小标宋简体"/>
          <w:b w:val="0"/>
          <w:bCs w:val="0"/>
          <w:color w:val="auto"/>
          <w:sz w:val="52"/>
          <w:szCs w:val="52"/>
        </w:rPr>
      </w:pPr>
      <w:bookmarkStart w:id="7" w:name="_Toc3148"/>
      <w:bookmarkStart w:id="8" w:name="_Toc18719"/>
      <w:bookmarkStart w:id="9" w:name="_Toc21193"/>
      <w:bookmarkStart w:id="10" w:name="_Toc18013"/>
      <w:r>
        <w:rPr>
          <w:rFonts w:hint="eastAsia" w:ascii="方正小标宋简体" w:hAnsi="方正小标宋简体" w:eastAsia="方正小标宋简体" w:cs="方正小标宋简体"/>
          <w:b w:val="0"/>
          <w:bCs w:val="0"/>
          <w:color w:val="auto"/>
          <w:sz w:val="56"/>
          <w:szCs w:val="56"/>
        </w:rPr>
        <w:t>突发环境事件应急预案</w:t>
      </w:r>
      <w:bookmarkEnd w:id="4"/>
      <w:bookmarkEnd w:id="5"/>
      <w:bookmarkEnd w:id="6"/>
      <w:bookmarkEnd w:id="7"/>
      <w:bookmarkEnd w:id="8"/>
      <w:bookmarkEnd w:id="9"/>
      <w:bookmarkEnd w:id="10"/>
    </w:p>
    <w:p w14:paraId="42150E45">
      <w:pPr>
        <w:ind w:left="0" w:leftChars="0" w:firstLine="0" w:firstLineChars="0"/>
        <w:rPr>
          <w:rFonts w:hint="default" w:ascii="Times New Roman" w:hAnsi="Times New Roman" w:eastAsia="华文楷体" w:cs="Times New Roman"/>
          <w:b/>
          <w:bCs/>
          <w:color w:val="auto"/>
        </w:rPr>
      </w:pPr>
    </w:p>
    <w:p w14:paraId="462C289A">
      <w:pPr>
        <w:ind w:firstLine="480"/>
        <w:jc w:val="center"/>
        <w:rPr>
          <w:rFonts w:hint="default" w:ascii="Times New Roman" w:hAnsi="Times New Roman" w:eastAsia="华文楷体" w:cs="Times New Roman"/>
          <w:b/>
          <w:bCs/>
          <w:color w:val="auto"/>
        </w:rPr>
      </w:pPr>
    </w:p>
    <w:p w14:paraId="1840BD24">
      <w:pPr>
        <w:ind w:left="0" w:leftChars="0" w:firstLine="0" w:firstLineChars="0"/>
        <w:rPr>
          <w:rFonts w:hint="eastAsia" w:ascii="Times New Roman" w:hAnsi="Times New Roman" w:eastAsia="华文楷体" w:cs="Times New Roman"/>
          <w:b/>
          <w:bCs/>
          <w:color w:val="auto"/>
          <w:lang w:eastAsia="zh-CN"/>
        </w:rPr>
      </w:pPr>
    </w:p>
    <w:p w14:paraId="07D2146D">
      <w:pPr>
        <w:ind w:left="0" w:leftChars="0" w:firstLine="0" w:firstLineChars="0"/>
        <w:rPr>
          <w:rFonts w:hint="eastAsia" w:ascii="Times New Roman" w:hAnsi="Times New Roman" w:eastAsia="华文楷体" w:cs="Times New Roman"/>
          <w:b/>
          <w:bCs/>
          <w:color w:val="auto"/>
          <w:lang w:eastAsia="zh-CN"/>
        </w:rPr>
      </w:pPr>
    </w:p>
    <w:p w14:paraId="0C68F93B">
      <w:pPr>
        <w:ind w:left="0" w:leftChars="0" w:firstLine="0" w:firstLineChars="0"/>
        <w:rPr>
          <w:rFonts w:hint="eastAsia" w:ascii="Times New Roman" w:hAnsi="Times New Roman" w:eastAsia="华文楷体" w:cs="Times New Roman"/>
          <w:b/>
          <w:bCs/>
          <w:color w:val="auto"/>
          <w:lang w:eastAsia="zh-CN"/>
        </w:rPr>
      </w:pPr>
    </w:p>
    <w:p w14:paraId="10BBC65A">
      <w:pPr>
        <w:ind w:left="0" w:leftChars="0" w:firstLine="0" w:firstLineChars="0"/>
        <w:rPr>
          <w:rFonts w:hint="eastAsia" w:ascii="Times New Roman" w:hAnsi="Times New Roman" w:eastAsia="华文楷体" w:cs="Times New Roman"/>
          <w:b/>
          <w:bCs/>
          <w:color w:val="auto"/>
          <w:lang w:eastAsia="zh-CN"/>
        </w:rPr>
      </w:pPr>
    </w:p>
    <w:p w14:paraId="770DF3FB">
      <w:pPr>
        <w:ind w:left="0" w:leftChars="0" w:firstLine="0" w:firstLineChars="0"/>
        <w:rPr>
          <w:rFonts w:hint="eastAsia" w:ascii="Times New Roman" w:hAnsi="Times New Roman" w:eastAsia="华文楷体" w:cs="Times New Roman"/>
          <w:b/>
          <w:bCs/>
          <w:color w:val="auto"/>
          <w:lang w:eastAsia="zh-CN"/>
        </w:rPr>
      </w:pPr>
    </w:p>
    <w:p w14:paraId="309F4FBD">
      <w:pPr>
        <w:ind w:left="0" w:leftChars="0" w:firstLine="0" w:firstLineChars="0"/>
        <w:rPr>
          <w:rFonts w:hint="eastAsia" w:ascii="Times New Roman" w:hAnsi="Times New Roman" w:eastAsia="华文楷体" w:cs="Times New Roman"/>
          <w:b/>
          <w:bCs/>
          <w:color w:val="auto"/>
          <w:lang w:eastAsia="zh-CN"/>
        </w:rPr>
      </w:pPr>
    </w:p>
    <w:p w14:paraId="5150CA8B">
      <w:pPr>
        <w:ind w:left="0" w:leftChars="0" w:firstLine="0" w:firstLineChars="0"/>
        <w:rPr>
          <w:rFonts w:hint="eastAsia" w:ascii="Times New Roman" w:hAnsi="Times New Roman" w:eastAsia="华文楷体" w:cs="Times New Roman"/>
          <w:b/>
          <w:bCs/>
          <w:color w:val="auto"/>
          <w:lang w:eastAsia="zh-CN"/>
        </w:rPr>
      </w:pPr>
    </w:p>
    <w:p w14:paraId="4741C364">
      <w:pPr>
        <w:ind w:left="0" w:leftChars="0" w:firstLine="0" w:firstLineChars="0"/>
        <w:rPr>
          <w:rFonts w:hint="eastAsia" w:ascii="Times New Roman" w:hAnsi="Times New Roman" w:eastAsia="华文楷体" w:cs="Times New Roman"/>
          <w:b/>
          <w:bCs/>
          <w:color w:val="auto"/>
          <w:lang w:eastAsia="zh-CN"/>
        </w:rPr>
      </w:pPr>
    </w:p>
    <w:p w14:paraId="4C20BF99">
      <w:pPr>
        <w:ind w:left="0" w:leftChars="0" w:firstLine="0" w:firstLineChars="0"/>
        <w:rPr>
          <w:rFonts w:hint="eastAsia" w:ascii="Times New Roman" w:hAnsi="Times New Roman" w:eastAsia="华文楷体" w:cs="Times New Roman"/>
          <w:b/>
          <w:bCs/>
          <w:color w:val="auto"/>
          <w:lang w:eastAsia="zh-CN"/>
        </w:rPr>
      </w:pPr>
    </w:p>
    <w:p w14:paraId="570AD954">
      <w:pPr>
        <w:ind w:left="0" w:leftChars="0" w:firstLine="0" w:firstLineChars="0"/>
        <w:rPr>
          <w:rFonts w:hint="eastAsia" w:ascii="Times New Roman" w:hAnsi="Times New Roman" w:eastAsia="华文楷体" w:cs="Times New Roman"/>
          <w:b/>
          <w:bCs/>
          <w:color w:val="auto"/>
          <w:lang w:eastAsia="zh-CN"/>
        </w:rPr>
      </w:pPr>
    </w:p>
    <w:p w14:paraId="70DEC377">
      <w:pPr>
        <w:ind w:left="0" w:leftChars="0" w:firstLine="0" w:firstLineChars="0"/>
        <w:rPr>
          <w:rFonts w:hint="eastAsia" w:ascii="Times New Roman" w:hAnsi="Times New Roman" w:eastAsia="华文楷体" w:cs="Times New Roman"/>
          <w:b/>
          <w:bCs/>
          <w:color w:val="auto"/>
          <w:lang w:eastAsia="zh-CN"/>
        </w:rPr>
      </w:pPr>
    </w:p>
    <w:p w14:paraId="44D22871">
      <w:pPr>
        <w:ind w:left="0" w:leftChars="0" w:firstLine="0" w:firstLineChars="0"/>
        <w:rPr>
          <w:rFonts w:hint="eastAsia" w:ascii="Times New Roman" w:hAnsi="Times New Roman" w:eastAsia="华文楷体" w:cs="Times New Roman"/>
          <w:b/>
          <w:bCs/>
          <w:color w:val="auto"/>
          <w:lang w:eastAsia="zh-CN"/>
        </w:rPr>
      </w:pPr>
    </w:p>
    <w:p w14:paraId="37D9B66F">
      <w:pPr>
        <w:ind w:left="0" w:leftChars="0" w:firstLine="0" w:firstLineChars="0"/>
        <w:rPr>
          <w:rFonts w:hint="default" w:ascii="Times New Roman" w:hAnsi="Times New Roman" w:eastAsia="华文楷体" w:cs="Times New Roman"/>
          <w:b/>
          <w:bCs/>
          <w:color w:val="auto"/>
        </w:rPr>
      </w:pPr>
    </w:p>
    <w:p w14:paraId="55B333AA">
      <w:pPr>
        <w:ind w:firstLine="480"/>
        <w:rPr>
          <w:rFonts w:hint="default" w:ascii="Times New Roman" w:hAnsi="Times New Roman" w:eastAsia="华文楷体" w:cs="Times New Roman"/>
          <w:b/>
          <w:bCs/>
          <w:color w:val="auto"/>
        </w:rPr>
      </w:pPr>
    </w:p>
    <w:p w14:paraId="5869EF5C">
      <w:pPr>
        <w:ind w:left="0" w:leftChars="0" w:firstLine="0" w:firstLineChars="0"/>
        <w:rPr>
          <w:rFonts w:hint="default" w:ascii="Times New Roman" w:hAnsi="Times New Roman" w:eastAsia="华文楷体" w:cs="Times New Roman"/>
          <w:b/>
          <w:bCs/>
          <w:color w:val="auto"/>
        </w:rPr>
      </w:pPr>
    </w:p>
    <w:p w14:paraId="444E3FFA">
      <w:pPr>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ascii="黑体" w:hAnsi="黑体" w:eastAsia="黑体" w:cs="黑体"/>
          <w:b w:val="0"/>
          <w:bCs w:val="0"/>
          <w:color w:val="auto"/>
          <w:sz w:val="30"/>
          <w:szCs w:val="30"/>
          <w:lang w:val="zh-CN"/>
        </w:rPr>
      </w:pPr>
      <w:r>
        <w:rPr>
          <w:rFonts w:hint="eastAsia" w:ascii="黑体" w:hAnsi="黑体" w:eastAsia="黑体" w:cs="黑体"/>
          <w:b w:val="0"/>
          <w:bCs w:val="0"/>
          <w:color w:val="auto"/>
          <w:sz w:val="30"/>
          <w:szCs w:val="30"/>
          <w:lang w:val="zh-CN"/>
        </w:rPr>
        <w:t>20</w:t>
      </w:r>
      <w:r>
        <w:rPr>
          <w:rFonts w:hint="eastAsia" w:ascii="黑体" w:hAnsi="黑体" w:eastAsia="黑体" w:cs="黑体"/>
          <w:b w:val="0"/>
          <w:bCs w:val="0"/>
          <w:color w:val="auto"/>
          <w:sz w:val="30"/>
          <w:szCs w:val="30"/>
        </w:rPr>
        <w:t>2</w:t>
      </w:r>
      <w:r>
        <w:rPr>
          <w:rFonts w:hint="eastAsia" w:ascii="黑体" w:hAnsi="黑体" w:eastAsia="黑体" w:cs="黑体"/>
          <w:b w:val="0"/>
          <w:bCs w:val="0"/>
          <w:color w:val="auto"/>
          <w:sz w:val="30"/>
          <w:szCs w:val="30"/>
          <w:lang w:val="en-US" w:eastAsia="zh-CN"/>
        </w:rPr>
        <w:t>6</w:t>
      </w:r>
      <w:r>
        <w:rPr>
          <w:rFonts w:hint="eastAsia" w:ascii="黑体" w:hAnsi="黑体" w:eastAsia="黑体" w:cs="黑体"/>
          <w:b w:val="0"/>
          <w:bCs w:val="0"/>
          <w:color w:val="auto"/>
          <w:sz w:val="30"/>
          <w:szCs w:val="30"/>
          <w:lang w:val="zh-CN"/>
        </w:rPr>
        <w:t>年</w:t>
      </w:r>
      <w:r>
        <w:rPr>
          <w:rFonts w:hint="eastAsia" w:ascii="黑体" w:hAnsi="黑体" w:eastAsia="黑体" w:cs="黑体"/>
          <w:b w:val="0"/>
          <w:bCs w:val="0"/>
          <w:color w:val="auto"/>
          <w:sz w:val="30"/>
          <w:szCs w:val="30"/>
          <w:lang w:val="en-US" w:eastAsia="zh-CN"/>
        </w:rPr>
        <w:t>4</w:t>
      </w:r>
      <w:r>
        <w:rPr>
          <w:rFonts w:hint="eastAsia" w:ascii="黑体" w:hAnsi="黑体" w:eastAsia="黑体" w:cs="黑体"/>
          <w:b w:val="0"/>
          <w:bCs w:val="0"/>
          <w:color w:val="auto"/>
          <w:sz w:val="30"/>
          <w:szCs w:val="30"/>
          <w:lang w:val="zh-CN"/>
        </w:rPr>
        <w:t>月</w:t>
      </w:r>
    </w:p>
    <w:p w14:paraId="78715832">
      <w:pPr>
        <w:ind w:firstLine="482"/>
        <w:rPr>
          <w:rFonts w:hint="eastAsia" w:ascii="黑体" w:hAnsi="黑体" w:eastAsia="黑体" w:cs="黑体"/>
          <w:b w:val="0"/>
          <w:bCs w:val="0"/>
          <w:color w:val="auto"/>
          <w:sz w:val="30"/>
          <w:szCs w:val="30"/>
        </w:rPr>
        <w:sectPr>
          <w:pgSz w:w="11906" w:h="16838"/>
          <w:pgMar w:top="2098" w:right="1474" w:bottom="1984" w:left="1587" w:header="851" w:footer="752" w:gutter="0"/>
          <w:pgNumType w:fmt="decimal"/>
          <w:cols w:space="425" w:num="1"/>
          <w:docGrid w:type="lines" w:linePitch="312" w:charSpace="0"/>
        </w:sectPr>
      </w:pPr>
    </w:p>
    <w:sdt>
      <w:sdtPr>
        <w:rPr>
          <w:rFonts w:hint="default" w:ascii="Times New Roman" w:hAnsi="Times New Roman" w:eastAsia="宋体" w:cs="Times New Roman"/>
          <w:b/>
          <w:bCs/>
          <w:color w:val="auto"/>
          <w:kern w:val="2"/>
          <w:sz w:val="30"/>
          <w:szCs w:val="30"/>
          <w:lang w:val="en-US" w:eastAsia="zh-CN" w:bidi="ar-SA"/>
        </w:rPr>
        <w:id w:val="147470255"/>
        <w15:color w:val="DBDBDB"/>
        <w:docPartObj>
          <w:docPartGallery w:val="Table of Contents"/>
          <w:docPartUnique/>
        </w:docPartObj>
      </w:sdtPr>
      <w:sdtEndPr>
        <w:rPr>
          <w:rFonts w:hint="default" w:ascii="Times New Roman" w:hAnsi="Times New Roman" w:eastAsia="宋体" w:cs="Times New Roman"/>
          <w:b/>
          <w:bCs/>
          <w:color w:val="auto"/>
          <w:kern w:val="2"/>
          <w:sz w:val="30"/>
          <w:szCs w:val="30"/>
          <w:lang w:val="en-US" w:eastAsia="zh-CN" w:bidi="ar-SA"/>
        </w:rPr>
      </w:sdtEndPr>
      <w:sdtContent>
        <w:p w14:paraId="7B2C74CE">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pPr>
          <w:r>
            <w:rPr>
              <w:rFonts w:hint="eastAsia" w:ascii="方正小标宋简体" w:hAnsi="方正小标宋简体" w:eastAsia="方正小标宋简体" w:cs="方正小标宋简体"/>
              <w:b w:val="0"/>
              <w:bCs w:val="0"/>
              <w:color w:val="auto"/>
              <w:sz w:val="32"/>
              <w:szCs w:val="32"/>
            </w:rPr>
            <w:t>目</w:t>
          </w:r>
          <w:r>
            <w:rPr>
              <w:rFonts w:hint="eastAsia" w:ascii="方正小标宋简体" w:hAnsi="方正小标宋简体" w:eastAsia="方正小标宋简体" w:cs="方正小标宋简体"/>
              <w:b w:val="0"/>
              <w:bCs w:val="0"/>
              <w:color w:val="auto"/>
              <w:sz w:val="32"/>
              <w:szCs w:val="32"/>
              <w:lang w:val="en-US" w:eastAsia="zh-CN"/>
            </w:rPr>
            <w:t xml:space="preserve"> </w:t>
          </w:r>
          <w:r>
            <w:rPr>
              <w:rFonts w:hint="eastAsia" w:ascii="方正小标宋简体" w:hAnsi="方正小标宋简体" w:eastAsia="方正小标宋简体" w:cs="方正小标宋简体"/>
              <w:b w:val="0"/>
              <w:bCs w:val="0"/>
              <w:color w:val="auto"/>
              <w:sz w:val="32"/>
              <w:szCs w:val="32"/>
            </w:rPr>
            <w:t>录</w:t>
          </w:r>
          <w:r>
            <w:fldChar w:fldCharType="begin"/>
          </w:r>
          <w:r>
            <w:instrText xml:space="preserve">TOC \o "1-2" \h \u </w:instrText>
          </w:r>
          <w:r>
            <w:fldChar w:fldCharType="separate"/>
          </w:r>
        </w:p>
        <w:p w14:paraId="07D53C1B">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_Toc23341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1. </w:t>
          </w:r>
          <w:r>
            <w:rPr>
              <w:rFonts w:hint="eastAsia" w:ascii="仿宋_GB2312" w:hAnsi="仿宋_GB2312" w:eastAsia="仿宋_GB2312" w:cs="仿宋_GB2312"/>
              <w:sz w:val="28"/>
              <w:szCs w:val="28"/>
            </w:rPr>
            <w:t>总则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_Toc23341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6B3B7E7">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_Toc3663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1.1. 编制目的</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_Toc3663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7DA484A">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_Toc31694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eastAsia="zh-CN"/>
            </w:rPr>
            <w:t xml:space="preserve">1.2. </w:t>
          </w:r>
          <w:r>
            <w:rPr>
              <w:rFonts w:hint="eastAsia" w:ascii="仿宋_GB2312" w:hAnsi="仿宋_GB2312" w:eastAsia="仿宋_GB2312" w:cs="仿宋_GB2312"/>
              <w:bCs/>
              <w:sz w:val="28"/>
              <w:szCs w:val="28"/>
              <w:lang w:eastAsia="zh-CN"/>
            </w:rPr>
            <w:t>修订</w:t>
          </w:r>
          <w:r>
            <w:rPr>
              <w:rFonts w:hint="eastAsia" w:ascii="仿宋_GB2312" w:hAnsi="仿宋_GB2312" w:eastAsia="仿宋_GB2312" w:cs="仿宋_GB2312"/>
              <w:bCs/>
              <w:sz w:val="28"/>
              <w:szCs w:val="28"/>
            </w:rPr>
            <w:t>过程概述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_Toc31694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C7670D8">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_Toc11283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eastAsia="zh-CN"/>
            </w:rPr>
            <w:t xml:space="preserve">1.3. </w:t>
          </w:r>
          <w:r>
            <w:rPr>
              <w:rFonts w:hint="eastAsia" w:ascii="仿宋_GB2312" w:hAnsi="仿宋_GB2312" w:eastAsia="仿宋_GB2312" w:cs="仿宋_GB2312"/>
              <w:bCs/>
              <w:sz w:val="28"/>
              <w:szCs w:val="28"/>
              <w:lang w:val="en-US" w:eastAsia="zh-CN"/>
            </w:rPr>
            <w:t>征求意见及采纳情况说明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_Toc11283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22E27E4">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_Toc18605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1.4. 编制依据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_Toc18605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3ADAB37">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_Toc25489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1.5. 事件分级</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_Toc25489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67C9235">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_Toc5627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1.6. 适用范围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_Toc5627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500499C">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_Toc13804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1.7. 工作原则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_Toc13804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C6DEC31">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_Toc12090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1.8. 预案衔接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_Toc12090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B10220E">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_Toc31713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2. </w:t>
          </w:r>
          <w:r>
            <w:rPr>
              <w:rFonts w:hint="eastAsia" w:ascii="仿宋_GB2312" w:hAnsi="仿宋_GB2312" w:eastAsia="仿宋_GB2312" w:cs="仿宋_GB2312"/>
              <w:sz w:val="28"/>
              <w:szCs w:val="28"/>
            </w:rPr>
            <w:t>组织机构及职责</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_Toc31713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723E6C1">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_Toc24685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2.1. 机构设置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_Toc24685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52C3CF9">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_Toc14001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2.2. 机构组成及职责</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_Toc14001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F6E2D3F">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_Toc15833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3. </w:t>
          </w:r>
          <w:r>
            <w:rPr>
              <w:rFonts w:hint="eastAsia" w:ascii="仿宋_GB2312" w:hAnsi="仿宋_GB2312" w:eastAsia="仿宋_GB2312" w:cs="仿宋_GB2312"/>
              <w:sz w:val="28"/>
              <w:szCs w:val="28"/>
            </w:rPr>
            <w:t>监测预防与预警</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_Toc15833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4E2C51F">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_Toc2423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3.1. 监测和风险分析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_Toc2423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E54347F">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_Toc9732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3.2. 预警先期处置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_Toc9732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66409EE">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_Toc8242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3.3. 预警</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_Toc8242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66C3810">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_Toc4531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3.4. 预警变更和解除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_Toc4531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142BDFD">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_Toc24385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4. </w:t>
          </w:r>
          <w:r>
            <w:rPr>
              <w:rFonts w:hint="eastAsia" w:ascii="仿宋_GB2312" w:hAnsi="仿宋_GB2312" w:eastAsia="仿宋_GB2312" w:cs="仿宋_GB2312"/>
              <w:sz w:val="28"/>
              <w:szCs w:val="28"/>
            </w:rPr>
            <w:t>信息报告与通报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_Toc24385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84E70E4">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_Toc2521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4.1. 信息接报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_Toc2521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4B79E6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_Toc9213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4.2. 先期处置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_Toc9213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C1B664E">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_Toc19644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4.3. 应急响应</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_Toc19644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32AC644">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_Toc24111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4.4. 指挥与协调</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_Toc24111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ECE656F">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_Toc29493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4.5. 应急监测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_Toc29493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E16EE42">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_Toc21175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4.6. 应急监察</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_Toc21175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9A93D50">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_Toc10343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4.7. 安全防护</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_Toc10343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17289B0">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_Toc6884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4.8. 信息发布</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_Toc6884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57CC051">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_Toc14388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4.9. 应急响应终止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_Toc14388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49469AE">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_Toc21401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5. </w:t>
          </w:r>
          <w:r>
            <w:rPr>
              <w:rFonts w:hint="eastAsia" w:ascii="仿宋_GB2312" w:hAnsi="仿宋_GB2312" w:eastAsia="仿宋_GB2312" w:cs="仿宋_GB2312"/>
              <w:sz w:val="28"/>
              <w:szCs w:val="28"/>
            </w:rPr>
            <w:t>后期工作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_Toc21401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4451279">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_Toc29274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5.1. 总结评估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_Toc29274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6CF080D">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_Toc3921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5.2. 环境损害鉴定与评估</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_Toc3921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4904217">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_Toc10698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5.3. 善后处置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_Toc10698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C46967E">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_Toc28017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5.4. 事件调查处理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_Toc28017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D193109">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_Toc1912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5.5. 改进措施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_Toc1912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90B5B35">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_Toc28642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6. </w:t>
          </w:r>
          <w:r>
            <w:rPr>
              <w:rFonts w:hint="eastAsia" w:ascii="仿宋_GB2312" w:hAnsi="仿宋_GB2312" w:eastAsia="仿宋_GB2312" w:cs="仿宋_GB2312"/>
              <w:sz w:val="28"/>
              <w:szCs w:val="28"/>
            </w:rPr>
            <w:t>应急保障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_Toc28642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6198A63">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_Toc8916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6.1. 预案保障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_Toc8916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F9C409C">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_Toc22112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6.2. 值守保障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_Toc22112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92802B7">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_Toc25542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6.3. 预警保障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_Toc25542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AF740FA">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_Toc23522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6.4. 保险制度保障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_Toc23522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B13E8D3">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_Toc2389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6.5. 机制保障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_Toc2389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E1CED4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_Toc7066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6.6. 队伍保障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_Toc7066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4DCD33D">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_Toc16673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6.7. 物资装备保障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_Toc16673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F071B1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_Toc30451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6.8. 技术保障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_Toc30451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3800866">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_Toc28663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6.9. 资金保障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_Toc28663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7FD7F6F">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_Toc19570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6.10. 通信、交通与运输保障</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_Toc19570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08B3AD4">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_Toc23456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6.11. </w:t>
          </w:r>
          <w:r>
            <w:rPr>
              <w:rFonts w:hint="eastAsia" w:ascii="仿宋_GB2312" w:hAnsi="仿宋_GB2312" w:eastAsia="仿宋_GB2312" w:cs="仿宋_GB2312"/>
              <w:bCs/>
              <w:sz w:val="28"/>
              <w:szCs w:val="28"/>
              <w:lang w:val="en-US" w:eastAsia="zh-CN"/>
            </w:rPr>
            <w:t>应急专家库建设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_Toc23456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2749F92">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_Toc3747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7. </w:t>
          </w:r>
          <w:r>
            <w:rPr>
              <w:rFonts w:hint="eastAsia" w:ascii="仿宋_GB2312" w:hAnsi="仿宋_GB2312" w:eastAsia="仿宋_GB2312" w:cs="仿宋_GB2312"/>
              <w:sz w:val="28"/>
              <w:szCs w:val="28"/>
            </w:rPr>
            <w:t>宣传教育、培训与演练</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_Toc3747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CF09DF4">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_Toc10401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7.1. 宣传教育</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_Toc10401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208F996">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_Toc896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7.2. 培训</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05298F3">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_Toc29321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7.3. 演练</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_Toc29321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22B3780">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_Toc15343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8. </w:t>
          </w:r>
          <w:r>
            <w:rPr>
              <w:rFonts w:hint="eastAsia" w:ascii="仿宋_GB2312" w:hAnsi="仿宋_GB2312" w:eastAsia="仿宋_GB2312" w:cs="仿宋_GB2312"/>
              <w:sz w:val="28"/>
              <w:szCs w:val="28"/>
            </w:rPr>
            <w:t>监督管理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_Toc15343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BBB5870">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_Toc20551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8.1. 预案与演练</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_Toc20551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227C2B5">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_Toc7014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8.2. 宣传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_Toc7014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F5D6AA9">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_Toc26118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8.3. 应急能力考评</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_Toc26118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96B893E">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_Toc29920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8.4. 奖励及责任追究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_Toc29920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79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3FE37EF">
          <w:pPr>
            <w:pStyle w:val="18"/>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_Toc25620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 xml:space="preserve">9. </w:t>
          </w:r>
          <w:r>
            <w:rPr>
              <w:rFonts w:hint="eastAsia" w:ascii="仿宋_GB2312" w:hAnsi="仿宋_GB2312" w:eastAsia="仿宋_GB2312" w:cs="仿宋_GB2312"/>
              <w:sz w:val="28"/>
              <w:szCs w:val="28"/>
            </w:rPr>
            <w:t>附则</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_Toc25620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E26F312">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_Toc19291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9.1. 预案的解释</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_Toc19291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F675C16">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_Toc7759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9.2. 预案的实施时间</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_Toc7759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01A1240">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_Toc21711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附件1  组织体系机构图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2</w:t>
          </w:r>
        </w:p>
        <w:p w14:paraId="26340721">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_Toc1577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附件2  应急部门联系方式</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3</w:t>
          </w:r>
        </w:p>
        <w:p w14:paraId="40BC20C8">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_Toc2742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w:t>
          </w:r>
          <w:r>
            <w:rPr>
              <w:rFonts w:hint="eastAsia" w:ascii="仿宋_GB2312" w:hAnsi="仿宋_GB2312" w:eastAsia="仿宋_GB2312" w:cs="仿宋_GB2312"/>
              <w:bCs/>
              <w:sz w:val="28"/>
              <w:szCs w:val="28"/>
              <w:lang w:val="en-US" w:eastAsia="zh-CN"/>
            </w:rPr>
            <w:t>3</w:t>
          </w:r>
          <w:r>
            <w:rPr>
              <w:rFonts w:hint="eastAsia" w:ascii="仿宋_GB2312" w:hAnsi="仿宋_GB2312" w:eastAsia="仿宋_GB2312" w:cs="仿宋_GB2312"/>
              <w:bCs/>
              <w:sz w:val="28"/>
              <w:szCs w:val="28"/>
            </w:rPr>
            <w:t xml:space="preserve">  应急管理工作流程示意图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5</w:t>
          </w:r>
        </w:p>
        <w:p w14:paraId="3E62504C">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_Toc11692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w:t>
          </w:r>
          <w:r>
            <w:rPr>
              <w:rFonts w:hint="eastAsia" w:ascii="仿宋_GB2312" w:hAnsi="仿宋_GB2312" w:eastAsia="仿宋_GB2312" w:cs="仿宋_GB2312"/>
              <w:bCs/>
              <w:sz w:val="28"/>
              <w:szCs w:val="28"/>
              <w:lang w:val="en-US" w:eastAsia="zh-CN"/>
            </w:rPr>
            <w:t>4</w:t>
          </w:r>
          <w:r>
            <w:rPr>
              <w:rFonts w:hint="eastAsia" w:ascii="仿宋_GB2312" w:hAnsi="仿宋_GB2312" w:eastAsia="仿宋_GB2312" w:cs="仿宋_GB2312"/>
              <w:bCs/>
              <w:sz w:val="28"/>
              <w:szCs w:val="28"/>
            </w:rPr>
            <w:t xml:space="preserve">  突发环境事件分级标准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6</w:t>
          </w:r>
        </w:p>
        <w:p w14:paraId="6A8890E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_Toc933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w:t>
          </w:r>
          <w:r>
            <w:rPr>
              <w:rFonts w:hint="eastAsia" w:ascii="仿宋_GB2312" w:hAnsi="仿宋_GB2312" w:eastAsia="仿宋_GB2312" w:cs="仿宋_GB2312"/>
              <w:bCs/>
              <w:sz w:val="28"/>
              <w:szCs w:val="28"/>
              <w:lang w:val="en-US" w:eastAsia="zh-CN"/>
            </w:rPr>
            <w:t>5</w:t>
          </w:r>
          <w:r>
            <w:rPr>
              <w:rFonts w:hint="eastAsia" w:ascii="仿宋_GB2312" w:hAnsi="仿宋_GB2312" w:eastAsia="仿宋_GB2312" w:cs="仿宋_GB2312"/>
              <w:bCs/>
              <w:sz w:val="28"/>
              <w:szCs w:val="28"/>
            </w:rPr>
            <w:t xml:space="preserve">  突发环境事件现场应急处置卡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0</w:t>
          </w:r>
        </w:p>
        <w:p w14:paraId="16E3AE1C">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_Toc4891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kern w:val="2"/>
              <w:sz w:val="28"/>
              <w:szCs w:val="28"/>
              <w:lang w:val="en-US" w:eastAsia="zh-CN" w:bidi="ar-SA"/>
            </w:rPr>
            <w:t>附件6  昌江区环境风险重点管控企业名单</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11</w:t>
          </w:r>
        </w:p>
        <w:p w14:paraId="072B6E3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_Toc1736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w:t>
          </w:r>
          <w:r>
            <w:rPr>
              <w:rFonts w:hint="eastAsia" w:ascii="仿宋_GB2312" w:hAnsi="仿宋_GB2312" w:eastAsia="仿宋_GB2312" w:cs="仿宋_GB2312"/>
              <w:bCs/>
              <w:sz w:val="28"/>
              <w:szCs w:val="28"/>
              <w:lang w:val="en-US" w:eastAsia="zh-CN"/>
            </w:rPr>
            <w:t>7</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lang w:val="en-US" w:eastAsia="zh-CN"/>
            </w:rPr>
            <w:t>昌江区</w:t>
          </w:r>
          <w:r>
            <w:rPr>
              <w:rFonts w:hint="eastAsia" w:ascii="仿宋_GB2312" w:hAnsi="仿宋_GB2312" w:eastAsia="仿宋_GB2312" w:cs="仿宋_GB2312"/>
              <w:bCs/>
              <w:sz w:val="28"/>
              <w:szCs w:val="28"/>
            </w:rPr>
            <w:t>饮用水水源地突发环境事件处置方案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12</w:t>
          </w:r>
        </w:p>
        <w:p w14:paraId="271DD6EE">
          <w:pPr>
            <w:pStyle w:val="19"/>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0" w:firstLineChars="0"/>
            <w:jc w:val="both"/>
            <w:textAlignment w:val="auto"/>
            <w:rPr>
              <w:rFonts w:hint="default" w:eastAsia="仿宋_GB2312"/>
              <w:lang w:val="en-US" w:eastAsia="zh-CN"/>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_Toc769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sz w:val="28"/>
              <w:szCs w:val="28"/>
            </w:rPr>
            <w:t>附件</w:t>
          </w:r>
          <w:r>
            <w:rPr>
              <w:rFonts w:hint="eastAsia" w:ascii="仿宋_GB2312" w:hAnsi="仿宋_GB2312" w:eastAsia="仿宋_GB2312" w:cs="仿宋_GB2312"/>
              <w:bCs/>
              <w:sz w:val="28"/>
              <w:szCs w:val="28"/>
              <w:lang w:val="en-US" w:eastAsia="zh-CN"/>
            </w:rPr>
            <w:t>8</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lang w:val="en-US" w:eastAsia="zh-CN"/>
            </w:rPr>
            <w:t>昌江区产业</w:t>
          </w:r>
          <w:r>
            <w:rPr>
              <w:rFonts w:hint="eastAsia" w:ascii="仿宋_GB2312" w:hAnsi="仿宋_GB2312" w:eastAsia="仿宋_GB2312" w:cs="仿宋_GB2312"/>
              <w:bCs/>
              <w:sz w:val="28"/>
              <w:szCs w:val="28"/>
            </w:rPr>
            <w:t>园区突发环境事件处置方案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17</w:t>
          </w:r>
        </w:p>
        <w:p w14:paraId="1FDCD1B9">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cs="Times New Roman"/>
              <w:b/>
              <w:color w:val="auto"/>
            </w:rPr>
          </w:pPr>
          <w:r>
            <w:fldChar w:fldCharType="end"/>
          </w:r>
        </w:p>
      </w:sdtContent>
    </w:sdt>
    <w:p w14:paraId="5C74EB88">
      <w:pPr>
        <w:pStyle w:val="29"/>
        <w:ind w:left="0" w:leftChars="0" w:firstLine="0" w:firstLineChars="0"/>
        <w:outlineLvl w:val="9"/>
        <w:rPr>
          <w:rFonts w:hint="default" w:ascii="Times New Roman" w:hAnsi="Times New Roman" w:cs="Times New Roman"/>
          <w:color w:val="auto"/>
        </w:rPr>
        <w:sectPr>
          <w:footerReference r:id="rId5" w:type="default"/>
          <w:pgSz w:w="11906" w:h="16838"/>
          <w:pgMar w:top="1440" w:right="1474" w:bottom="1440" w:left="1587" w:header="851" w:footer="992" w:gutter="0"/>
          <w:pgNumType w:fmt="decimal" w:start="1"/>
          <w:cols w:space="425" w:num="1"/>
          <w:docGrid w:type="lines" w:linePitch="312" w:charSpace="0"/>
        </w:sectPr>
      </w:pPr>
    </w:p>
    <w:p w14:paraId="768AFCF1">
      <w:pPr>
        <w:pStyle w:val="33"/>
        <w:keepNext w:val="0"/>
        <w:keepLines w:val="0"/>
        <w:pageBreakBefore/>
        <w:widowControl/>
        <w:kinsoku/>
        <w:wordWrap/>
        <w:overflowPunct/>
        <w:topLinePunct w:val="0"/>
        <w:autoSpaceDE/>
        <w:autoSpaceDN/>
        <w:bidi w:val="0"/>
        <w:adjustRightInd/>
        <w:snapToGrid/>
        <w:spacing w:after="0" w:afterLines="0" w:line="600" w:lineRule="exact"/>
        <w:ind w:left="0" w:firstLine="0" w:firstLineChars="0"/>
        <w:textAlignment w:val="auto"/>
        <w:rPr>
          <w:rFonts w:hint="eastAsia" w:ascii="方正小标宋简体" w:hAnsi="方正小标宋简体" w:eastAsia="方正小标宋简体" w:cs="方正小标宋简体"/>
          <w:b w:val="0"/>
          <w:bCs/>
          <w:color w:val="auto"/>
          <w:sz w:val="32"/>
          <w:szCs w:val="32"/>
        </w:rPr>
      </w:pPr>
      <w:bookmarkStart w:id="11" w:name="_Toc9013"/>
      <w:bookmarkStart w:id="12" w:name="_Toc5257"/>
      <w:bookmarkStart w:id="13" w:name="_Toc23341"/>
      <w:bookmarkStart w:id="14" w:name="_Toc19861"/>
      <w:r>
        <w:rPr>
          <w:rFonts w:hint="eastAsia" w:ascii="方正小标宋简体" w:hAnsi="方正小标宋简体" w:eastAsia="方正小标宋简体" w:cs="方正小标宋简体"/>
          <w:b w:val="0"/>
          <w:bCs/>
          <w:color w:val="auto"/>
          <w:sz w:val="32"/>
          <w:szCs w:val="32"/>
        </w:rPr>
        <w:t>总</w:t>
      </w:r>
      <w:r>
        <w:rPr>
          <w:rFonts w:hint="eastAsia" w:ascii="方正小标宋简体" w:hAnsi="方正小标宋简体" w:eastAsia="方正小标宋简体" w:cs="方正小标宋简体"/>
          <w:b w:val="0"/>
          <w:bCs/>
          <w:color w:val="auto"/>
          <w:sz w:val="32"/>
          <w:szCs w:val="32"/>
          <w:lang w:val="en-US" w:eastAsia="zh-CN"/>
        </w:rPr>
        <w:t xml:space="preserve">  </w:t>
      </w:r>
      <w:r>
        <w:rPr>
          <w:rFonts w:hint="eastAsia" w:ascii="方正小标宋简体" w:hAnsi="方正小标宋简体" w:eastAsia="方正小标宋简体" w:cs="方正小标宋简体"/>
          <w:b w:val="0"/>
          <w:bCs/>
          <w:color w:val="auto"/>
          <w:sz w:val="32"/>
          <w:szCs w:val="32"/>
        </w:rPr>
        <w:t>则</w:t>
      </w:r>
      <w:bookmarkEnd w:id="11"/>
      <w:bookmarkEnd w:id="12"/>
      <w:bookmarkEnd w:id="13"/>
      <w:bookmarkEnd w:id="14"/>
    </w:p>
    <w:p w14:paraId="65AE427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14:paraId="430F1F75">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color w:val="auto"/>
          <w:spacing w:val="0"/>
          <w:kern w:val="0"/>
          <w:sz w:val="32"/>
          <w:szCs w:val="21"/>
        </w:rPr>
      </w:pPr>
      <w:bookmarkStart w:id="15" w:name="_Toc17834"/>
      <w:bookmarkStart w:id="16" w:name="_Toc1704"/>
      <w:bookmarkStart w:id="17" w:name="_Toc3663"/>
      <w:bookmarkStart w:id="18" w:name="_Toc14161"/>
      <w:r>
        <w:rPr>
          <w:rFonts w:hint="eastAsia" w:ascii="黑体" w:hAnsi="黑体" w:eastAsia="黑体" w:cs="黑体"/>
          <w:b w:val="0"/>
          <w:bCs w:val="0"/>
          <w:color w:val="auto"/>
          <w:spacing w:val="0"/>
          <w:kern w:val="0"/>
          <w:sz w:val="32"/>
          <w:szCs w:val="21"/>
        </w:rPr>
        <w:t>编制目的</w:t>
      </w:r>
      <w:bookmarkEnd w:id="15"/>
      <w:bookmarkEnd w:id="16"/>
      <w:bookmarkEnd w:id="17"/>
      <w:bookmarkEnd w:id="18"/>
    </w:p>
    <w:p w14:paraId="761C502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为有效预防、及时控制和消除突发环境事件的危害，明确</w:t>
      </w:r>
      <w:r>
        <w:rPr>
          <w:rFonts w:hint="eastAsia" w:ascii="仿宋_GB2312" w:hAnsi="仿宋_GB2312" w:eastAsia="仿宋_GB2312" w:cs="仿宋_GB2312"/>
          <w:snapToGrid w:val="0"/>
          <w:color w:val="auto"/>
          <w:spacing w:val="0"/>
          <w:kern w:val="0"/>
          <w:sz w:val="32"/>
          <w:szCs w:val="32"/>
          <w:lang w:val="en-US" w:eastAsia="zh-CN"/>
        </w:rPr>
        <w:t>景德镇市昌江区</w:t>
      </w:r>
      <w:r>
        <w:rPr>
          <w:rFonts w:hint="default" w:ascii="仿宋_GB2312" w:hAnsi="仿宋_GB2312" w:eastAsia="仿宋_GB2312" w:cs="仿宋_GB2312"/>
          <w:snapToGrid w:val="0"/>
          <w:color w:val="auto"/>
          <w:spacing w:val="0"/>
          <w:kern w:val="0"/>
          <w:sz w:val="32"/>
          <w:szCs w:val="32"/>
        </w:rPr>
        <w:t>政府部门及企业处置突发环境事件的职责，规范应急处置程序，提高全</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对突发环境事件的防控和应急反应能力，将突发环境事件所造成的环境污染和生态破坏损失降低到最小程度，维护社会稳定和正常的生产、生活秩序，最大限度地保障人民群众的身体健康和生命安全，制定本预案。</w:t>
      </w:r>
    </w:p>
    <w:p w14:paraId="29440985">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color w:val="auto"/>
          <w:spacing w:val="0"/>
          <w:kern w:val="0"/>
          <w:sz w:val="32"/>
          <w:szCs w:val="21"/>
          <w:lang w:eastAsia="zh-CN"/>
        </w:rPr>
      </w:pPr>
      <w:bookmarkStart w:id="19" w:name="_Toc31694"/>
      <w:bookmarkStart w:id="20" w:name="_Toc20971"/>
      <w:r>
        <w:rPr>
          <w:rFonts w:hint="default" w:ascii="黑体" w:hAnsi="黑体" w:eastAsia="黑体" w:cs="黑体"/>
          <w:b w:val="0"/>
          <w:bCs w:val="0"/>
          <w:color w:val="auto"/>
          <w:spacing w:val="0"/>
          <w:kern w:val="0"/>
          <w:sz w:val="32"/>
          <w:szCs w:val="21"/>
          <w:lang w:eastAsia="zh-CN"/>
        </w:rPr>
        <w:t>修订</w:t>
      </w:r>
      <w:r>
        <w:rPr>
          <w:rFonts w:hint="default" w:ascii="黑体" w:hAnsi="黑体" w:eastAsia="黑体" w:cs="黑体"/>
          <w:b w:val="0"/>
          <w:bCs w:val="0"/>
          <w:color w:val="auto"/>
          <w:spacing w:val="0"/>
          <w:kern w:val="0"/>
          <w:sz w:val="32"/>
          <w:szCs w:val="21"/>
        </w:rPr>
        <w:t>过程概述</w:t>
      </w:r>
      <w:bookmarkEnd w:id="19"/>
      <w:bookmarkEnd w:id="20"/>
    </w:p>
    <w:p w14:paraId="67AA846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根据国务院办公厅关于印发《突发事件应急预案管理办法》的通知（国办发﹝2024﹞5号），</w:t>
      </w:r>
      <w:r>
        <w:rPr>
          <w:rFonts w:hint="eastAsia" w:ascii="仿宋_GB2312" w:hAnsi="仿宋_GB2312" w:eastAsia="仿宋_GB2312" w:cs="仿宋_GB2312"/>
          <w:snapToGrid w:val="0"/>
          <w:color w:val="auto"/>
          <w:spacing w:val="0"/>
          <w:kern w:val="0"/>
          <w:sz w:val="32"/>
          <w:szCs w:val="32"/>
        </w:rPr>
        <w:t xml:space="preserve">县级以上地方人民政府及其有关部门应急预案原则上每3年评估一次。应急预案的评估工作，可以委托第三方专业机构组织实施。 </w:t>
      </w:r>
    </w:p>
    <w:p w14:paraId="5B06B68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第三十五条　有下列情形之一的，应当及时修订应急预案：</w:t>
      </w:r>
    </w:p>
    <w:p w14:paraId="535A6DA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 xml:space="preserve"> （一）有关</w:t>
      </w:r>
      <w:r>
        <w:rPr>
          <w:rFonts w:hint="eastAsia" w:ascii="仿宋_GB2312" w:hAnsi="仿宋_GB2312" w:eastAsia="仿宋_GB2312" w:cs="仿宋_GB2312"/>
          <w:snapToGrid w:val="0"/>
          <w:color w:val="auto"/>
          <w:spacing w:val="0"/>
          <w:kern w:val="0"/>
          <w:sz w:val="32"/>
          <w:szCs w:val="32"/>
          <w:lang w:eastAsia="zh-CN"/>
        </w:rPr>
        <w:t>法律法规</w:t>
      </w:r>
      <w:r>
        <w:rPr>
          <w:rFonts w:hint="eastAsia" w:ascii="仿宋_GB2312" w:hAnsi="仿宋_GB2312" w:eastAsia="仿宋_GB2312" w:cs="仿宋_GB2312"/>
          <w:snapToGrid w:val="0"/>
          <w:color w:val="auto"/>
          <w:spacing w:val="0"/>
          <w:kern w:val="0"/>
          <w:sz w:val="32"/>
          <w:szCs w:val="32"/>
        </w:rPr>
        <w:t xml:space="preserve">、规章、标准、上位预案中的有关规定发生重大变化的； </w:t>
      </w:r>
    </w:p>
    <w:p w14:paraId="1FDD82A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 xml:space="preserve">（二）应急指挥机构及其职责发生重大调整的； </w:t>
      </w:r>
    </w:p>
    <w:p w14:paraId="12D3389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 xml:space="preserve">（三）面临的风险发生重大变化的； </w:t>
      </w:r>
    </w:p>
    <w:p w14:paraId="38B8B8B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 xml:space="preserve">（四）重要应急资源发生重大变化的； </w:t>
      </w:r>
    </w:p>
    <w:p w14:paraId="55B5FAA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（五）在突发事件实际应对和应急演练中发现问题需要作出重大调整的；</w:t>
      </w:r>
    </w:p>
    <w:p w14:paraId="4A7C07C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eastAsia="zh-CN"/>
        </w:rPr>
      </w:pPr>
      <w:r>
        <w:rPr>
          <w:rFonts w:hint="eastAsia" w:ascii="仿宋_GB2312" w:hAnsi="仿宋_GB2312" w:eastAsia="仿宋_GB2312" w:cs="仿宋_GB2312"/>
          <w:snapToGrid w:val="0"/>
          <w:color w:val="auto"/>
          <w:spacing w:val="0"/>
          <w:kern w:val="0"/>
          <w:sz w:val="32"/>
          <w:szCs w:val="32"/>
        </w:rPr>
        <w:t>（六）应急预案制定单位认为应当修订的其他情况。</w:t>
      </w:r>
    </w:p>
    <w:p w14:paraId="1C867FA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eastAsia="zh-CN"/>
        </w:rPr>
      </w:pPr>
      <w:r>
        <w:rPr>
          <w:rFonts w:hint="default" w:ascii="仿宋_GB2312" w:hAnsi="仿宋_GB2312" w:eastAsia="仿宋_GB2312" w:cs="仿宋_GB2312"/>
          <w:snapToGrid w:val="0"/>
          <w:color w:val="auto"/>
          <w:spacing w:val="0"/>
          <w:kern w:val="0"/>
          <w:sz w:val="32"/>
          <w:szCs w:val="32"/>
          <w:lang w:eastAsia="zh-CN"/>
        </w:rPr>
        <w:t>景德镇市昌江生态环境局2022年编制的《景德镇市昌江区突发环境事件应急预案》已满3年，</w:t>
      </w:r>
      <w:r>
        <w:rPr>
          <w:rFonts w:hint="eastAsia" w:ascii="仿宋_GB2312" w:hAnsi="仿宋_GB2312" w:eastAsia="仿宋_GB2312" w:cs="仿宋_GB2312"/>
          <w:snapToGrid w:val="0"/>
          <w:color w:val="auto"/>
          <w:spacing w:val="0"/>
          <w:kern w:val="0"/>
          <w:sz w:val="32"/>
          <w:szCs w:val="32"/>
          <w:lang w:val="en-US" w:eastAsia="zh-CN"/>
        </w:rPr>
        <w:t>原预案中</w:t>
      </w:r>
      <w:r>
        <w:rPr>
          <w:rFonts w:hint="default" w:ascii="仿宋_GB2312" w:hAnsi="仿宋_GB2312" w:eastAsia="仿宋_GB2312" w:cs="仿宋_GB2312"/>
          <w:snapToGrid w:val="0"/>
          <w:color w:val="auto"/>
          <w:spacing w:val="0"/>
          <w:kern w:val="0"/>
          <w:sz w:val="32"/>
          <w:szCs w:val="32"/>
          <w:lang w:eastAsia="zh-CN"/>
        </w:rPr>
        <w:t>有关</w:t>
      </w:r>
      <w:r>
        <w:rPr>
          <w:rFonts w:hint="eastAsia" w:ascii="仿宋_GB2312" w:hAnsi="仿宋_GB2312" w:eastAsia="仿宋_GB2312" w:cs="仿宋_GB2312"/>
          <w:snapToGrid w:val="0"/>
          <w:color w:val="auto"/>
          <w:spacing w:val="0"/>
          <w:kern w:val="0"/>
          <w:sz w:val="32"/>
          <w:szCs w:val="32"/>
          <w:lang w:eastAsia="zh-CN"/>
        </w:rPr>
        <w:t>法律法规</w:t>
      </w:r>
      <w:r>
        <w:rPr>
          <w:rFonts w:hint="default" w:ascii="仿宋_GB2312" w:hAnsi="仿宋_GB2312" w:eastAsia="仿宋_GB2312" w:cs="仿宋_GB2312"/>
          <w:snapToGrid w:val="0"/>
          <w:color w:val="auto"/>
          <w:spacing w:val="0"/>
          <w:kern w:val="0"/>
          <w:sz w:val="32"/>
          <w:szCs w:val="32"/>
          <w:lang w:eastAsia="zh-CN"/>
        </w:rPr>
        <w:t>、规章有关规定发生</w:t>
      </w:r>
      <w:r>
        <w:rPr>
          <w:rFonts w:hint="eastAsia" w:ascii="仿宋_GB2312" w:hAnsi="仿宋_GB2312" w:eastAsia="仿宋_GB2312" w:cs="仿宋_GB2312"/>
          <w:snapToGrid w:val="0"/>
          <w:color w:val="auto"/>
          <w:spacing w:val="0"/>
          <w:kern w:val="0"/>
          <w:sz w:val="32"/>
          <w:szCs w:val="32"/>
          <w:lang w:val="en-US" w:eastAsia="zh-CN"/>
        </w:rPr>
        <w:t>了</w:t>
      </w:r>
      <w:r>
        <w:rPr>
          <w:rFonts w:hint="default" w:ascii="仿宋_GB2312" w:hAnsi="仿宋_GB2312" w:eastAsia="仿宋_GB2312" w:cs="仿宋_GB2312"/>
          <w:snapToGrid w:val="0"/>
          <w:color w:val="auto"/>
          <w:spacing w:val="0"/>
          <w:kern w:val="0"/>
          <w:sz w:val="32"/>
          <w:szCs w:val="32"/>
          <w:lang w:eastAsia="zh-CN"/>
        </w:rPr>
        <w:t>重大变化，</w:t>
      </w:r>
      <w:r>
        <w:rPr>
          <w:rFonts w:hint="eastAsia" w:ascii="仿宋_GB2312" w:hAnsi="仿宋_GB2312" w:eastAsia="仿宋_GB2312" w:cs="仿宋_GB2312"/>
          <w:snapToGrid w:val="0"/>
          <w:color w:val="auto"/>
          <w:spacing w:val="0"/>
          <w:kern w:val="0"/>
          <w:sz w:val="32"/>
          <w:szCs w:val="32"/>
          <w:lang w:val="en-US" w:eastAsia="zh-CN"/>
        </w:rPr>
        <w:t>且区内企业发生变化导致</w:t>
      </w:r>
      <w:r>
        <w:rPr>
          <w:rFonts w:hint="default" w:ascii="仿宋_GB2312" w:hAnsi="仿宋_GB2312" w:eastAsia="仿宋_GB2312" w:cs="仿宋_GB2312"/>
          <w:snapToGrid w:val="0"/>
          <w:color w:val="auto"/>
          <w:spacing w:val="0"/>
          <w:kern w:val="0"/>
          <w:sz w:val="32"/>
          <w:szCs w:val="32"/>
          <w:lang w:eastAsia="zh-CN"/>
        </w:rPr>
        <w:t>面临的风险发生重大变化，因此需重新修订编制。</w:t>
      </w:r>
    </w:p>
    <w:p w14:paraId="4568550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同时</w:t>
      </w:r>
      <w:r>
        <w:rPr>
          <w:rFonts w:hint="default" w:ascii="仿宋_GB2312" w:hAnsi="仿宋_GB2312" w:eastAsia="仿宋_GB2312" w:cs="仿宋_GB2312"/>
          <w:snapToGrid w:val="0"/>
          <w:color w:val="auto"/>
          <w:spacing w:val="0"/>
          <w:kern w:val="0"/>
          <w:sz w:val="32"/>
          <w:szCs w:val="32"/>
          <w:lang w:eastAsia="zh-CN"/>
        </w:rPr>
        <w:t>为</w:t>
      </w:r>
      <w:r>
        <w:rPr>
          <w:rFonts w:hint="default" w:ascii="仿宋_GB2312" w:hAnsi="仿宋_GB2312" w:eastAsia="仿宋_GB2312" w:cs="仿宋_GB2312"/>
          <w:snapToGrid w:val="0"/>
          <w:color w:val="auto"/>
          <w:spacing w:val="0"/>
          <w:kern w:val="0"/>
          <w:sz w:val="32"/>
          <w:szCs w:val="32"/>
        </w:rPr>
        <w:t>贯彻执行江西</w:t>
      </w:r>
      <w:r>
        <w:rPr>
          <w:rFonts w:hint="eastAsia" w:ascii="仿宋_GB2312" w:hAnsi="仿宋_GB2312" w:eastAsia="仿宋_GB2312" w:cs="仿宋_GB2312"/>
          <w:snapToGrid w:val="0"/>
          <w:color w:val="auto"/>
          <w:spacing w:val="0"/>
          <w:kern w:val="0"/>
          <w:sz w:val="32"/>
          <w:szCs w:val="32"/>
          <w:lang w:eastAsia="zh-CN"/>
        </w:rPr>
        <w:t>省委、省政府</w:t>
      </w:r>
      <w:r>
        <w:rPr>
          <w:rFonts w:hint="default" w:ascii="仿宋_GB2312" w:hAnsi="仿宋_GB2312" w:eastAsia="仿宋_GB2312" w:cs="仿宋_GB2312"/>
          <w:snapToGrid w:val="0"/>
          <w:color w:val="auto"/>
          <w:spacing w:val="0"/>
          <w:kern w:val="0"/>
          <w:sz w:val="32"/>
          <w:szCs w:val="32"/>
        </w:rPr>
        <w:t>和</w:t>
      </w:r>
      <w:r>
        <w:rPr>
          <w:rFonts w:hint="eastAsia" w:ascii="仿宋_GB2312" w:hAnsi="仿宋_GB2312" w:eastAsia="仿宋_GB2312" w:cs="仿宋_GB2312"/>
          <w:snapToGrid w:val="0"/>
          <w:color w:val="auto"/>
          <w:spacing w:val="0"/>
          <w:kern w:val="0"/>
          <w:sz w:val="32"/>
          <w:szCs w:val="32"/>
          <w:lang w:val="en-US" w:eastAsia="zh-CN"/>
        </w:rPr>
        <w:t>景德镇市委、市政府</w:t>
      </w:r>
      <w:r>
        <w:rPr>
          <w:rFonts w:hint="default" w:ascii="仿宋_GB2312" w:hAnsi="仿宋_GB2312" w:eastAsia="仿宋_GB2312" w:cs="仿宋_GB2312"/>
          <w:snapToGrid w:val="0"/>
          <w:color w:val="auto"/>
          <w:spacing w:val="0"/>
          <w:kern w:val="0"/>
          <w:sz w:val="32"/>
          <w:szCs w:val="32"/>
        </w:rPr>
        <w:t>有关应急工作的方针、政策，认真落实</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政府有关环境应急工作任务</w:t>
      </w:r>
      <w:r>
        <w:rPr>
          <w:rFonts w:hint="default" w:ascii="仿宋_GB2312" w:hAnsi="仿宋_GB2312" w:eastAsia="仿宋_GB2312" w:cs="仿宋_GB2312"/>
          <w:snapToGrid w:val="0"/>
          <w:color w:val="auto"/>
          <w:spacing w:val="0"/>
          <w:kern w:val="0"/>
          <w:sz w:val="32"/>
          <w:szCs w:val="32"/>
          <w:lang w:eastAsia="zh-CN"/>
        </w:rPr>
        <w:t>，特成立了</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eastAsia="zh-CN"/>
        </w:rPr>
        <w:t>突发环境事件应急预案编制小组。</w:t>
      </w:r>
    </w:p>
    <w:p w14:paraId="448FE9D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eastAsia="zh-CN"/>
        </w:rPr>
      </w:pPr>
      <w:r>
        <w:rPr>
          <w:rFonts w:hint="default" w:ascii="仿宋_GB2312" w:hAnsi="仿宋_GB2312" w:eastAsia="仿宋_GB2312" w:cs="仿宋_GB2312"/>
          <w:snapToGrid w:val="0"/>
          <w:color w:val="auto"/>
          <w:spacing w:val="0"/>
          <w:kern w:val="0"/>
          <w:sz w:val="32"/>
          <w:szCs w:val="32"/>
        </w:rPr>
        <w:t>编制小组为确保编制内容的真实、有效，</w:t>
      </w:r>
      <w:r>
        <w:rPr>
          <w:rFonts w:hint="default" w:ascii="仿宋_GB2312" w:hAnsi="仿宋_GB2312" w:eastAsia="仿宋_GB2312" w:cs="仿宋_GB2312"/>
          <w:snapToGrid w:val="0"/>
          <w:color w:val="auto"/>
          <w:spacing w:val="0"/>
          <w:kern w:val="0"/>
          <w:sz w:val="32"/>
          <w:szCs w:val="32"/>
          <w:lang w:eastAsia="zh-CN"/>
        </w:rPr>
        <w:t>对</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eastAsia="zh-CN"/>
        </w:rPr>
        <w:t>存在的企业进行了全面的调查，确定了可能发生的突发环境事件类型后，开始修订突发环境事件应急预案。经过意见征求、内部审核、专家评审后，对预案进行了完善</w:t>
      </w:r>
      <w:r>
        <w:rPr>
          <w:rFonts w:hint="eastAsia" w:ascii="仿宋_GB2312" w:hAnsi="仿宋_GB2312" w:eastAsia="仿宋_GB2312" w:cs="仿宋_GB2312"/>
          <w:snapToGrid w:val="0"/>
          <w:color w:val="auto"/>
          <w:spacing w:val="0"/>
          <w:kern w:val="0"/>
          <w:sz w:val="32"/>
          <w:szCs w:val="32"/>
          <w:lang w:eastAsia="zh-CN"/>
        </w:rPr>
        <w:t>。</w:t>
      </w:r>
    </w:p>
    <w:p w14:paraId="56947C9A">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color w:val="auto"/>
          <w:spacing w:val="0"/>
          <w:kern w:val="0"/>
          <w:sz w:val="32"/>
          <w:szCs w:val="21"/>
          <w:lang w:eastAsia="zh-CN"/>
        </w:rPr>
      </w:pPr>
      <w:bookmarkStart w:id="21" w:name="_Toc11283"/>
      <w:r>
        <w:rPr>
          <w:rFonts w:hint="eastAsia" w:ascii="黑体" w:hAnsi="黑体" w:eastAsia="黑体" w:cs="黑体"/>
          <w:b w:val="0"/>
          <w:bCs w:val="0"/>
          <w:color w:val="auto"/>
          <w:spacing w:val="0"/>
          <w:kern w:val="0"/>
          <w:sz w:val="32"/>
          <w:szCs w:val="21"/>
          <w:lang w:val="en-US" w:eastAsia="zh-CN"/>
        </w:rPr>
        <w:t>征求意见及采纳情况说明</w:t>
      </w:r>
      <w:bookmarkEnd w:id="21"/>
    </w:p>
    <w:p w14:paraId="1F0ED476">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lang w:eastAsia="zh-CN"/>
        </w:rPr>
        <w:t>为确保《预案》的编制更加全面、具体，在进行预案编制和内部审核时，邀请了企业代表和当地居民参与到编制和审核的工作中，并征求了他们的意见和建议。企业代表和当地居民未提出相关意见</w:t>
      </w:r>
      <w:r>
        <w:rPr>
          <w:rFonts w:hint="eastAsia" w:ascii="仿宋_GB2312" w:hAnsi="仿宋_GB2312" w:eastAsia="仿宋_GB2312" w:cs="仿宋_GB2312"/>
          <w:snapToGrid w:val="0"/>
          <w:color w:val="auto"/>
          <w:spacing w:val="0"/>
          <w:kern w:val="0"/>
          <w:sz w:val="32"/>
          <w:szCs w:val="32"/>
        </w:rPr>
        <w:t xml:space="preserve">。 </w:t>
      </w:r>
    </w:p>
    <w:p w14:paraId="675B42AB">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color w:val="auto"/>
          <w:spacing w:val="0"/>
          <w:kern w:val="0"/>
          <w:sz w:val="32"/>
          <w:szCs w:val="21"/>
        </w:rPr>
      </w:pPr>
      <w:bookmarkStart w:id="22" w:name="_Toc14498"/>
      <w:bookmarkStart w:id="23" w:name="_Toc10882"/>
      <w:bookmarkStart w:id="24" w:name="_Toc24097"/>
      <w:bookmarkStart w:id="25" w:name="_Toc18605"/>
      <w:r>
        <w:rPr>
          <w:rFonts w:hint="default" w:ascii="黑体" w:hAnsi="黑体" w:eastAsia="黑体" w:cs="黑体"/>
          <w:b w:val="0"/>
          <w:bCs w:val="0"/>
          <w:color w:val="auto"/>
          <w:spacing w:val="0"/>
          <w:kern w:val="0"/>
          <w:sz w:val="32"/>
          <w:szCs w:val="21"/>
        </w:rPr>
        <w:t>编制依据</w:t>
      </w:r>
      <w:bookmarkEnd w:id="22"/>
      <w:bookmarkEnd w:id="23"/>
      <w:bookmarkEnd w:id="24"/>
      <w:bookmarkEnd w:id="25"/>
    </w:p>
    <w:p w14:paraId="35B18B38">
      <w:pPr>
        <w:pStyle w:val="36"/>
        <w:pageBreakBefore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bCs/>
          <w:color w:val="auto"/>
          <w:spacing w:val="0"/>
          <w:kern w:val="0"/>
          <w:sz w:val="32"/>
          <w:szCs w:val="22"/>
        </w:rPr>
      </w:pPr>
      <w:r>
        <w:rPr>
          <w:rFonts w:hint="eastAsia" w:ascii="楷体_GB2312" w:hAnsi="楷体_GB2312" w:eastAsia="楷体_GB2312" w:cs="楷体_GB2312"/>
          <w:bCs/>
          <w:color w:val="auto"/>
          <w:spacing w:val="0"/>
          <w:kern w:val="0"/>
          <w:sz w:val="32"/>
          <w:szCs w:val="22"/>
        </w:rPr>
        <w:t>法律法规</w:t>
      </w:r>
    </w:p>
    <w:p w14:paraId="19E1D1E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rPr>
        <w:t>《</w:t>
      </w:r>
      <w:r>
        <w:rPr>
          <w:rFonts w:hint="default" w:ascii="仿宋_GB2312" w:hAnsi="仿宋_GB2312" w:eastAsia="仿宋_GB2312" w:cs="仿宋_GB2312"/>
          <w:snapToGrid w:val="0"/>
          <w:color w:val="auto"/>
          <w:spacing w:val="0"/>
          <w:kern w:val="0"/>
          <w:sz w:val="32"/>
          <w:szCs w:val="32"/>
        </w:rPr>
        <w:t>中华人民共和国</w:t>
      </w:r>
      <w:r>
        <w:rPr>
          <w:rFonts w:hint="eastAsia" w:ascii="仿宋_GB2312" w:hAnsi="仿宋_GB2312" w:eastAsia="仿宋_GB2312" w:cs="仿宋_GB2312"/>
          <w:snapToGrid w:val="0"/>
          <w:color w:val="auto"/>
          <w:spacing w:val="0"/>
          <w:kern w:val="0"/>
          <w:sz w:val="32"/>
          <w:szCs w:val="32"/>
        </w:rPr>
        <w:t>生态环境法典》</w:t>
      </w:r>
      <w:r>
        <w:rPr>
          <w:rFonts w:hint="default" w:ascii="仿宋_GB2312" w:hAnsi="仿宋_GB2312" w:eastAsia="仿宋_GB2312" w:cs="仿宋_GB2312"/>
          <w:snapToGrid w:val="0"/>
          <w:color w:val="auto"/>
          <w:spacing w:val="0"/>
          <w:kern w:val="0"/>
          <w:sz w:val="32"/>
          <w:szCs w:val="32"/>
        </w:rPr>
        <w:t>（20</w:t>
      </w:r>
      <w:r>
        <w:rPr>
          <w:rFonts w:hint="eastAsia" w:ascii="仿宋_GB2312" w:hAnsi="仿宋_GB2312" w:eastAsia="仿宋_GB2312" w:cs="仿宋_GB2312"/>
          <w:snapToGrid w:val="0"/>
          <w:color w:val="auto"/>
          <w:spacing w:val="0"/>
          <w:kern w:val="0"/>
          <w:sz w:val="32"/>
          <w:szCs w:val="32"/>
          <w:lang w:val="en-US" w:eastAsia="zh-CN"/>
        </w:rPr>
        <w:t>26</w:t>
      </w:r>
      <w:r>
        <w:rPr>
          <w:rFonts w:hint="default" w:ascii="仿宋_GB2312" w:hAnsi="仿宋_GB2312" w:eastAsia="仿宋_GB2312" w:cs="仿宋_GB2312"/>
          <w:snapToGrid w:val="0"/>
          <w:color w:val="auto"/>
          <w:spacing w:val="0"/>
          <w:kern w:val="0"/>
          <w:sz w:val="32"/>
          <w:szCs w:val="32"/>
        </w:rPr>
        <w:t>年</w:t>
      </w:r>
      <w:r>
        <w:rPr>
          <w:rFonts w:hint="eastAsia" w:ascii="仿宋_GB2312" w:hAnsi="仿宋_GB2312" w:eastAsia="仿宋_GB2312" w:cs="仿宋_GB2312"/>
          <w:snapToGrid w:val="0"/>
          <w:color w:val="auto"/>
          <w:spacing w:val="0"/>
          <w:kern w:val="0"/>
          <w:sz w:val="32"/>
          <w:szCs w:val="32"/>
          <w:lang w:val="en-US" w:eastAsia="zh-CN"/>
        </w:rPr>
        <w:t>8</w:t>
      </w:r>
      <w:r>
        <w:rPr>
          <w:rFonts w:hint="default" w:ascii="仿宋_GB2312" w:hAnsi="仿宋_GB2312" w:eastAsia="仿宋_GB2312" w:cs="仿宋_GB2312"/>
          <w:snapToGrid w:val="0"/>
          <w:color w:val="auto"/>
          <w:spacing w:val="0"/>
          <w:kern w:val="0"/>
          <w:sz w:val="32"/>
          <w:szCs w:val="32"/>
        </w:rPr>
        <w:t>月1</w:t>
      </w:r>
      <w:r>
        <w:rPr>
          <w:rFonts w:hint="eastAsia" w:ascii="仿宋_GB2312" w:hAnsi="仿宋_GB2312" w:eastAsia="仿宋_GB2312" w:cs="仿宋_GB2312"/>
          <w:snapToGrid w:val="0"/>
          <w:color w:val="auto"/>
          <w:spacing w:val="0"/>
          <w:kern w:val="0"/>
          <w:sz w:val="32"/>
          <w:szCs w:val="32"/>
          <w:lang w:val="en-US" w:eastAsia="zh-CN"/>
        </w:rPr>
        <w:t>5</w:t>
      </w:r>
      <w:r>
        <w:rPr>
          <w:rFonts w:hint="default" w:ascii="仿宋_GB2312" w:hAnsi="仿宋_GB2312" w:eastAsia="仿宋_GB2312" w:cs="仿宋_GB2312"/>
          <w:snapToGrid w:val="0"/>
          <w:color w:val="auto"/>
          <w:spacing w:val="0"/>
          <w:kern w:val="0"/>
          <w:sz w:val="32"/>
          <w:szCs w:val="32"/>
        </w:rPr>
        <w:t>日起施行）；</w:t>
      </w:r>
    </w:p>
    <w:p w14:paraId="28BA4D2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（2）《中华人民共和国突发事件应对法》（</w:t>
      </w:r>
      <w:r>
        <w:rPr>
          <w:rFonts w:hint="eastAsia" w:ascii="仿宋_GB2312" w:hAnsi="仿宋_GB2312" w:eastAsia="仿宋_GB2312" w:cs="仿宋_GB2312"/>
          <w:snapToGrid w:val="0"/>
          <w:color w:val="auto"/>
          <w:spacing w:val="0"/>
          <w:kern w:val="0"/>
          <w:sz w:val="32"/>
          <w:szCs w:val="32"/>
        </w:rPr>
        <w:t>2024年6月28日第十四届全国人民代表大会常务委员会第十次会议修订</w:t>
      </w:r>
      <w:r>
        <w:rPr>
          <w:rFonts w:hint="default" w:ascii="仿宋_GB2312" w:hAnsi="仿宋_GB2312" w:eastAsia="仿宋_GB2312" w:cs="仿宋_GB2312"/>
          <w:snapToGrid w:val="0"/>
          <w:color w:val="auto"/>
          <w:spacing w:val="0"/>
          <w:kern w:val="0"/>
          <w:sz w:val="32"/>
          <w:szCs w:val="32"/>
        </w:rPr>
        <w:t>，自20</w:t>
      </w:r>
      <w:r>
        <w:rPr>
          <w:rFonts w:hint="eastAsia" w:ascii="仿宋_GB2312" w:hAnsi="仿宋_GB2312" w:eastAsia="仿宋_GB2312" w:cs="仿宋_GB2312"/>
          <w:snapToGrid w:val="0"/>
          <w:color w:val="auto"/>
          <w:spacing w:val="0"/>
          <w:kern w:val="0"/>
          <w:sz w:val="32"/>
          <w:szCs w:val="32"/>
          <w:lang w:val="en-US" w:eastAsia="zh-CN"/>
        </w:rPr>
        <w:t>24</w:t>
      </w:r>
      <w:r>
        <w:rPr>
          <w:rFonts w:hint="default" w:ascii="仿宋_GB2312" w:hAnsi="仿宋_GB2312" w:eastAsia="仿宋_GB2312" w:cs="仿宋_GB2312"/>
          <w:snapToGrid w:val="0"/>
          <w:color w:val="auto"/>
          <w:spacing w:val="0"/>
          <w:kern w:val="0"/>
          <w:sz w:val="32"/>
          <w:szCs w:val="32"/>
        </w:rPr>
        <w:t>年11月1日起施行）；</w:t>
      </w:r>
    </w:p>
    <w:p w14:paraId="65ED791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（3）《中华人民共和国安全生产法》（2021年6月10日，中华人民共和国第十三届全国人民代表大会常务委员会第二十九次会议通过，2021年9月1日</w:t>
      </w:r>
      <w:r>
        <w:rPr>
          <w:rFonts w:hint="eastAsia" w:ascii="仿宋_GB2312" w:hAnsi="仿宋_GB2312" w:eastAsia="仿宋_GB2312" w:cs="仿宋_GB2312"/>
          <w:snapToGrid w:val="0"/>
          <w:color w:val="auto"/>
          <w:spacing w:val="0"/>
          <w:kern w:val="0"/>
          <w:sz w:val="32"/>
          <w:szCs w:val="32"/>
          <w:lang w:eastAsia="zh-CN"/>
        </w:rPr>
        <w:t>起施行</w:t>
      </w:r>
      <w:r>
        <w:rPr>
          <w:rFonts w:hint="default" w:ascii="仿宋_GB2312" w:hAnsi="仿宋_GB2312" w:eastAsia="仿宋_GB2312" w:cs="仿宋_GB2312"/>
          <w:snapToGrid w:val="0"/>
          <w:color w:val="auto"/>
          <w:spacing w:val="0"/>
          <w:kern w:val="0"/>
          <w:sz w:val="32"/>
          <w:szCs w:val="32"/>
        </w:rPr>
        <w:t>）；</w:t>
      </w:r>
    </w:p>
    <w:p w14:paraId="066B08D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（4）《中华人民共和国消防法》（2021年4月29日第十三届全国人民代表大会常务委员会第二十八次会议通过第三次修正）；</w:t>
      </w:r>
    </w:p>
    <w:p w14:paraId="577CE36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eastAsia="zh-CN"/>
        </w:rPr>
      </w:pPr>
      <w:r>
        <w:rPr>
          <w:rFonts w:hint="eastAsia" w:ascii="仿宋_GB2312" w:hAnsi="仿宋_GB2312" w:eastAsia="仿宋_GB2312" w:cs="仿宋_GB2312"/>
          <w:snapToGrid w:val="0"/>
          <w:color w:val="auto"/>
          <w:spacing w:val="0"/>
          <w:kern w:val="0"/>
          <w:sz w:val="32"/>
          <w:szCs w:val="32"/>
          <w:lang w:eastAsia="zh-CN"/>
        </w:rPr>
        <w:t>（</w:t>
      </w:r>
      <w:r>
        <w:rPr>
          <w:rFonts w:hint="eastAsia" w:ascii="仿宋_GB2312" w:hAnsi="仿宋_GB2312" w:eastAsia="仿宋_GB2312" w:cs="仿宋_GB2312"/>
          <w:snapToGrid w:val="0"/>
          <w:color w:val="auto"/>
          <w:spacing w:val="0"/>
          <w:kern w:val="0"/>
          <w:sz w:val="32"/>
          <w:szCs w:val="32"/>
          <w:lang w:val="en-US" w:eastAsia="zh-CN"/>
        </w:rPr>
        <w:t>5）</w:t>
      </w:r>
      <w:r>
        <w:rPr>
          <w:rFonts w:hint="default" w:ascii="仿宋_GB2312" w:hAnsi="仿宋_GB2312" w:eastAsia="仿宋_GB2312" w:cs="仿宋_GB2312"/>
          <w:snapToGrid w:val="0"/>
          <w:color w:val="auto"/>
          <w:spacing w:val="0"/>
          <w:kern w:val="0"/>
          <w:sz w:val="32"/>
          <w:szCs w:val="32"/>
        </w:rPr>
        <w:t>《中华人民共和国危险化学品安全法》</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2026年5月1日起施行</w:t>
      </w:r>
      <w:r>
        <w:rPr>
          <w:rFonts w:hint="eastAsia" w:ascii="仿宋_GB2312" w:hAnsi="仿宋_GB2312" w:eastAsia="仿宋_GB2312" w:cs="仿宋_GB2312"/>
          <w:snapToGrid w:val="0"/>
          <w:color w:val="auto"/>
          <w:spacing w:val="0"/>
          <w:kern w:val="0"/>
          <w:sz w:val="32"/>
          <w:szCs w:val="32"/>
          <w:lang w:eastAsia="zh-CN"/>
        </w:rPr>
        <w:t>）；</w:t>
      </w:r>
    </w:p>
    <w:p w14:paraId="42C90AC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6</w:t>
      </w:r>
      <w:r>
        <w:rPr>
          <w:rFonts w:hint="default" w:ascii="仿宋_GB2312" w:hAnsi="仿宋_GB2312" w:eastAsia="仿宋_GB2312" w:cs="仿宋_GB2312"/>
          <w:snapToGrid w:val="0"/>
          <w:color w:val="auto"/>
          <w:spacing w:val="0"/>
          <w:kern w:val="0"/>
          <w:sz w:val="32"/>
          <w:szCs w:val="32"/>
        </w:rPr>
        <w:t>）《建设项目环境保护管理条例》（中华人民共和国国务院令第682号，2017年6月21日修订发布，2017年10月1日起施行）；</w:t>
      </w:r>
    </w:p>
    <w:p w14:paraId="63314A41">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7</w:t>
      </w:r>
      <w:r>
        <w:rPr>
          <w:rFonts w:hint="default" w:ascii="仿宋_GB2312" w:hAnsi="仿宋_GB2312" w:eastAsia="仿宋_GB2312" w:cs="仿宋_GB2312"/>
          <w:snapToGrid w:val="0"/>
          <w:color w:val="auto"/>
          <w:spacing w:val="0"/>
          <w:kern w:val="0"/>
          <w:sz w:val="32"/>
          <w:szCs w:val="32"/>
        </w:rPr>
        <w:t>）《危险化学品安全管理条例》（2013年修正）（国务院令第645号，自2013年12月7日起施行）；</w:t>
      </w:r>
    </w:p>
    <w:p w14:paraId="232A8F4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8</w:t>
      </w:r>
      <w:r>
        <w:rPr>
          <w:rFonts w:hint="default" w:ascii="仿宋_GB2312" w:hAnsi="仿宋_GB2312" w:eastAsia="仿宋_GB2312" w:cs="仿宋_GB2312"/>
          <w:snapToGrid w:val="0"/>
          <w:color w:val="auto"/>
          <w:spacing w:val="0"/>
          <w:kern w:val="0"/>
          <w:sz w:val="32"/>
          <w:szCs w:val="32"/>
        </w:rPr>
        <w:t>）《国务院关于加强环境保护重点工作的意见》（国发〔2011〕35号，2011年10月17日）；</w:t>
      </w:r>
    </w:p>
    <w:p w14:paraId="590A12A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9</w:t>
      </w:r>
      <w:r>
        <w:rPr>
          <w:rFonts w:hint="default" w:ascii="仿宋_GB2312" w:hAnsi="仿宋_GB2312" w:eastAsia="仿宋_GB2312" w:cs="仿宋_GB2312"/>
          <w:snapToGrid w:val="0"/>
          <w:color w:val="auto"/>
          <w:spacing w:val="0"/>
          <w:kern w:val="0"/>
          <w:sz w:val="32"/>
          <w:szCs w:val="32"/>
        </w:rPr>
        <w:t>）《突发事件应急预案管理办法》（</w:t>
      </w:r>
      <w:r>
        <w:rPr>
          <w:rFonts w:hint="eastAsia" w:ascii="仿宋_GB2312" w:hAnsi="仿宋_GB2312" w:eastAsia="仿宋_GB2312" w:cs="仿宋_GB2312"/>
          <w:snapToGrid w:val="0"/>
          <w:color w:val="auto"/>
          <w:spacing w:val="0"/>
          <w:kern w:val="0"/>
          <w:sz w:val="32"/>
          <w:szCs w:val="32"/>
          <w:lang w:val="en-US" w:eastAsia="zh-CN"/>
        </w:rPr>
        <w:t>国办发﹝2024﹞5号</w:t>
      </w:r>
      <w:r>
        <w:rPr>
          <w:rFonts w:hint="default" w:ascii="仿宋_GB2312" w:hAnsi="仿宋_GB2312" w:eastAsia="仿宋_GB2312" w:cs="仿宋_GB2312"/>
          <w:snapToGrid w:val="0"/>
          <w:color w:val="auto"/>
          <w:spacing w:val="0"/>
          <w:kern w:val="0"/>
          <w:sz w:val="32"/>
          <w:szCs w:val="32"/>
        </w:rPr>
        <w:t>，20</w:t>
      </w:r>
      <w:r>
        <w:rPr>
          <w:rFonts w:hint="eastAsia" w:ascii="仿宋_GB2312" w:hAnsi="仿宋_GB2312" w:eastAsia="仿宋_GB2312" w:cs="仿宋_GB2312"/>
          <w:snapToGrid w:val="0"/>
          <w:color w:val="auto"/>
          <w:spacing w:val="0"/>
          <w:kern w:val="0"/>
          <w:sz w:val="32"/>
          <w:szCs w:val="32"/>
          <w:lang w:val="en-US" w:eastAsia="zh-CN"/>
        </w:rPr>
        <w:t>24</w:t>
      </w:r>
      <w:r>
        <w:rPr>
          <w:rFonts w:hint="default" w:ascii="仿宋_GB2312" w:hAnsi="仿宋_GB2312" w:eastAsia="仿宋_GB2312" w:cs="仿宋_GB2312"/>
          <w:snapToGrid w:val="0"/>
          <w:color w:val="auto"/>
          <w:spacing w:val="0"/>
          <w:kern w:val="0"/>
          <w:sz w:val="32"/>
          <w:szCs w:val="32"/>
        </w:rPr>
        <w:t>年</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月</w:t>
      </w:r>
      <w:r>
        <w:rPr>
          <w:rFonts w:hint="eastAsia" w:ascii="仿宋_GB2312" w:hAnsi="仿宋_GB2312" w:eastAsia="仿宋_GB2312" w:cs="仿宋_GB2312"/>
          <w:snapToGrid w:val="0"/>
          <w:color w:val="auto"/>
          <w:spacing w:val="0"/>
          <w:kern w:val="0"/>
          <w:sz w:val="32"/>
          <w:szCs w:val="32"/>
          <w:lang w:val="en-US" w:eastAsia="zh-CN"/>
        </w:rPr>
        <w:t>7</w:t>
      </w:r>
      <w:r>
        <w:rPr>
          <w:rFonts w:hint="default" w:ascii="仿宋_GB2312" w:hAnsi="仿宋_GB2312" w:eastAsia="仿宋_GB2312" w:cs="仿宋_GB2312"/>
          <w:snapToGrid w:val="0"/>
          <w:color w:val="auto"/>
          <w:spacing w:val="0"/>
          <w:kern w:val="0"/>
          <w:sz w:val="32"/>
          <w:szCs w:val="32"/>
        </w:rPr>
        <w:t>日）；</w:t>
      </w:r>
    </w:p>
    <w:p w14:paraId="7C34C9D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0</w:t>
      </w:r>
      <w:r>
        <w:rPr>
          <w:rFonts w:hint="default" w:ascii="仿宋_GB2312" w:hAnsi="仿宋_GB2312" w:eastAsia="仿宋_GB2312" w:cs="仿宋_GB2312"/>
          <w:snapToGrid w:val="0"/>
          <w:color w:val="auto"/>
          <w:spacing w:val="0"/>
          <w:kern w:val="0"/>
          <w:sz w:val="32"/>
          <w:szCs w:val="32"/>
        </w:rPr>
        <w:t>）《突发环境事件应急管理办法》（环境保护部令第34号，自2015年6月5日起施行）；</w:t>
      </w:r>
    </w:p>
    <w:p w14:paraId="0C8B771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）《突发环境事件应急预案管理暂行办法》（环发〔2010〕113号，2010年9月28日实施）；</w:t>
      </w:r>
    </w:p>
    <w:p w14:paraId="2064BA1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）《企业事业单位突发环境事件应急预案备案管理办法（试行）》（环发〔2015〕4号，2015年1月8日</w:t>
      </w:r>
      <w:r>
        <w:rPr>
          <w:rFonts w:hint="eastAsia" w:ascii="仿宋_GB2312" w:hAnsi="仿宋_GB2312" w:eastAsia="仿宋_GB2312" w:cs="仿宋_GB2312"/>
          <w:snapToGrid w:val="0"/>
          <w:color w:val="auto"/>
          <w:spacing w:val="0"/>
          <w:kern w:val="0"/>
          <w:sz w:val="32"/>
          <w:szCs w:val="32"/>
          <w:lang w:eastAsia="zh-CN"/>
        </w:rPr>
        <w:t>起施行</w:t>
      </w:r>
      <w:r>
        <w:rPr>
          <w:rFonts w:hint="default" w:ascii="仿宋_GB2312" w:hAnsi="仿宋_GB2312" w:eastAsia="仿宋_GB2312" w:cs="仿宋_GB2312"/>
          <w:snapToGrid w:val="0"/>
          <w:color w:val="auto"/>
          <w:spacing w:val="0"/>
          <w:kern w:val="0"/>
          <w:sz w:val="32"/>
          <w:szCs w:val="32"/>
        </w:rPr>
        <w:t>）；</w:t>
      </w:r>
    </w:p>
    <w:p w14:paraId="29B9608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3</w:t>
      </w:r>
      <w:r>
        <w:rPr>
          <w:rFonts w:hint="default" w:ascii="仿宋_GB2312" w:hAnsi="仿宋_GB2312" w:eastAsia="仿宋_GB2312" w:cs="仿宋_GB2312"/>
          <w:snapToGrid w:val="0"/>
          <w:color w:val="auto"/>
          <w:spacing w:val="0"/>
          <w:kern w:val="0"/>
          <w:sz w:val="32"/>
          <w:szCs w:val="32"/>
        </w:rPr>
        <w:t>）《突发环境事件信息报告办法》（环境保护部令第17号，自2011年5月1日起施行）；</w:t>
      </w:r>
    </w:p>
    <w:p w14:paraId="62A1DBE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4</w:t>
      </w:r>
      <w:r>
        <w:rPr>
          <w:rFonts w:hint="default" w:ascii="仿宋_GB2312" w:hAnsi="仿宋_GB2312" w:eastAsia="仿宋_GB2312" w:cs="仿宋_GB2312"/>
          <w:snapToGrid w:val="0"/>
          <w:color w:val="auto"/>
          <w:spacing w:val="0"/>
          <w:kern w:val="0"/>
          <w:sz w:val="32"/>
          <w:szCs w:val="32"/>
        </w:rPr>
        <w:t>）《危险化学品环境管理登记办法（试行）》（环境保护部令第22号，自2013年3月1日起施行）；</w:t>
      </w:r>
    </w:p>
    <w:p w14:paraId="3C36F44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15</w:t>
      </w:r>
      <w:r>
        <w:rPr>
          <w:rFonts w:hint="default" w:ascii="仿宋_GB2312" w:hAnsi="仿宋_GB2312" w:eastAsia="仿宋_GB2312" w:cs="仿宋_GB2312"/>
          <w:snapToGrid w:val="0"/>
          <w:color w:val="auto"/>
          <w:spacing w:val="0"/>
          <w:kern w:val="0"/>
          <w:sz w:val="32"/>
          <w:szCs w:val="32"/>
        </w:rPr>
        <w:t>）《危险化学品重大危险源监督管理暂行规定》（安全监管总局令</w:t>
      </w:r>
      <w:r>
        <w:rPr>
          <w:rFonts w:hint="eastAsia" w:ascii="仿宋_GB2312" w:hAnsi="仿宋_GB2312" w:eastAsia="仿宋_GB2312" w:cs="仿宋_GB2312"/>
          <w:snapToGrid w:val="0"/>
          <w:color w:val="auto"/>
          <w:spacing w:val="0"/>
          <w:kern w:val="0"/>
          <w:sz w:val="32"/>
          <w:szCs w:val="32"/>
          <w:lang w:eastAsia="zh-CN"/>
        </w:rPr>
        <w:t>〔2011〕40号</w:t>
      </w:r>
      <w:r>
        <w:rPr>
          <w:rFonts w:hint="default" w:ascii="仿宋_GB2312" w:hAnsi="仿宋_GB2312" w:eastAsia="仿宋_GB2312" w:cs="仿宋_GB2312"/>
          <w:snapToGrid w:val="0"/>
          <w:color w:val="auto"/>
          <w:spacing w:val="0"/>
          <w:kern w:val="0"/>
          <w:sz w:val="32"/>
          <w:szCs w:val="32"/>
        </w:rPr>
        <w:t>，国家安全生产监督管理总局令第79号修订，自2015年7月1日起施行）；</w:t>
      </w:r>
    </w:p>
    <w:p w14:paraId="04823AB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16</w:t>
      </w:r>
      <w:r>
        <w:rPr>
          <w:rFonts w:hint="default" w:ascii="仿宋_GB2312" w:hAnsi="仿宋_GB2312" w:eastAsia="仿宋_GB2312" w:cs="仿宋_GB2312"/>
          <w:snapToGrid w:val="0"/>
          <w:color w:val="auto"/>
          <w:spacing w:val="0"/>
          <w:kern w:val="0"/>
          <w:sz w:val="32"/>
          <w:szCs w:val="32"/>
        </w:rPr>
        <w:t>）《危险化学品生产企业安全生产许可证实施办法》（安全监管总局令</w:t>
      </w:r>
      <w:r>
        <w:rPr>
          <w:rFonts w:hint="eastAsia" w:ascii="仿宋_GB2312" w:hAnsi="仿宋_GB2312" w:eastAsia="仿宋_GB2312" w:cs="仿宋_GB2312"/>
          <w:snapToGrid w:val="0"/>
          <w:color w:val="auto"/>
          <w:spacing w:val="0"/>
          <w:kern w:val="0"/>
          <w:sz w:val="32"/>
          <w:szCs w:val="32"/>
          <w:lang w:eastAsia="zh-CN"/>
        </w:rPr>
        <w:t>〔2011〕41号</w:t>
      </w:r>
      <w:r>
        <w:rPr>
          <w:rFonts w:hint="default" w:ascii="仿宋_GB2312" w:hAnsi="仿宋_GB2312" w:eastAsia="仿宋_GB2312" w:cs="仿宋_GB2312"/>
          <w:snapToGrid w:val="0"/>
          <w:color w:val="auto"/>
          <w:spacing w:val="0"/>
          <w:kern w:val="0"/>
          <w:sz w:val="32"/>
          <w:szCs w:val="32"/>
        </w:rPr>
        <w:t>，2017年3月6日国家安全生产监督管理总局令第89号修正）；</w:t>
      </w:r>
    </w:p>
    <w:p w14:paraId="65662EE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17</w:t>
      </w:r>
      <w:r>
        <w:rPr>
          <w:rFonts w:hint="default" w:ascii="仿宋_GB2312" w:hAnsi="仿宋_GB2312" w:eastAsia="仿宋_GB2312" w:cs="仿宋_GB2312"/>
          <w:snapToGrid w:val="0"/>
          <w:color w:val="auto"/>
          <w:spacing w:val="0"/>
          <w:kern w:val="0"/>
          <w:sz w:val="32"/>
          <w:szCs w:val="32"/>
        </w:rPr>
        <w:t>）《危险化学品建设项目安全监督管理办法》（2015年5月27日国家安全生产监督管理总局令第79号修正）；</w:t>
      </w:r>
    </w:p>
    <w:p w14:paraId="05760BB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18</w:t>
      </w:r>
      <w:r>
        <w:rPr>
          <w:rFonts w:hint="default" w:ascii="仿宋_GB2312" w:hAnsi="仿宋_GB2312" w:eastAsia="仿宋_GB2312" w:cs="仿宋_GB2312"/>
          <w:snapToGrid w:val="0"/>
          <w:color w:val="auto"/>
          <w:spacing w:val="0"/>
          <w:kern w:val="0"/>
          <w:sz w:val="32"/>
          <w:szCs w:val="32"/>
        </w:rPr>
        <w:t>）《重点监管危险化工工艺目录》（安监总管三〔2013〕3号）；</w:t>
      </w:r>
    </w:p>
    <w:p w14:paraId="0512B8A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19</w:t>
      </w:r>
      <w:r>
        <w:rPr>
          <w:rFonts w:hint="default" w:ascii="仿宋_GB2312" w:hAnsi="仿宋_GB2312" w:eastAsia="仿宋_GB2312" w:cs="仿宋_GB2312"/>
          <w:snapToGrid w:val="0"/>
          <w:color w:val="auto"/>
          <w:spacing w:val="0"/>
          <w:kern w:val="0"/>
          <w:sz w:val="32"/>
          <w:szCs w:val="32"/>
        </w:rPr>
        <w:t>）《关于进一步加强环境影响评价管理防范环境风险的通知》（环发〔2012〕77号）；</w:t>
      </w:r>
    </w:p>
    <w:p w14:paraId="0AB8DDD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w:t>
      </w:r>
      <w:r>
        <w:rPr>
          <w:rFonts w:hint="eastAsia" w:ascii="仿宋_GB2312" w:hAnsi="仿宋_GB2312" w:eastAsia="仿宋_GB2312" w:cs="仿宋_GB2312"/>
          <w:snapToGrid w:val="0"/>
          <w:color w:val="auto"/>
          <w:spacing w:val="0"/>
          <w:kern w:val="0"/>
          <w:sz w:val="32"/>
          <w:szCs w:val="32"/>
          <w:lang w:val="en-US" w:eastAsia="zh-CN"/>
        </w:rPr>
        <w:t>0</w:t>
      </w:r>
      <w:r>
        <w:rPr>
          <w:rFonts w:hint="default" w:ascii="仿宋_GB2312" w:hAnsi="仿宋_GB2312" w:eastAsia="仿宋_GB2312" w:cs="仿宋_GB2312"/>
          <w:snapToGrid w:val="0"/>
          <w:color w:val="auto"/>
          <w:spacing w:val="0"/>
          <w:kern w:val="0"/>
          <w:sz w:val="32"/>
          <w:szCs w:val="32"/>
        </w:rPr>
        <w:t>）《道路危险货物运输管理规定》（</w:t>
      </w:r>
      <w:r>
        <w:rPr>
          <w:rFonts w:hint="eastAsia" w:ascii="仿宋_GB2312" w:hAnsi="仿宋_GB2312" w:eastAsia="仿宋_GB2312" w:cs="仿宋_GB2312"/>
          <w:snapToGrid w:val="0"/>
          <w:color w:val="auto"/>
          <w:spacing w:val="0"/>
          <w:kern w:val="0"/>
          <w:sz w:val="32"/>
          <w:szCs w:val="32"/>
        </w:rPr>
        <w:t>2023年11月1日</w:t>
      </w:r>
      <w:r>
        <w:rPr>
          <w:rFonts w:hint="eastAsia" w:ascii="仿宋_GB2312" w:hAnsi="仿宋_GB2312" w:eastAsia="仿宋_GB2312" w:cs="仿宋_GB2312"/>
          <w:snapToGrid w:val="0"/>
          <w:color w:val="auto"/>
          <w:spacing w:val="0"/>
          <w:kern w:val="0"/>
          <w:sz w:val="32"/>
          <w:szCs w:val="32"/>
          <w:lang w:val="en-US" w:eastAsia="zh-CN"/>
        </w:rPr>
        <w:t>修订</w:t>
      </w:r>
      <w:r>
        <w:rPr>
          <w:rFonts w:hint="default" w:ascii="仿宋_GB2312" w:hAnsi="仿宋_GB2312" w:eastAsia="仿宋_GB2312" w:cs="仿宋_GB2312"/>
          <w:snapToGrid w:val="0"/>
          <w:color w:val="auto"/>
          <w:spacing w:val="0"/>
          <w:kern w:val="0"/>
          <w:sz w:val="32"/>
          <w:szCs w:val="32"/>
        </w:rPr>
        <w:t>）；</w:t>
      </w:r>
    </w:p>
    <w:p w14:paraId="4CEB3E3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w:t>
      </w:r>
      <w:r>
        <w:rPr>
          <w:rFonts w:hint="eastAsia"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）《关于加强资源环境生态红线管控的指导意见》（发改环资〔2016〕1162号，2016年5月30日）；</w:t>
      </w:r>
    </w:p>
    <w:p w14:paraId="1BA5118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）《突发环境事件调查处理办法》（环境保护部令第32号</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自2015年3月1日起施行）；</w:t>
      </w:r>
    </w:p>
    <w:p w14:paraId="4C6E9B4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w:t>
      </w:r>
      <w:r>
        <w:rPr>
          <w:rFonts w:hint="eastAsia" w:ascii="仿宋_GB2312" w:hAnsi="仿宋_GB2312" w:eastAsia="仿宋_GB2312" w:cs="仿宋_GB2312"/>
          <w:snapToGrid w:val="0"/>
          <w:color w:val="auto"/>
          <w:spacing w:val="0"/>
          <w:kern w:val="0"/>
          <w:sz w:val="32"/>
          <w:szCs w:val="32"/>
          <w:lang w:val="en-US" w:eastAsia="zh-CN"/>
        </w:rPr>
        <w:t>3</w:t>
      </w:r>
      <w:r>
        <w:rPr>
          <w:rFonts w:hint="default" w:ascii="仿宋_GB2312" w:hAnsi="仿宋_GB2312" w:eastAsia="仿宋_GB2312" w:cs="仿宋_GB2312"/>
          <w:snapToGrid w:val="0"/>
          <w:color w:val="auto"/>
          <w:spacing w:val="0"/>
          <w:kern w:val="0"/>
          <w:sz w:val="32"/>
          <w:szCs w:val="32"/>
        </w:rPr>
        <w:t>）《关于切实加强风险防范严格环境影响评价管理的通知》（环发</w:t>
      </w:r>
      <w:r>
        <w:rPr>
          <w:rFonts w:hint="eastAsia" w:ascii="仿宋_GB2312" w:hAnsi="仿宋_GB2312" w:eastAsia="仿宋_GB2312" w:cs="仿宋_GB2312"/>
          <w:snapToGrid w:val="0"/>
          <w:color w:val="auto"/>
          <w:spacing w:val="0"/>
          <w:kern w:val="0"/>
          <w:sz w:val="32"/>
          <w:szCs w:val="32"/>
        </w:rPr>
        <w:t>﹝</w:t>
      </w:r>
      <w:r>
        <w:rPr>
          <w:rFonts w:hint="default" w:ascii="仿宋_GB2312" w:hAnsi="仿宋_GB2312" w:eastAsia="仿宋_GB2312" w:cs="仿宋_GB2312"/>
          <w:snapToGrid w:val="0"/>
          <w:color w:val="auto"/>
          <w:spacing w:val="0"/>
          <w:kern w:val="0"/>
          <w:sz w:val="32"/>
          <w:szCs w:val="32"/>
        </w:rPr>
        <w:t>2012</w:t>
      </w:r>
      <w:r>
        <w:rPr>
          <w:rFonts w:hint="eastAsia" w:ascii="仿宋_GB2312" w:hAnsi="仿宋_GB2312" w:eastAsia="仿宋_GB2312" w:cs="仿宋_GB2312"/>
          <w:snapToGrid w:val="0"/>
          <w:color w:val="auto"/>
          <w:spacing w:val="0"/>
          <w:kern w:val="0"/>
          <w:sz w:val="32"/>
          <w:szCs w:val="32"/>
        </w:rPr>
        <w:t>﹞</w:t>
      </w:r>
      <w:r>
        <w:rPr>
          <w:rFonts w:hint="default" w:ascii="仿宋_GB2312" w:hAnsi="仿宋_GB2312" w:eastAsia="仿宋_GB2312" w:cs="仿宋_GB2312"/>
          <w:snapToGrid w:val="0"/>
          <w:color w:val="auto"/>
          <w:spacing w:val="0"/>
          <w:kern w:val="0"/>
          <w:sz w:val="32"/>
          <w:szCs w:val="32"/>
        </w:rPr>
        <w:t>98</w:t>
      </w:r>
      <w:r>
        <w:rPr>
          <w:rFonts w:hint="eastAsia" w:ascii="仿宋_GB2312" w:hAnsi="仿宋_GB2312" w:eastAsia="仿宋_GB2312" w:cs="仿宋_GB2312"/>
          <w:snapToGrid w:val="0"/>
          <w:color w:val="auto"/>
          <w:spacing w:val="0"/>
          <w:kern w:val="0"/>
          <w:sz w:val="32"/>
          <w:szCs w:val="32"/>
          <w:lang w:eastAsia="zh-CN"/>
        </w:rPr>
        <w:t>号</w:t>
      </w:r>
      <w:r>
        <w:rPr>
          <w:rFonts w:hint="default" w:ascii="仿宋_GB2312" w:hAnsi="仿宋_GB2312" w:eastAsia="仿宋_GB2312" w:cs="仿宋_GB2312"/>
          <w:snapToGrid w:val="0"/>
          <w:color w:val="auto"/>
          <w:spacing w:val="0"/>
          <w:kern w:val="0"/>
          <w:sz w:val="32"/>
          <w:szCs w:val="32"/>
        </w:rPr>
        <w:t>）；</w:t>
      </w:r>
    </w:p>
    <w:p w14:paraId="527CA87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w:t>
      </w:r>
      <w:r>
        <w:rPr>
          <w:rFonts w:hint="eastAsia" w:ascii="仿宋_GB2312" w:hAnsi="仿宋_GB2312" w:eastAsia="仿宋_GB2312" w:cs="仿宋_GB2312"/>
          <w:snapToGrid w:val="0"/>
          <w:color w:val="auto"/>
          <w:spacing w:val="0"/>
          <w:kern w:val="0"/>
          <w:sz w:val="32"/>
          <w:szCs w:val="32"/>
          <w:lang w:val="en-US" w:eastAsia="zh-CN"/>
        </w:rPr>
        <w:t>4</w:t>
      </w:r>
      <w:r>
        <w:rPr>
          <w:rFonts w:hint="default" w:ascii="仿宋_GB2312" w:hAnsi="仿宋_GB2312" w:eastAsia="仿宋_GB2312" w:cs="仿宋_GB2312"/>
          <w:snapToGrid w:val="0"/>
          <w:color w:val="auto"/>
          <w:spacing w:val="0"/>
          <w:kern w:val="0"/>
          <w:sz w:val="32"/>
          <w:szCs w:val="32"/>
        </w:rPr>
        <w:t>）《危险化学品安全管理条例》（国务院令第645号</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2013年12月7日</w:t>
      </w:r>
      <w:r>
        <w:rPr>
          <w:rFonts w:hint="eastAsia" w:ascii="仿宋_GB2312" w:hAnsi="仿宋_GB2312" w:eastAsia="仿宋_GB2312" w:cs="仿宋_GB2312"/>
          <w:snapToGrid w:val="0"/>
          <w:color w:val="auto"/>
          <w:spacing w:val="0"/>
          <w:kern w:val="0"/>
          <w:sz w:val="32"/>
          <w:szCs w:val="32"/>
          <w:lang w:val="en-US" w:eastAsia="zh-CN"/>
        </w:rPr>
        <w:t>修订</w:t>
      </w:r>
      <w:r>
        <w:rPr>
          <w:rFonts w:hint="default" w:ascii="仿宋_GB2312" w:hAnsi="仿宋_GB2312" w:eastAsia="仿宋_GB2312" w:cs="仿宋_GB2312"/>
          <w:snapToGrid w:val="0"/>
          <w:color w:val="auto"/>
          <w:spacing w:val="0"/>
          <w:kern w:val="0"/>
          <w:sz w:val="32"/>
          <w:szCs w:val="32"/>
        </w:rPr>
        <w:t>）；</w:t>
      </w:r>
    </w:p>
    <w:p w14:paraId="40AF6C5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25</w:t>
      </w:r>
      <w:r>
        <w:rPr>
          <w:rFonts w:hint="default" w:ascii="仿宋_GB2312" w:hAnsi="仿宋_GB2312" w:eastAsia="仿宋_GB2312" w:cs="仿宋_GB2312"/>
          <w:snapToGrid w:val="0"/>
          <w:color w:val="auto"/>
          <w:spacing w:val="0"/>
          <w:kern w:val="0"/>
          <w:sz w:val="32"/>
          <w:szCs w:val="32"/>
        </w:rPr>
        <w:t>）《企业事业单位突发环境事件应急预案评审工作指南（试行）》（环办应急</w:t>
      </w:r>
      <w:r>
        <w:rPr>
          <w:rFonts w:hint="eastAsia" w:ascii="仿宋_GB2312" w:hAnsi="仿宋_GB2312" w:eastAsia="仿宋_GB2312" w:cs="仿宋_GB2312"/>
          <w:snapToGrid w:val="0"/>
          <w:color w:val="auto"/>
          <w:spacing w:val="0"/>
          <w:kern w:val="0"/>
          <w:sz w:val="32"/>
          <w:szCs w:val="32"/>
        </w:rPr>
        <w:t>﹝</w:t>
      </w:r>
      <w:r>
        <w:rPr>
          <w:rFonts w:hint="default" w:ascii="仿宋_GB2312" w:hAnsi="仿宋_GB2312" w:eastAsia="仿宋_GB2312" w:cs="仿宋_GB2312"/>
          <w:snapToGrid w:val="0"/>
          <w:color w:val="auto"/>
          <w:spacing w:val="0"/>
          <w:kern w:val="0"/>
          <w:sz w:val="32"/>
          <w:szCs w:val="32"/>
        </w:rPr>
        <w:t>2018</w:t>
      </w:r>
      <w:r>
        <w:rPr>
          <w:rFonts w:hint="eastAsia" w:ascii="仿宋_GB2312" w:hAnsi="仿宋_GB2312" w:eastAsia="仿宋_GB2312" w:cs="仿宋_GB2312"/>
          <w:snapToGrid w:val="0"/>
          <w:color w:val="auto"/>
          <w:spacing w:val="0"/>
          <w:kern w:val="0"/>
          <w:sz w:val="32"/>
          <w:szCs w:val="32"/>
        </w:rPr>
        <w:t>﹞</w:t>
      </w:r>
      <w:r>
        <w:rPr>
          <w:rFonts w:hint="default" w:ascii="仿宋_GB2312" w:hAnsi="仿宋_GB2312" w:eastAsia="仿宋_GB2312" w:cs="仿宋_GB2312"/>
          <w:snapToGrid w:val="0"/>
          <w:color w:val="auto"/>
          <w:spacing w:val="0"/>
          <w:kern w:val="0"/>
          <w:sz w:val="32"/>
          <w:szCs w:val="32"/>
        </w:rPr>
        <w:t>8号）；</w:t>
      </w:r>
    </w:p>
    <w:p w14:paraId="13847291">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26</w:t>
      </w:r>
      <w:r>
        <w:rPr>
          <w:rFonts w:hint="default" w:ascii="仿宋_GB2312" w:hAnsi="仿宋_GB2312" w:eastAsia="仿宋_GB2312" w:cs="仿宋_GB2312"/>
          <w:snapToGrid w:val="0"/>
          <w:color w:val="auto"/>
          <w:spacing w:val="0"/>
          <w:kern w:val="0"/>
          <w:sz w:val="32"/>
          <w:szCs w:val="32"/>
        </w:rPr>
        <w:t>）《国家突发事件总体应急预案》（20</w:t>
      </w:r>
      <w:r>
        <w:rPr>
          <w:rFonts w:hint="eastAsia" w:ascii="仿宋_GB2312" w:hAnsi="仿宋_GB2312" w:eastAsia="仿宋_GB2312" w:cs="仿宋_GB2312"/>
          <w:snapToGrid w:val="0"/>
          <w:color w:val="auto"/>
          <w:spacing w:val="0"/>
          <w:kern w:val="0"/>
          <w:sz w:val="32"/>
          <w:szCs w:val="32"/>
          <w:lang w:val="en-US" w:eastAsia="zh-CN"/>
        </w:rPr>
        <w:t>25</w:t>
      </w:r>
      <w:r>
        <w:rPr>
          <w:rFonts w:hint="default" w:ascii="仿宋_GB2312" w:hAnsi="仿宋_GB2312" w:eastAsia="仿宋_GB2312" w:cs="仿宋_GB2312"/>
          <w:snapToGrid w:val="0"/>
          <w:color w:val="auto"/>
          <w:spacing w:val="0"/>
          <w:kern w:val="0"/>
          <w:sz w:val="32"/>
          <w:szCs w:val="32"/>
        </w:rPr>
        <w:t>年</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月</w:t>
      </w:r>
      <w:r>
        <w:rPr>
          <w:rFonts w:hint="eastAsia" w:ascii="仿宋_GB2312" w:hAnsi="仿宋_GB2312" w:eastAsia="仿宋_GB2312" w:cs="仿宋_GB2312"/>
          <w:snapToGrid w:val="0"/>
          <w:color w:val="auto"/>
          <w:spacing w:val="0"/>
          <w:kern w:val="0"/>
          <w:sz w:val="32"/>
          <w:szCs w:val="32"/>
          <w:lang w:val="en-US" w:eastAsia="zh-CN"/>
        </w:rPr>
        <w:t>25</w:t>
      </w:r>
      <w:r>
        <w:rPr>
          <w:rFonts w:hint="default" w:ascii="仿宋_GB2312" w:hAnsi="仿宋_GB2312" w:eastAsia="仿宋_GB2312" w:cs="仿宋_GB2312"/>
          <w:snapToGrid w:val="0"/>
          <w:color w:val="auto"/>
          <w:spacing w:val="0"/>
          <w:kern w:val="0"/>
          <w:sz w:val="32"/>
          <w:szCs w:val="32"/>
        </w:rPr>
        <w:t>日发布）；</w:t>
      </w:r>
    </w:p>
    <w:p w14:paraId="2202CBB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27</w:t>
      </w:r>
      <w:r>
        <w:rPr>
          <w:rFonts w:hint="default" w:ascii="仿宋_GB2312" w:hAnsi="仿宋_GB2312" w:eastAsia="仿宋_GB2312" w:cs="仿宋_GB2312"/>
          <w:snapToGrid w:val="0"/>
          <w:color w:val="auto"/>
          <w:spacing w:val="0"/>
          <w:kern w:val="0"/>
          <w:sz w:val="32"/>
          <w:szCs w:val="32"/>
        </w:rPr>
        <w:t>）《国家突发环境事件应急预案》（国办函〔2021〕119号，2021年12月29日）；</w:t>
      </w:r>
    </w:p>
    <w:p w14:paraId="3F19916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28</w:t>
      </w:r>
      <w:r>
        <w:rPr>
          <w:rFonts w:hint="default" w:ascii="仿宋_GB2312" w:hAnsi="仿宋_GB2312" w:eastAsia="仿宋_GB2312" w:cs="仿宋_GB2312"/>
          <w:snapToGrid w:val="0"/>
          <w:color w:val="auto"/>
          <w:spacing w:val="0"/>
          <w:kern w:val="0"/>
          <w:sz w:val="32"/>
          <w:szCs w:val="32"/>
        </w:rPr>
        <w:t xml:space="preserve">）《江西省突发事件应对条例》（2013年7月27日）； </w:t>
      </w:r>
    </w:p>
    <w:p w14:paraId="53DACB8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29</w:t>
      </w:r>
      <w:r>
        <w:rPr>
          <w:rFonts w:hint="default" w:ascii="仿宋_GB2312" w:hAnsi="仿宋_GB2312" w:eastAsia="仿宋_GB2312" w:cs="仿宋_GB2312"/>
          <w:snapToGrid w:val="0"/>
          <w:color w:val="auto"/>
          <w:spacing w:val="0"/>
          <w:kern w:val="0"/>
          <w:sz w:val="32"/>
          <w:szCs w:val="32"/>
        </w:rPr>
        <w:t>）《江西省突发事件应急预案管理办法》（赣府厅发</w:t>
      </w:r>
      <w:r>
        <w:rPr>
          <w:rFonts w:hint="eastAsia" w:ascii="仿宋_GB2312" w:hAnsi="仿宋_GB2312" w:eastAsia="仿宋_GB2312" w:cs="仿宋_GB2312"/>
          <w:snapToGrid w:val="0"/>
          <w:color w:val="auto"/>
          <w:spacing w:val="0"/>
          <w:kern w:val="0"/>
          <w:sz w:val="32"/>
          <w:szCs w:val="32"/>
        </w:rPr>
        <w:t>﹝</w:t>
      </w:r>
      <w:r>
        <w:rPr>
          <w:rFonts w:hint="default" w:ascii="仿宋_GB2312" w:hAnsi="仿宋_GB2312" w:eastAsia="仿宋_GB2312" w:cs="仿宋_GB2312"/>
          <w:snapToGrid w:val="0"/>
          <w:color w:val="auto"/>
          <w:spacing w:val="0"/>
          <w:kern w:val="0"/>
          <w:sz w:val="32"/>
          <w:szCs w:val="32"/>
        </w:rPr>
        <w:t>20</w:t>
      </w:r>
      <w:r>
        <w:rPr>
          <w:rFonts w:hint="eastAsia" w:ascii="仿宋_GB2312" w:hAnsi="仿宋_GB2312" w:eastAsia="仿宋_GB2312" w:cs="仿宋_GB2312"/>
          <w:snapToGrid w:val="0"/>
          <w:color w:val="auto"/>
          <w:spacing w:val="0"/>
          <w:kern w:val="0"/>
          <w:sz w:val="32"/>
          <w:szCs w:val="32"/>
          <w:lang w:val="en-US" w:eastAsia="zh-CN"/>
        </w:rPr>
        <w:t>24</w:t>
      </w:r>
      <w:r>
        <w:rPr>
          <w:rFonts w:hint="eastAsia"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26</w:t>
      </w:r>
      <w:r>
        <w:rPr>
          <w:rFonts w:hint="default" w:ascii="仿宋_GB2312" w:hAnsi="仿宋_GB2312" w:eastAsia="仿宋_GB2312" w:cs="仿宋_GB2312"/>
          <w:snapToGrid w:val="0"/>
          <w:color w:val="auto"/>
          <w:spacing w:val="0"/>
          <w:kern w:val="0"/>
          <w:sz w:val="32"/>
          <w:szCs w:val="32"/>
        </w:rPr>
        <w:t xml:space="preserve">号）； </w:t>
      </w:r>
    </w:p>
    <w:p w14:paraId="112B7DB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w:t>
      </w:r>
      <w:r>
        <w:rPr>
          <w:rFonts w:hint="eastAsia" w:ascii="仿宋_GB2312" w:hAnsi="仿宋_GB2312" w:eastAsia="仿宋_GB2312" w:cs="仿宋_GB2312"/>
          <w:snapToGrid w:val="0"/>
          <w:color w:val="auto"/>
          <w:spacing w:val="0"/>
          <w:kern w:val="0"/>
          <w:sz w:val="32"/>
          <w:szCs w:val="32"/>
          <w:lang w:val="en-US" w:eastAsia="zh-CN"/>
        </w:rPr>
        <w:t>0</w:t>
      </w:r>
      <w:r>
        <w:rPr>
          <w:rFonts w:hint="default" w:ascii="仿宋_GB2312" w:hAnsi="仿宋_GB2312" w:eastAsia="仿宋_GB2312" w:cs="仿宋_GB2312"/>
          <w:snapToGrid w:val="0"/>
          <w:color w:val="auto"/>
          <w:spacing w:val="0"/>
          <w:kern w:val="0"/>
          <w:sz w:val="32"/>
          <w:szCs w:val="32"/>
        </w:rPr>
        <w:t xml:space="preserve">）《江西省突发事件预警信息发布管理办法（试行）》（赣府厅发〔2014〕1号）； </w:t>
      </w:r>
    </w:p>
    <w:p w14:paraId="5104EE5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w:t>
      </w:r>
      <w:r>
        <w:rPr>
          <w:rFonts w:hint="eastAsia"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）《江西省突发公共事件总体应急预案》（江西省人民政府，2021年7月7日发布）；</w:t>
      </w:r>
    </w:p>
    <w:p w14:paraId="47E0609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）关于印发《江西省突发环境事件应急预案》的通知（赣府厅字〔2020〕93号）；</w:t>
      </w:r>
    </w:p>
    <w:p w14:paraId="795B3A0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w:t>
      </w:r>
      <w:r>
        <w:rPr>
          <w:rFonts w:hint="eastAsia" w:ascii="仿宋_GB2312" w:hAnsi="仿宋_GB2312" w:eastAsia="仿宋_GB2312" w:cs="仿宋_GB2312"/>
          <w:snapToGrid w:val="0"/>
          <w:color w:val="auto"/>
          <w:spacing w:val="0"/>
          <w:kern w:val="0"/>
          <w:sz w:val="32"/>
          <w:szCs w:val="32"/>
          <w:lang w:val="en-US" w:eastAsia="zh-CN"/>
        </w:rPr>
        <w:t>3</w:t>
      </w:r>
      <w:r>
        <w:rPr>
          <w:rFonts w:hint="default" w:ascii="仿宋_GB2312" w:hAnsi="仿宋_GB2312" w:eastAsia="仿宋_GB2312" w:cs="仿宋_GB2312"/>
          <w:snapToGrid w:val="0"/>
          <w:color w:val="auto"/>
          <w:spacing w:val="0"/>
          <w:kern w:val="0"/>
          <w:sz w:val="32"/>
          <w:szCs w:val="32"/>
        </w:rPr>
        <w:t>）江西省生态环境厅关于印发《江西省生态环境厅突发环境事件应急预案》 的通知（赣环应急〔2021〕13号）；</w:t>
      </w:r>
    </w:p>
    <w:p w14:paraId="4468E4A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34</w:t>
      </w: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市突发事件应急预案》（</w:t>
      </w:r>
      <w:r>
        <w:rPr>
          <w:rFonts w:hint="eastAsia" w:ascii="仿宋_GB2312" w:hAnsi="仿宋_GB2312" w:eastAsia="仿宋_GB2312" w:cs="仿宋_GB2312"/>
          <w:snapToGrid w:val="0"/>
          <w:color w:val="auto"/>
          <w:spacing w:val="0"/>
          <w:kern w:val="0"/>
          <w:sz w:val="32"/>
          <w:szCs w:val="32"/>
          <w:lang w:val="en-US" w:eastAsia="zh-CN"/>
        </w:rPr>
        <w:t>景</w:t>
      </w:r>
      <w:r>
        <w:rPr>
          <w:rFonts w:hint="default" w:ascii="仿宋_GB2312" w:hAnsi="仿宋_GB2312" w:eastAsia="仿宋_GB2312" w:cs="仿宋_GB2312"/>
          <w:snapToGrid w:val="0"/>
          <w:color w:val="auto"/>
          <w:spacing w:val="0"/>
          <w:kern w:val="0"/>
          <w:sz w:val="32"/>
          <w:szCs w:val="32"/>
        </w:rPr>
        <w:t>府</w:t>
      </w:r>
      <w:r>
        <w:rPr>
          <w:rFonts w:hint="eastAsia" w:ascii="仿宋_GB2312" w:hAnsi="仿宋_GB2312" w:eastAsia="仿宋_GB2312" w:cs="仿宋_GB2312"/>
          <w:snapToGrid w:val="0"/>
          <w:color w:val="auto"/>
          <w:spacing w:val="0"/>
          <w:kern w:val="0"/>
          <w:sz w:val="32"/>
          <w:szCs w:val="32"/>
          <w:lang w:val="en-US" w:eastAsia="zh-CN"/>
        </w:rPr>
        <w:t>办字</w:t>
      </w:r>
      <w:r>
        <w:rPr>
          <w:rFonts w:hint="default" w:ascii="仿宋_GB2312" w:hAnsi="仿宋_GB2312" w:eastAsia="仿宋_GB2312" w:cs="仿宋_GB2312"/>
          <w:snapToGrid w:val="0"/>
          <w:color w:val="auto"/>
          <w:spacing w:val="0"/>
          <w:kern w:val="0"/>
          <w:sz w:val="32"/>
          <w:szCs w:val="32"/>
        </w:rPr>
        <w:t>〔202</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37</w:t>
      </w:r>
      <w:r>
        <w:rPr>
          <w:rFonts w:hint="default" w:ascii="仿宋_GB2312" w:hAnsi="仿宋_GB2312" w:eastAsia="仿宋_GB2312" w:cs="仿宋_GB2312"/>
          <w:snapToGrid w:val="0"/>
          <w:color w:val="auto"/>
          <w:spacing w:val="0"/>
          <w:kern w:val="0"/>
          <w:sz w:val="32"/>
          <w:szCs w:val="32"/>
        </w:rPr>
        <w:t>号）；</w:t>
      </w:r>
    </w:p>
    <w:p w14:paraId="18F638D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val="en-US" w:eastAsia="zh-CN"/>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35</w:t>
      </w: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突发事件应急预案》（</w:t>
      </w:r>
      <w:r>
        <w:rPr>
          <w:rFonts w:hint="eastAsia" w:ascii="仿宋_GB2312" w:hAnsi="仿宋_GB2312" w:eastAsia="仿宋_GB2312" w:cs="仿宋_GB2312"/>
          <w:snapToGrid w:val="0"/>
          <w:color w:val="auto"/>
          <w:spacing w:val="0"/>
          <w:kern w:val="0"/>
          <w:sz w:val="32"/>
          <w:szCs w:val="32"/>
          <w:lang w:val="en-US" w:eastAsia="zh-CN"/>
        </w:rPr>
        <w:t>昌</w:t>
      </w:r>
      <w:r>
        <w:rPr>
          <w:rFonts w:hint="default" w:ascii="仿宋_GB2312" w:hAnsi="仿宋_GB2312" w:eastAsia="仿宋_GB2312" w:cs="仿宋_GB2312"/>
          <w:snapToGrid w:val="0"/>
          <w:color w:val="auto"/>
          <w:spacing w:val="0"/>
          <w:kern w:val="0"/>
          <w:sz w:val="32"/>
          <w:szCs w:val="32"/>
        </w:rPr>
        <w:t>府</w:t>
      </w:r>
      <w:r>
        <w:rPr>
          <w:rFonts w:hint="eastAsia" w:ascii="仿宋_GB2312" w:hAnsi="仿宋_GB2312" w:eastAsia="仿宋_GB2312" w:cs="仿宋_GB2312"/>
          <w:snapToGrid w:val="0"/>
          <w:color w:val="auto"/>
          <w:spacing w:val="0"/>
          <w:kern w:val="0"/>
          <w:sz w:val="32"/>
          <w:szCs w:val="32"/>
          <w:lang w:val="en-US" w:eastAsia="zh-CN"/>
        </w:rPr>
        <w:t>办字</w:t>
      </w:r>
      <w:r>
        <w:rPr>
          <w:rFonts w:hint="default" w:ascii="仿宋_GB2312" w:hAnsi="仿宋_GB2312" w:eastAsia="仿宋_GB2312" w:cs="仿宋_GB2312"/>
          <w:snapToGrid w:val="0"/>
          <w:color w:val="auto"/>
          <w:spacing w:val="0"/>
          <w:kern w:val="0"/>
          <w:sz w:val="32"/>
          <w:szCs w:val="32"/>
        </w:rPr>
        <w:t>〔2022〕</w:t>
      </w:r>
      <w:r>
        <w:rPr>
          <w:rFonts w:hint="eastAsia" w:ascii="仿宋_GB2312" w:hAnsi="仿宋_GB2312" w:eastAsia="仿宋_GB2312" w:cs="仿宋_GB2312"/>
          <w:snapToGrid w:val="0"/>
          <w:color w:val="auto"/>
          <w:spacing w:val="0"/>
          <w:kern w:val="0"/>
          <w:sz w:val="32"/>
          <w:szCs w:val="32"/>
          <w:lang w:val="en-US" w:eastAsia="zh-CN"/>
        </w:rPr>
        <w:t>22</w:t>
      </w:r>
      <w:r>
        <w:rPr>
          <w:rFonts w:hint="default" w:ascii="仿宋_GB2312" w:hAnsi="仿宋_GB2312" w:eastAsia="仿宋_GB2312" w:cs="仿宋_GB2312"/>
          <w:snapToGrid w:val="0"/>
          <w:color w:val="auto"/>
          <w:spacing w:val="0"/>
          <w:kern w:val="0"/>
          <w:sz w:val="32"/>
          <w:szCs w:val="32"/>
        </w:rPr>
        <w:t>号）</w:t>
      </w:r>
      <w:r>
        <w:rPr>
          <w:rFonts w:hint="eastAsia" w:ascii="仿宋_GB2312" w:hAnsi="仿宋_GB2312" w:eastAsia="仿宋_GB2312" w:cs="仿宋_GB2312"/>
          <w:snapToGrid w:val="0"/>
          <w:color w:val="auto"/>
          <w:spacing w:val="0"/>
          <w:kern w:val="0"/>
          <w:sz w:val="32"/>
          <w:szCs w:val="32"/>
          <w:lang w:eastAsia="zh-CN"/>
        </w:rPr>
        <w:t>。</w:t>
      </w:r>
    </w:p>
    <w:p w14:paraId="660F8075">
      <w:pPr>
        <w:pStyle w:val="36"/>
        <w:pageBreakBefore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bCs/>
          <w:color w:val="auto"/>
          <w:spacing w:val="0"/>
          <w:kern w:val="0"/>
          <w:sz w:val="32"/>
          <w:szCs w:val="22"/>
        </w:rPr>
      </w:pPr>
      <w:r>
        <w:rPr>
          <w:rFonts w:hint="eastAsia" w:ascii="楷体_GB2312" w:hAnsi="楷体_GB2312" w:eastAsia="楷体_GB2312" w:cs="楷体_GB2312"/>
          <w:bCs/>
          <w:color w:val="auto"/>
          <w:spacing w:val="0"/>
          <w:kern w:val="0"/>
          <w:sz w:val="32"/>
          <w:szCs w:val="22"/>
        </w:rPr>
        <w:t>标准、技术规范</w:t>
      </w:r>
    </w:p>
    <w:p w14:paraId="03A2031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（1）《地表水环境质量标准》</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GB3838-2002</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w:t>
      </w:r>
    </w:p>
    <w:p w14:paraId="20F2F2C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（2）《环境空气质量标准》（GB3095-20</w:t>
      </w:r>
      <w:r>
        <w:rPr>
          <w:rFonts w:hint="eastAsia" w:ascii="仿宋_GB2312" w:hAnsi="仿宋_GB2312" w:eastAsia="仿宋_GB2312" w:cs="仿宋_GB2312"/>
          <w:snapToGrid w:val="0"/>
          <w:color w:val="auto"/>
          <w:spacing w:val="0"/>
          <w:kern w:val="0"/>
          <w:sz w:val="32"/>
          <w:szCs w:val="32"/>
          <w:lang w:val="en-US" w:eastAsia="zh-CN"/>
        </w:rPr>
        <w:t>26</w:t>
      </w:r>
      <w:r>
        <w:rPr>
          <w:rFonts w:hint="default" w:ascii="仿宋_GB2312" w:hAnsi="仿宋_GB2312" w:eastAsia="仿宋_GB2312" w:cs="仿宋_GB2312"/>
          <w:snapToGrid w:val="0"/>
          <w:color w:val="auto"/>
          <w:spacing w:val="0"/>
          <w:kern w:val="0"/>
          <w:sz w:val="32"/>
          <w:szCs w:val="32"/>
        </w:rPr>
        <w:t>）；</w:t>
      </w:r>
    </w:p>
    <w:p w14:paraId="698B8EC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（3）《行政区域突发环境事件风险评估推荐方法》（环办应急〔2018〕9号）；</w:t>
      </w:r>
    </w:p>
    <w:p w14:paraId="20858BF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（4）《企业突发环境事件风险评估报告指南（试行）》（环办〔2014〕34号）；</w:t>
      </w:r>
    </w:p>
    <w:p w14:paraId="357D7ED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5</w:t>
      </w:r>
      <w:r>
        <w:rPr>
          <w:rFonts w:hint="default" w:ascii="仿宋_GB2312" w:hAnsi="仿宋_GB2312" w:eastAsia="仿宋_GB2312" w:cs="仿宋_GB2312"/>
          <w:snapToGrid w:val="0"/>
          <w:color w:val="auto"/>
          <w:spacing w:val="0"/>
          <w:kern w:val="0"/>
          <w:sz w:val="32"/>
          <w:szCs w:val="32"/>
        </w:rPr>
        <w:t>）《企业突发环境事件隐患排查与治理工作指南（试行）》（环公告 2016年第74号）；</w:t>
      </w:r>
    </w:p>
    <w:p w14:paraId="2CFCC84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6</w:t>
      </w:r>
      <w:r>
        <w:rPr>
          <w:rFonts w:hint="default" w:ascii="仿宋_GB2312" w:hAnsi="仿宋_GB2312" w:eastAsia="仿宋_GB2312" w:cs="仿宋_GB2312"/>
          <w:snapToGrid w:val="0"/>
          <w:color w:val="auto"/>
          <w:spacing w:val="0"/>
          <w:kern w:val="0"/>
          <w:sz w:val="32"/>
          <w:szCs w:val="32"/>
        </w:rPr>
        <w:t>）《危险化学品重大危险源辨识》（GB18218-2018）；</w:t>
      </w:r>
    </w:p>
    <w:p w14:paraId="63E5A45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7</w:t>
      </w:r>
      <w:r>
        <w:rPr>
          <w:rFonts w:hint="default" w:ascii="仿宋_GB2312" w:hAnsi="仿宋_GB2312" w:eastAsia="仿宋_GB2312" w:cs="仿宋_GB2312"/>
          <w:snapToGrid w:val="0"/>
          <w:color w:val="auto"/>
          <w:spacing w:val="0"/>
          <w:kern w:val="0"/>
          <w:sz w:val="32"/>
          <w:szCs w:val="32"/>
        </w:rPr>
        <w:t>）《企业突发环境事件风险分级方法》（HJ941-2018）；</w:t>
      </w:r>
    </w:p>
    <w:p w14:paraId="0A92492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8</w:t>
      </w:r>
      <w:r>
        <w:rPr>
          <w:rFonts w:hint="default" w:ascii="仿宋_GB2312" w:hAnsi="仿宋_GB2312" w:eastAsia="仿宋_GB2312" w:cs="仿宋_GB2312"/>
          <w:snapToGrid w:val="0"/>
          <w:color w:val="auto"/>
          <w:spacing w:val="0"/>
          <w:kern w:val="0"/>
          <w:sz w:val="32"/>
          <w:szCs w:val="32"/>
        </w:rPr>
        <w:t>）《危险化学品目录》（202</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年版）；</w:t>
      </w:r>
    </w:p>
    <w:p w14:paraId="522EED7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9</w:t>
      </w:r>
      <w:r>
        <w:rPr>
          <w:rFonts w:hint="default" w:ascii="仿宋_GB2312" w:hAnsi="仿宋_GB2312" w:eastAsia="仿宋_GB2312" w:cs="仿宋_GB2312"/>
          <w:snapToGrid w:val="0"/>
          <w:color w:val="auto"/>
          <w:spacing w:val="0"/>
          <w:kern w:val="0"/>
          <w:sz w:val="32"/>
          <w:szCs w:val="32"/>
        </w:rPr>
        <w:t>）《国家危险废物名录》（202</w:t>
      </w:r>
      <w:r>
        <w:rPr>
          <w:rFonts w:hint="eastAsia" w:ascii="仿宋_GB2312" w:hAnsi="仿宋_GB2312" w:eastAsia="仿宋_GB2312" w:cs="仿宋_GB2312"/>
          <w:snapToGrid w:val="0"/>
          <w:color w:val="auto"/>
          <w:spacing w:val="0"/>
          <w:kern w:val="0"/>
          <w:sz w:val="32"/>
          <w:szCs w:val="32"/>
          <w:lang w:val="en-US" w:eastAsia="zh-CN"/>
        </w:rPr>
        <w:t>5</w:t>
      </w:r>
      <w:r>
        <w:rPr>
          <w:rFonts w:hint="default" w:ascii="仿宋_GB2312" w:hAnsi="仿宋_GB2312" w:eastAsia="仿宋_GB2312" w:cs="仿宋_GB2312"/>
          <w:snapToGrid w:val="0"/>
          <w:color w:val="auto"/>
          <w:spacing w:val="0"/>
          <w:kern w:val="0"/>
          <w:sz w:val="32"/>
          <w:szCs w:val="32"/>
        </w:rPr>
        <w:t>年版）；</w:t>
      </w:r>
    </w:p>
    <w:p w14:paraId="60C2086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0</w:t>
      </w:r>
      <w:r>
        <w:rPr>
          <w:rFonts w:hint="default" w:ascii="仿宋_GB2312" w:hAnsi="仿宋_GB2312" w:eastAsia="仿宋_GB2312" w:cs="仿宋_GB2312"/>
          <w:snapToGrid w:val="0"/>
          <w:color w:val="auto"/>
          <w:spacing w:val="0"/>
          <w:kern w:val="0"/>
          <w:sz w:val="32"/>
          <w:szCs w:val="32"/>
        </w:rPr>
        <w:t>）《危险废物鉴别标准通则》（GB 5085.7-2019）；</w:t>
      </w:r>
    </w:p>
    <w:p w14:paraId="6E793A6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）《危险废物鉴别技术规范》（HJ/T 298-2019）；</w:t>
      </w:r>
    </w:p>
    <w:p w14:paraId="2BC9D3D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2</w:t>
      </w:r>
      <w:r>
        <w:rPr>
          <w:rFonts w:hint="default" w:ascii="仿宋_GB2312" w:hAnsi="仿宋_GB2312" w:eastAsia="仿宋_GB2312" w:cs="仿宋_GB2312"/>
          <w:snapToGrid w:val="0"/>
          <w:color w:val="auto"/>
          <w:spacing w:val="0"/>
          <w:kern w:val="0"/>
          <w:sz w:val="32"/>
          <w:szCs w:val="32"/>
        </w:rPr>
        <w:t>）《突发环境事件应急监测技术规范》（HJ 589-2021）；</w:t>
      </w:r>
    </w:p>
    <w:p w14:paraId="7D22615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3</w:t>
      </w:r>
      <w:r>
        <w:rPr>
          <w:rFonts w:hint="default" w:ascii="仿宋_GB2312" w:hAnsi="仿宋_GB2312" w:eastAsia="仿宋_GB2312" w:cs="仿宋_GB2312"/>
          <w:snapToGrid w:val="0"/>
          <w:color w:val="auto"/>
          <w:spacing w:val="0"/>
          <w:kern w:val="0"/>
          <w:sz w:val="32"/>
          <w:szCs w:val="32"/>
        </w:rPr>
        <w:t>）《工业企业设计卫生标准》（GBZ1-2010）；</w:t>
      </w:r>
    </w:p>
    <w:p w14:paraId="0068D7C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4</w:t>
      </w:r>
      <w:r>
        <w:rPr>
          <w:rFonts w:hint="default" w:ascii="仿宋_GB2312" w:hAnsi="仿宋_GB2312" w:eastAsia="仿宋_GB2312" w:cs="仿宋_GB2312"/>
          <w:snapToGrid w:val="0"/>
          <w:color w:val="auto"/>
          <w:spacing w:val="0"/>
          <w:kern w:val="0"/>
          <w:sz w:val="32"/>
          <w:szCs w:val="32"/>
        </w:rPr>
        <w:t>）《工作场所有害因素职业接触限值 第1部分：化学有害因素》（GBZ2.1-2019）；</w:t>
      </w:r>
    </w:p>
    <w:p w14:paraId="1A3E6D1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5</w:t>
      </w:r>
      <w:r>
        <w:rPr>
          <w:rFonts w:hint="default" w:ascii="仿宋_GB2312" w:hAnsi="仿宋_GB2312" w:eastAsia="仿宋_GB2312" w:cs="仿宋_GB2312"/>
          <w:snapToGrid w:val="0"/>
          <w:color w:val="auto"/>
          <w:spacing w:val="0"/>
          <w:kern w:val="0"/>
          <w:sz w:val="32"/>
          <w:szCs w:val="32"/>
        </w:rPr>
        <w:t>）《危险废物收集贮存运输技术规范》（HJ2025-2012）；</w:t>
      </w:r>
    </w:p>
    <w:p w14:paraId="0E22B19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6</w:t>
      </w:r>
      <w:r>
        <w:rPr>
          <w:rFonts w:hint="default" w:ascii="仿宋_GB2312" w:hAnsi="仿宋_GB2312" w:eastAsia="仿宋_GB2312" w:cs="仿宋_GB2312"/>
          <w:snapToGrid w:val="0"/>
          <w:color w:val="auto"/>
          <w:spacing w:val="0"/>
          <w:kern w:val="0"/>
          <w:sz w:val="32"/>
          <w:szCs w:val="32"/>
        </w:rPr>
        <w:t>）《事故状态下水体污染的预防与控制技术要求》（Q/SY1190-2013）；</w:t>
      </w:r>
    </w:p>
    <w:p w14:paraId="3806BE6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7</w:t>
      </w:r>
      <w:r>
        <w:rPr>
          <w:rFonts w:hint="default" w:ascii="仿宋_GB2312" w:hAnsi="仿宋_GB2312" w:eastAsia="仿宋_GB2312" w:cs="仿宋_GB2312"/>
          <w:snapToGrid w:val="0"/>
          <w:color w:val="auto"/>
          <w:spacing w:val="0"/>
          <w:kern w:val="0"/>
          <w:sz w:val="32"/>
          <w:szCs w:val="32"/>
        </w:rPr>
        <w:t>）《水体污染事故风险预防与控制措施运行管理要求》（Q/SY1310-2010）；</w:t>
      </w:r>
    </w:p>
    <w:p w14:paraId="26C3F4E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w:t>
      </w:r>
      <w:r>
        <w:rPr>
          <w:rFonts w:hint="eastAsia" w:ascii="仿宋_GB2312" w:hAnsi="仿宋_GB2312" w:eastAsia="仿宋_GB2312" w:cs="仿宋_GB2312"/>
          <w:snapToGrid w:val="0"/>
          <w:color w:val="auto"/>
          <w:spacing w:val="0"/>
          <w:kern w:val="0"/>
          <w:sz w:val="32"/>
          <w:szCs w:val="32"/>
          <w:lang w:val="en-US" w:eastAsia="zh-CN"/>
        </w:rPr>
        <w:t>8</w:t>
      </w:r>
      <w:r>
        <w:rPr>
          <w:rFonts w:hint="default" w:ascii="仿宋_GB2312" w:hAnsi="仿宋_GB2312" w:eastAsia="仿宋_GB2312" w:cs="仿宋_GB2312"/>
          <w:snapToGrid w:val="0"/>
          <w:color w:val="auto"/>
          <w:spacing w:val="0"/>
          <w:kern w:val="0"/>
          <w:sz w:val="32"/>
          <w:szCs w:val="32"/>
        </w:rPr>
        <w:t>）《生态保护红线划定指南》（环办生态〔2017〕48号）；</w:t>
      </w:r>
    </w:p>
    <w:p w14:paraId="3586A28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w:t>
      </w:r>
      <w:r>
        <w:rPr>
          <w:rFonts w:hint="eastAsia" w:ascii="仿宋_GB2312" w:hAnsi="仿宋_GB2312" w:eastAsia="仿宋_GB2312" w:cs="仿宋_GB2312"/>
          <w:snapToGrid w:val="0"/>
          <w:color w:val="auto"/>
          <w:spacing w:val="0"/>
          <w:kern w:val="0"/>
          <w:sz w:val="32"/>
          <w:szCs w:val="32"/>
          <w:lang w:val="en-US" w:eastAsia="zh-CN"/>
        </w:rPr>
        <w:t>19</w:t>
      </w:r>
      <w:r>
        <w:rPr>
          <w:rFonts w:hint="default" w:ascii="仿宋_GB2312" w:hAnsi="仿宋_GB2312" w:eastAsia="仿宋_GB2312" w:cs="仿宋_GB2312"/>
          <w:snapToGrid w:val="0"/>
          <w:color w:val="auto"/>
          <w:spacing w:val="0"/>
          <w:kern w:val="0"/>
          <w:sz w:val="32"/>
          <w:szCs w:val="32"/>
        </w:rPr>
        <w:t>）《建设项目环境风险评价技术导则》（HJ 169-2018）；</w:t>
      </w:r>
    </w:p>
    <w:p w14:paraId="76693AD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w:t>
      </w:r>
      <w:r>
        <w:rPr>
          <w:rFonts w:hint="eastAsia" w:ascii="仿宋_GB2312" w:hAnsi="仿宋_GB2312" w:eastAsia="仿宋_GB2312" w:cs="仿宋_GB2312"/>
          <w:snapToGrid w:val="0"/>
          <w:color w:val="auto"/>
          <w:spacing w:val="0"/>
          <w:kern w:val="0"/>
          <w:sz w:val="32"/>
          <w:szCs w:val="32"/>
          <w:lang w:val="en-US" w:eastAsia="zh-CN"/>
        </w:rPr>
        <w:t>0</w:t>
      </w:r>
      <w:r>
        <w:rPr>
          <w:rFonts w:hint="default" w:ascii="仿宋_GB2312" w:hAnsi="仿宋_GB2312" w:eastAsia="仿宋_GB2312" w:cs="仿宋_GB2312"/>
          <w:snapToGrid w:val="0"/>
          <w:color w:val="auto"/>
          <w:spacing w:val="0"/>
          <w:kern w:val="0"/>
          <w:sz w:val="32"/>
          <w:szCs w:val="32"/>
        </w:rPr>
        <w:t>）关于印发《环境应急资源调查指南（试行）》的通知（生态环境部办公厅 2019年3月19日印发）。</w:t>
      </w:r>
    </w:p>
    <w:p w14:paraId="3E0636A1">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color w:val="auto"/>
          <w:spacing w:val="0"/>
          <w:kern w:val="0"/>
          <w:sz w:val="32"/>
          <w:szCs w:val="21"/>
        </w:rPr>
      </w:pPr>
      <w:bookmarkStart w:id="26" w:name="_Toc25489"/>
      <w:bookmarkStart w:id="27" w:name="_Toc8448"/>
      <w:bookmarkStart w:id="28" w:name="_Toc10172"/>
      <w:bookmarkStart w:id="29" w:name="_Toc8530"/>
      <w:r>
        <w:rPr>
          <w:rFonts w:hint="eastAsia" w:ascii="黑体" w:hAnsi="黑体" w:eastAsia="黑体" w:cs="黑体"/>
          <w:b w:val="0"/>
          <w:bCs w:val="0"/>
          <w:color w:val="auto"/>
          <w:spacing w:val="0"/>
          <w:kern w:val="0"/>
          <w:sz w:val="32"/>
          <w:szCs w:val="21"/>
        </w:rPr>
        <w:t>事件分级</w:t>
      </w:r>
      <w:bookmarkEnd w:id="26"/>
      <w:bookmarkEnd w:id="27"/>
      <w:bookmarkEnd w:id="28"/>
      <w:bookmarkEnd w:id="29"/>
    </w:p>
    <w:p w14:paraId="3029687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按照突发环境事件严重性和紧急程度，分为特别重大环境事件（Ⅰ级）、重大环境事件（Ⅱ级）、较大环境事件（Ⅲ级）和一般环境事件（Ⅳ级）。</w:t>
      </w:r>
    </w:p>
    <w:p w14:paraId="0FD683A3">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color w:val="auto"/>
          <w:spacing w:val="0"/>
          <w:kern w:val="0"/>
          <w:sz w:val="32"/>
          <w:szCs w:val="22"/>
        </w:rPr>
      </w:pPr>
      <w:r>
        <w:rPr>
          <w:rFonts w:hint="default" w:ascii="楷体_GB2312" w:hAnsi="楷体_GB2312" w:eastAsia="楷体_GB2312" w:cs="楷体_GB2312"/>
          <w:b/>
          <w:bCs/>
          <w:color w:val="auto"/>
          <w:spacing w:val="0"/>
          <w:kern w:val="0"/>
          <w:sz w:val="32"/>
          <w:szCs w:val="22"/>
        </w:rPr>
        <w:t>特别重大环境事件（Ⅰ级）</w:t>
      </w:r>
    </w:p>
    <w:p w14:paraId="1A1F95C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凡符合下列情形之一的，为特别重大环境事件：</w:t>
      </w:r>
    </w:p>
    <w:p w14:paraId="3EAB49B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（1）</w:t>
      </w:r>
      <w:r>
        <w:rPr>
          <w:rFonts w:hint="default" w:ascii="仿宋_GB2312" w:hAnsi="仿宋_GB2312" w:eastAsia="仿宋_GB2312" w:cs="仿宋_GB2312"/>
          <w:snapToGrid w:val="0"/>
          <w:color w:val="auto"/>
          <w:spacing w:val="0"/>
          <w:kern w:val="0"/>
          <w:sz w:val="32"/>
          <w:szCs w:val="32"/>
        </w:rPr>
        <w:t>因环境污染直接导致30人以上死亡或100人以上中毒或重伤的；</w:t>
      </w:r>
    </w:p>
    <w:p w14:paraId="0027103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（2）</w:t>
      </w:r>
      <w:r>
        <w:rPr>
          <w:rFonts w:hint="default" w:ascii="仿宋_GB2312" w:hAnsi="仿宋_GB2312" w:eastAsia="仿宋_GB2312" w:cs="仿宋_GB2312"/>
          <w:snapToGrid w:val="0"/>
          <w:color w:val="auto"/>
          <w:spacing w:val="0"/>
          <w:kern w:val="0"/>
          <w:sz w:val="32"/>
          <w:szCs w:val="32"/>
        </w:rPr>
        <w:t>因环境污染疏散、转移人员5万人以上的；</w:t>
      </w:r>
    </w:p>
    <w:p w14:paraId="170F3C7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（3）</w:t>
      </w:r>
      <w:r>
        <w:rPr>
          <w:rFonts w:hint="default" w:ascii="仿宋_GB2312" w:hAnsi="仿宋_GB2312" w:eastAsia="仿宋_GB2312" w:cs="仿宋_GB2312"/>
          <w:snapToGrid w:val="0"/>
          <w:color w:val="auto"/>
          <w:spacing w:val="0"/>
          <w:kern w:val="0"/>
          <w:sz w:val="32"/>
          <w:szCs w:val="32"/>
        </w:rPr>
        <w:t>因环境污染造成直接经济损失1亿元以上的；</w:t>
      </w:r>
    </w:p>
    <w:p w14:paraId="57BFA1C6">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（4）</w:t>
      </w:r>
      <w:r>
        <w:rPr>
          <w:rFonts w:hint="default" w:ascii="仿宋_GB2312" w:hAnsi="仿宋_GB2312" w:eastAsia="仿宋_GB2312" w:cs="仿宋_GB2312"/>
          <w:snapToGrid w:val="0"/>
          <w:color w:val="auto"/>
          <w:spacing w:val="0"/>
          <w:kern w:val="0"/>
          <w:sz w:val="32"/>
          <w:szCs w:val="32"/>
        </w:rPr>
        <w:t>因环境污染造成区域生态功能丧失或该区域国家重点保护物种灭绝的；</w:t>
      </w:r>
    </w:p>
    <w:p w14:paraId="2E782E6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（5）</w:t>
      </w:r>
      <w:r>
        <w:rPr>
          <w:rFonts w:hint="default" w:ascii="仿宋_GB2312" w:hAnsi="仿宋_GB2312" w:eastAsia="仿宋_GB2312" w:cs="仿宋_GB2312"/>
          <w:snapToGrid w:val="0"/>
          <w:color w:val="auto"/>
          <w:spacing w:val="0"/>
          <w:kern w:val="0"/>
          <w:sz w:val="32"/>
          <w:szCs w:val="32"/>
        </w:rPr>
        <w:t>因环境污染造成设区的市级以上城市集中式饮用水水源地取水中断的；</w:t>
      </w:r>
    </w:p>
    <w:p w14:paraId="6E271347">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（6）</w:t>
      </w:r>
      <w:r>
        <w:rPr>
          <w:rFonts w:hint="default" w:ascii="仿宋_GB2312" w:hAnsi="仿宋_GB2312" w:eastAsia="仿宋_GB2312" w:cs="仿宋_GB2312"/>
          <w:snapToGrid w:val="0"/>
          <w:color w:val="auto"/>
          <w:spacing w:val="0"/>
          <w:kern w:val="0"/>
          <w:sz w:val="32"/>
          <w:szCs w:val="32"/>
        </w:rPr>
        <w:t>Ⅰ、Ⅱ类放射源丢失、被盗、失控并造成大范围严重辐射污染后果的；放射性同位素和射线装置失控导致3人以上急性死亡的；放射性物质泄漏，造成大范围辐射污染后果的；</w:t>
      </w:r>
    </w:p>
    <w:p w14:paraId="22C15FE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（7）</w:t>
      </w:r>
      <w:r>
        <w:rPr>
          <w:rFonts w:hint="default" w:ascii="仿宋_GB2312" w:hAnsi="仿宋_GB2312" w:eastAsia="仿宋_GB2312" w:cs="仿宋_GB2312"/>
          <w:snapToGrid w:val="0"/>
          <w:color w:val="auto"/>
          <w:spacing w:val="0"/>
          <w:kern w:val="0"/>
          <w:sz w:val="32"/>
          <w:szCs w:val="32"/>
        </w:rPr>
        <w:t>造成重大跨国境影响的境内突发环境事件。</w:t>
      </w:r>
    </w:p>
    <w:p w14:paraId="7A995113">
      <w:pPr>
        <w:pStyle w:val="36"/>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宋体" w:cs="Times New Roman"/>
          <w:bCs/>
          <w:color w:val="auto"/>
          <w:spacing w:val="0"/>
          <w:kern w:val="0"/>
        </w:rPr>
      </w:pPr>
      <w:r>
        <w:rPr>
          <w:rFonts w:hint="default" w:ascii="楷体_GB2312" w:hAnsi="楷体_GB2312" w:eastAsia="楷体_GB2312" w:cs="楷体_GB2312"/>
          <w:b/>
          <w:bCs/>
          <w:color w:val="auto"/>
          <w:spacing w:val="0"/>
          <w:kern w:val="0"/>
          <w:sz w:val="32"/>
          <w:szCs w:val="22"/>
        </w:rPr>
        <w:t>重大环境事件（Ⅱ级）</w:t>
      </w:r>
    </w:p>
    <w:p w14:paraId="0892B5A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凡符合下列情形之一的，为重大环境事件：</w:t>
      </w:r>
    </w:p>
    <w:p w14:paraId="127C5D4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（1）</w:t>
      </w:r>
      <w:r>
        <w:rPr>
          <w:rFonts w:hint="default" w:ascii="仿宋_GB2312" w:hAnsi="仿宋_GB2312" w:eastAsia="仿宋_GB2312" w:cs="仿宋_GB2312"/>
          <w:snapToGrid w:val="0"/>
          <w:color w:val="auto"/>
          <w:spacing w:val="0"/>
          <w:kern w:val="0"/>
          <w:sz w:val="32"/>
          <w:szCs w:val="32"/>
        </w:rPr>
        <w:t>因环境污染直接导致10人以上30人以下死亡或50人以上100人以下中毒或重伤的；</w:t>
      </w:r>
    </w:p>
    <w:p w14:paraId="170B4B8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（2）</w:t>
      </w:r>
      <w:r>
        <w:rPr>
          <w:rFonts w:hint="default" w:ascii="仿宋_GB2312" w:hAnsi="仿宋_GB2312" w:eastAsia="仿宋_GB2312" w:cs="仿宋_GB2312"/>
          <w:snapToGrid w:val="0"/>
          <w:color w:val="auto"/>
          <w:spacing w:val="0"/>
          <w:kern w:val="0"/>
          <w:sz w:val="32"/>
          <w:szCs w:val="32"/>
        </w:rPr>
        <w:t>因环境污染疏散、转移人员1万人以上5万人以下的；</w:t>
      </w:r>
    </w:p>
    <w:p w14:paraId="254C9DD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（3）</w:t>
      </w:r>
      <w:r>
        <w:rPr>
          <w:rFonts w:hint="default" w:ascii="仿宋_GB2312" w:hAnsi="仿宋_GB2312" w:eastAsia="仿宋_GB2312" w:cs="仿宋_GB2312"/>
          <w:snapToGrid w:val="0"/>
          <w:color w:val="auto"/>
          <w:spacing w:val="0"/>
          <w:kern w:val="0"/>
          <w:sz w:val="32"/>
          <w:szCs w:val="32"/>
        </w:rPr>
        <w:t>因环境污染造成直接经济损失2000万元以上1亿元以下的；</w:t>
      </w:r>
    </w:p>
    <w:p w14:paraId="48B1AEB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（4）</w:t>
      </w:r>
      <w:r>
        <w:rPr>
          <w:rFonts w:hint="default" w:ascii="仿宋_GB2312" w:hAnsi="仿宋_GB2312" w:eastAsia="仿宋_GB2312" w:cs="仿宋_GB2312"/>
          <w:snapToGrid w:val="0"/>
          <w:color w:val="auto"/>
          <w:spacing w:val="0"/>
          <w:kern w:val="0"/>
          <w:sz w:val="32"/>
          <w:szCs w:val="32"/>
        </w:rPr>
        <w:t>因环境污染造成区域生态功能部分丧失或该区域国家重点保护野生动植物种群大批死亡的；</w:t>
      </w:r>
    </w:p>
    <w:p w14:paraId="64095D1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（5）</w:t>
      </w:r>
      <w:r>
        <w:rPr>
          <w:rFonts w:hint="default" w:ascii="仿宋_GB2312" w:hAnsi="仿宋_GB2312" w:eastAsia="仿宋_GB2312" w:cs="仿宋_GB2312"/>
          <w:snapToGrid w:val="0"/>
          <w:color w:val="auto"/>
          <w:spacing w:val="0"/>
          <w:kern w:val="0"/>
          <w:sz w:val="32"/>
          <w:szCs w:val="32"/>
        </w:rPr>
        <w:t>因环境污染造成县级城市集中式饮用水水源地取水中断的；</w:t>
      </w:r>
    </w:p>
    <w:p w14:paraId="0E5B8CF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（6）</w:t>
      </w:r>
      <w:r>
        <w:rPr>
          <w:rFonts w:hint="default" w:ascii="仿宋_GB2312" w:hAnsi="仿宋_GB2312" w:eastAsia="仿宋_GB2312" w:cs="仿宋_GB2312"/>
          <w:snapToGrid w:val="0"/>
          <w:color w:val="auto"/>
          <w:spacing w:val="0"/>
          <w:kern w:val="0"/>
          <w:sz w:val="32"/>
          <w:szCs w:val="32"/>
        </w:rPr>
        <w:t>Ⅰ、Ⅱ类放射源丢失、被盗的；放射性同位素和射线装置失控导致3人以下急性死亡或者10人以上急性重度放射病、局部器官残疾的；放射性物质泄漏，造成较大范围辐射污染后果的；</w:t>
      </w:r>
    </w:p>
    <w:p w14:paraId="55FCE8A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（7）</w:t>
      </w:r>
      <w:r>
        <w:rPr>
          <w:rFonts w:hint="default" w:ascii="仿宋_GB2312" w:hAnsi="仿宋_GB2312" w:eastAsia="仿宋_GB2312" w:cs="仿宋_GB2312"/>
          <w:snapToGrid w:val="0"/>
          <w:color w:val="auto"/>
          <w:spacing w:val="0"/>
          <w:kern w:val="0"/>
          <w:sz w:val="32"/>
          <w:szCs w:val="32"/>
        </w:rPr>
        <w:t>造成跨省级行政区域影响的突发环境事件。</w:t>
      </w:r>
    </w:p>
    <w:p w14:paraId="284DB854">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color w:val="auto"/>
          <w:spacing w:val="0"/>
          <w:kern w:val="0"/>
          <w:sz w:val="32"/>
          <w:szCs w:val="22"/>
        </w:rPr>
      </w:pPr>
      <w:r>
        <w:rPr>
          <w:rFonts w:hint="default" w:ascii="楷体_GB2312" w:hAnsi="楷体_GB2312" w:eastAsia="楷体_GB2312" w:cs="楷体_GB2312"/>
          <w:b/>
          <w:bCs/>
          <w:color w:val="auto"/>
          <w:spacing w:val="0"/>
          <w:kern w:val="0"/>
          <w:sz w:val="32"/>
          <w:szCs w:val="22"/>
        </w:rPr>
        <w:t>较大环境事件（Ⅲ级）</w:t>
      </w:r>
    </w:p>
    <w:p w14:paraId="2188B1F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凡符合下列情形之一的，为较大环境事件：</w:t>
      </w:r>
    </w:p>
    <w:p w14:paraId="237F195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（1）</w:t>
      </w:r>
      <w:r>
        <w:rPr>
          <w:rFonts w:hint="default" w:ascii="仿宋_GB2312" w:hAnsi="仿宋_GB2312" w:eastAsia="仿宋_GB2312" w:cs="仿宋_GB2312"/>
          <w:snapToGrid w:val="0"/>
          <w:color w:val="auto"/>
          <w:spacing w:val="0"/>
          <w:kern w:val="0"/>
          <w:sz w:val="32"/>
          <w:szCs w:val="32"/>
        </w:rPr>
        <w:t>因环境污染直接导致3人以上10人以下死亡或10人以上50人以下中毒或重伤的；</w:t>
      </w:r>
    </w:p>
    <w:p w14:paraId="659C9B5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（2）</w:t>
      </w:r>
      <w:r>
        <w:rPr>
          <w:rFonts w:hint="default" w:ascii="仿宋_GB2312" w:hAnsi="仿宋_GB2312" w:eastAsia="仿宋_GB2312" w:cs="仿宋_GB2312"/>
          <w:snapToGrid w:val="0"/>
          <w:color w:val="auto"/>
          <w:spacing w:val="0"/>
          <w:kern w:val="0"/>
          <w:sz w:val="32"/>
          <w:szCs w:val="32"/>
        </w:rPr>
        <w:t>因环境污染疏散、转移人员5000人以上1万人以下的；</w:t>
      </w:r>
    </w:p>
    <w:p w14:paraId="22D1555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（3）</w:t>
      </w:r>
      <w:r>
        <w:rPr>
          <w:rFonts w:hint="default" w:ascii="仿宋_GB2312" w:hAnsi="仿宋_GB2312" w:eastAsia="仿宋_GB2312" w:cs="仿宋_GB2312"/>
          <w:snapToGrid w:val="0"/>
          <w:color w:val="auto"/>
          <w:spacing w:val="0"/>
          <w:kern w:val="0"/>
          <w:sz w:val="32"/>
          <w:szCs w:val="32"/>
        </w:rPr>
        <w:t>因环境污染造成直接经济损失500万元以上2000万元以下的；</w:t>
      </w:r>
    </w:p>
    <w:p w14:paraId="685D32C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（4）</w:t>
      </w:r>
      <w:r>
        <w:rPr>
          <w:rFonts w:hint="default" w:ascii="仿宋_GB2312" w:hAnsi="仿宋_GB2312" w:eastAsia="仿宋_GB2312" w:cs="仿宋_GB2312"/>
          <w:snapToGrid w:val="0"/>
          <w:color w:val="auto"/>
          <w:spacing w:val="0"/>
          <w:kern w:val="0"/>
          <w:sz w:val="32"/>
          <w:szCs w:val="32"/>
        </w:rPr>
        <w:t>因环境污染造成国家重点保护的动植物物种受到破坏的；</w:t>
      </w:r>
    </w:p>
    <w:p w14:paraId="45E6748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（5）</w:t>
      </w:r>
      <w:r>
        <w:rPr>
          <w:rFonts w:hint="default" w:ascii="仿宋_GB2312" w:hAnsi="仿宋_GB2312" w:eastAsia="仿宋_GB2312" w:cs="仿宋_GB2312"/>
          <w:snapToGrid w:val="0"/>
          <w:color w:val="auto"/>
          <w:spacing w:val="0"/>
          <w:kern w:val="0"/>
          <w:sz w:val="32"/>
          <w:szCs w:val="32"/>
        </w:rPr>
        <w:t>因环境污染造成乡镇集中式饮用水水源地取水中断的；</w:t>
      </w:r>
    </w:p>
    <w:p w14:paraId="582F592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（6）</w:t>
      </w:r>
      <w:r>
        <w:rPr>
          <w:rFonts w:hint="default" w:ascii="仿宋_GB2312" w:hAnsi="仿宋_GB2312" w:eastAsia="仿宋_GB2312" w:cs="仿宋_GB2312"/>
          <w:snapToGrid w:val="0"/>
          <w:color w:val="auto"/>
          <w:spacing w:val="0"/>
          <w:kern w:val="0"/>
          <w:sz w:val="32"/>
          <w:szCs w:val="32"/>
        </w:rPr>
        <w:t>Ⅲ类放射源丢失、被盗的；放射性同位素和射线装置失控导致10人以下急性重度放射病、局部器官残疾的；放射性物质泄漏，造成小范围辐射污染后果的；</w:t>
      </w:r>
    </w:p>
    <w:p w14:paraId="791BC16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（7）</w:t>
      </w:r>
      <w:r>
        <w:rPr>
          <w:rFonts w:hint="default" w:ascii="仿宋_GB2312" w:hAnsi="仿宋_GB2312" w:eastAsia="仿宋_GB2312" w:cs="仿宋_GB2312"/>
          <w:snapToGrid w:val="0"/>
          <w:color w:val="auto"/>
          <w:spacing w:val="0"/>
          <w:kern w:val="0"/>
          <w:sz w:val="32"/>
          <w:szCs w:val="32"/>
        </w:rPr>
        <w:t>造成跨设区的市级行政区域影响的突发环境事件。</w:t>
      </w:r>
    </w:p>
    <w:p w14:paraId="0C898EDF">
      <w:pPr>
        <w:pStyle w:val="36"/>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宋体" w:cs="Times New Roman"/>
          <w:bCs/>
          <w:color w:val="auto"/>
          <w:spacing w:val="0"/>
          <w:kern w:val="0"/>
        </w:rPr>
      </w:pPr>
      <w:r>
        <w:rPr>
          <w:rFonts w:hint="default" w:ascii="楷体_GB2312" w:hAnsi="楷体_GB2312" w:eastAsia="楷体_GB2312" w:cs="楷体_GB2312"/>
          <w:b/>
          <w:bCs/>
          <w:color w:val="auto"/>
          <w:spacing w:val="0"/>
          <w:kern w:val="0"/>
          <w:sz w:val="32"/>
          <w:szCs w:val="22"/>
        </w:rPr>
        <w:t>一般环境事件（Ⅳ级）</w:t>
      </w:r>
    </w:p>
    <w:p w14:paraId="269F12D5">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凡符合下列情形之一的，为一般环境事件：</w:t>
      </w:r>
    </w:p>
    <w:p w14:paraId="2B7BFF2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（1）</w:t>
      </w:r>
      <w:r>
        <w:rPr>
          <w:rFonts w:hint="default" w:ascii="仿宋_GB2312" w:hAnsi="仿宋_GB2312" w:eastAsia="仿宋_GB2312" w:cs="仿宋_GB2312"/>
          <w:snapToGrid w:val="0"/>
          <w:color w:val="auto"/>
          <w:spacing w:val="0"/>
          <w:kern w:val="0"/>
          <w:sz w:val="32"/>
          <w:szCs w:val="32"/>
        </w:rPr>
        <w:t>因环境污染直接导致3人以下死亡或10人以下中毒或重伤的；</w:t>
      </w:r>
    </w:p>
    <w:p w14:paraId="2A382CF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（2）</w:t>
      </w:r>
      <w:r>
        <w:rPr>
          <w:rFonts w:hint="default" w:ascii="仿宋_GB2312" w:hAnsi="仿宋_GB2312" w:eastAsia="仿宋_GB2312" w:cs="仿宋_GB2312"/>
          <w:snapToGrid w:val="0"/>
          <w:color w:val="auto"/>
          <w:spacing w:val="0"/>
          <w:kern w:val="0"/>
          <w:sz w:val="32"/>
          <w:szCs w:val="32"/>
        </w:rPr>
        <w:t>因环境污染疏散、转移人员5000人以下的；</w:t>
      </w:r>
    </w:p>
    <w:p w14:paraId="00C25BA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（3）</w:t>
      </w:r>
      <w:r>
        <w:rPr>
          <w:rFonts w:hint="default" w:ascii="仿宋_GB2312" w:hAnsi="仿宋_GB2312" w:eastAsia="仿宋_GB2312" w:cs="仿宋_GB2312"/>
          <w:snapToGrid w:val="0"/>
          <w:color w:val="auto"/>
          <w:spacing w:val="0"/>
          <w:kern w:val="0"/>
          <w:sz w:val="32"/>
          <w:szCs w:val="32"/>
        </w:rPr>
        <w:t>因环境污染造成直接经济损失500万元以下的；</w:t>
      </w:r>
    </w:p>
    <w:p w14:paraId="79E1317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（4）</w:t>
      </w:r>
      <w:r>
        <w:rPr>
          <w:rFonts w:hint="default" w:ascii="仿宋_GB2312" w:hAnsi="仿宋_GB2312" w:eastAsia="仿宋_GB2312" w:cs="仿宋_GB2312"/>
          <w:snapToGrid w:val="0"/>
          <w:color w:val="auto"/>
          <w:spacing w:val="0"/>
          <w:kern w:val="0"/>
          <w:sz w:val="32"/>
          <w:szCs w:val="32"/>
        </w:rPr>
        <w:t>因环境污染造成跨县级行政区域纠纷，引起一般性群体影响的；</w:t>
      </w:r>
    </w:p>
    <w:p w14:paraId="78FC1FC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（5）</w:t>
      </w:r>
      <w:r>
        <w:rPr>
          <w:rFonts w:hint="default" w:ascii="仿宋_GB2312" w:hAnsi="仿宋_GB2312" w:eastAsia="仿宋_GB2312" w:cs="仿宋_GB2312"/>
          <w:snapToGrid w:val="0"/>
          <w:color w:val="auto"/>
          <w:spacing w:val="0"/>
          <w:kern w:val="0"/>
          <w:sz w:val="32"/>
          <w:szCs w:val="32"/>
        </w:rPr>
        <w:t>Ⅳ、Ⅴ类放射源丢失、被盗的；放射性同位素和射线装置失控导致人员受到超过年剂量限值的照射的；放射性物质泄漏，造成厂区内或设施内局部辐射污染后果的；铀矿冶、伴生矿超标排放，造成环境辐射污染后果的；</w:t>
      </w:r>
    </w:p>
    <w:p w14:paraId="3C797E6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（6）</w:t>
      </w:r>
      <w:r>
        <w:rPr>
          <w:rFonts w:hint="default" w:ascii="仿宋_GB2312" w:hAnsi="仿宋_GB2312" w:eastAsia="仿宋_GB2312" w:cs="仿宋_GB2312"/>
          <w:snapToGrid w:val="0"/>
          <w:color w:val="auto"/>
          <w:spacing w:val="0"/>
          <w:kern w:val="0"/>
          <w:sz w:val="32"/>
          <w:szCs w:val="32"/>
        </w:rPr>
        <w:t>对环境造成一定影响，尚未达到较大突发环境事件级别的。</w:t>
      </w:r>
    </w:p>
    <w:p w14:paraId="5858631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上述分级标准有关数量的表述中，“以上”含本数，“以下”不含本数。</w:t>
      </w:r>
    </w:p>
    <w:p w14:paraId="7ED51A14">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Times New Roman" w:hAnsi="Times New Roman" w:cs="Times New Roman"/>
          <w:bCs/>
          <w:color w:val="auto"/>
          <w:spacing w:val="0"/>
          <w:kern w:val="0"/>
        </w:rPr>
      </w:pPr>
      <w:bookmarkStart w:id="30" w:name="_Toc27455"/>
      <w:bookmarkStart w:id="31" w:name="_Toc15075"/>
      <w:bookmarkStart w:id="32" w:name="_Toc5627"/>
      <w:bookmarkStart w:id="33" w:name="_Toc12119"/>
      <w:r>
        <w:rPr>
          <w:rFonts w:hint="default" w:ascii="黑体" w:hAnsi="黑体" w:eastAsia="黑体" w:cs="黑体"/>
          <w:b w:val="0"/>
          <w:bCs w:val="0"/>
          <w:color w:val="auto"/>
          <w:spacing w:val="0"/>
          <w:kern w:val="0"/>
          <w:sz w:val="32"/>
          <w:szCs w:val="21"/>
        </w:rPr>
        <w:t>适用范围</w:t>
      </w:r>
      <w:bookmarkEnd w:id="30"/>
      <w:bookmarkEnd w:id="31"/>
      <w:bookmarkEnd w:id="32"/>
      <w:bookmarkEnd w:id="33"/>
    </w:p>
    <w:p w14:paraId="4BB366C8">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color w:val="auto"/>
          <w:spacing w:val="0"/>
          <w:kern w:val="0"/>
          <w:sz w:val="32"/>
          <w:szCs w:val="22"/>
        </w:rPr>
      </w:pPr>
      <w:bookmarkStart w:id="34" w:name="_Toc21666"/>
      <w:bookmarkStart w:id="35" w:name="_Toc20381"/>
      <w:r>
        <w:rPr>
          <w:rFonts w:hint="default" w:ascii="楷体_GB2312" w:hAnsi="楷体_GB2312" w:eastAsia="楷体_GB2312" w:cs="楷体_GB2312"/>
          <w:b/>
          <w:bCs/>
          <w:color w:val="auto"/>
          <w:spacing w:val="0"/>
          <w:kern w:val="0"/>
          <w:sz w:val="32"/>
          <w:szCs w:val="22"/>
        </w:rPr>
        <w:t>地域范围</w:t>
      </w:r>
      <w:bookmarkEnd w:id="34"/>
    </w:p>
    <w:p w14:paraId="225CCB01">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本预案适用于</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境内突发环境事件应急处置工作。范围为</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所辖行政区域，面积</w:t>
      </w:r>
      <w:r>
        <w:rPr>
          <w:rFonts w:hint="eastAsia" w:ascii="仿宋_GB2312" w:hAnsi="仿宋_GB2312" w:eastAsia="仿宋_GB2312" w:cs="仿宋_GB2312"/>
          <w:snapToGrid w:val="0"/>
          <w:color w:val="auto"/>
          <w:spacing w:val="0"/>
          <w:kern w:val="0"/>
          <w:sz w:val="32"/>
          <w:szCs w:val="32"/>
          <w:lang w:val="en-US" w:eastAsia="zh-CN"/>
        </w:rPr>
        <w:t>315</w:t>
      </w:r>
      <w:r>
        <w:rPr>
          <w:rFonts w:hint="default" w:ascii="仿宋_GB2312" w:hAnsi="仿宋_GB2312" w:eastAsia="仿宋_GB2312" w:cs="仿宋_GB2312"/>
          <w:snapToGrid w:val="0"/>
          <w:color w:val="auto"/>
          <w:spacing w:val="0"/>
          <w:kern w:val="0"/>
          <w:sz w:val="32"/>
          <w:szCs w:val="32"/>
        </w:rPr>
        <w:t>平方公里。辖鲇鱼山镇、丽阳镇、荷塘乡、西郊街道、新枫街道、吕蒙街道等6个乡镇、街道</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33个村</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36个社区。</w:t>
      </w:r>
    </w:p>
    <w:p w14:paraId="2C77180F">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color w:val="auto"/>
          <w:spacing w:val="0"/>
          <w:kern w:val="0"/>
          <w:sz w:val="32"/>
          <w:szCs w:val="22"/>
        </w:rPr>
      </w:pPr>
      <w:bookmarkStart w:id="36" w:name="_Toc19351"/>
      <w:r>
        <w:rPr>
          <w:rFonts w:hint="default" w:ascii="楷体_GB2312" w:hAnsi="楷体_GB2312" w:eastAsia="楷体_GB2312" w:cs="楷体_GB2312"/>
          <w:b/>
          <w:bCs/>
          <w:color w:val="auto"/>
          <w:spacing w:val="0"/>
          <w:kern w:val="0"/>
          <w:sz w:val="32"/>
          <w:szCs w:val="22"/>
        </w:rPr>
        <w:t>突发环境事件适用范围</w:t>
      </w:r>
      <w:bookmarkEnd w:id="36"/>
    </w:p>
    <w:p w14:paraId="20E182C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本预案主要适</w:t>
      </w:r>
      <w:r>
        <w:rPr>
          <w:rFonts w:hint="eastAsia" w:ascii="仿宋_GB2312" w:hAnsi="仿宋_GB2312" w:eastAsia="仿宋_GB2312" w:cs="仿宋_GB2312"/>
          <w:snapToGrid w:val="0"/>
          <w:color w:val="auto"/>
          <w:spacing w:val="0"/>
          <w:kern w:val="0"/>
          <w:sz w:val="32"/>
          <w:szCs w:val="32"/>
          <w:lang w:eastAsia="zh-CN"/>
        </w:rPr>
        <w:t>用于</w:t>
      </w:r>
      <w:r>
        <w:rPr>
          <w:rFonts w:hint="default" w:ascii="仿宋_GB2312" w:hAnsi="仿宋_GB2312" w:eastAsia="仿宋_GB2312" w:cs="仿宋_GB2312"/>
          <w:snapToGrid w:val="0"/>
          <w:color w:val="auto"/>
          <w:spacing w:val="0"/>
          <w:kern w:val="0"/>
          <w:sz w:val="32"/>
          <w:szCs w:val="32"/>
        </w:rPr>
        <w:t>以下各类突发环境污染事件：</w:t>
      </w:r>
    </w:p>
    <w:p w14:paraId="0420BEC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固定源突发环境事件：可能发生突发环境事件的排放污染物企业事业单位，生产、储存、运输、使用危险化学品的企业，产生、收集、贮存、运输、利用、处置危险废物的企业，以及码头等固定源，因自然灾害、生产安全事故、违法排污等原因，导致风险物质进入大气、水体、土壤等环境介质，造成环境污染的事件；</w:t>
      </w:r>
    </w:p>
    <w:p w14:paraId="460E14C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（2）流动源突发环境事件：在公路或水路运输过程中，由于交通事故等原因，导致油品、化学品或其他有毒有害物质进入大气、水体、土壤等环境介质，造成环境污染的事件；</w:t>
      </w:r>
    </w:p>
    <w:p w14:paraId="0C741916">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（3）非点源突发环境事件：一是暴雨冲刷农田或果园土壤，导致农药、化肥等随地表或地下径流进入水体，造成环境污染的事件；二是闸坝调控等原因，导致坝前污水短期内集中排放造成水体水质污染的事件；</w:t>
      </w:r>
    </w:p>
    <w:p w14:paraId="22AC88B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（4）水体的水华灾害事件；</w:t>
      </w:r>
    </w:p>
    <w:p w14:paraId="02F47D6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其他由于污染物排放或自然灾害、生产安全事故等因素，导致污染物或有毒有害物质进入大气、水体、土壤等环境介质，突然造成或可能造成环境质量下降，危及公众身体健康和财产安全，或造成生态环境破坏，或造成重大社会影响，需要采取紧急措施予以应对的事件。</w:t>
      </w:r>
    </w:p>
    <w:p w14:paraId="1EC76A9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（6）本预案不适用重污染天气事件，重污染天气应对工作按照省市大气重污染相关应急预案的有关规定执行。</w:t>
      </w:r>
    </w:p>
    <w:p w14:paraId="3725D2EE">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eastAsia="zh-CN"/>
        </w:rPr>
      </w:pPr>
      <w:r>
        <w:rPr>
          <w:rFonts w:hint="default" w:ascii="仿宋_GB2312" w:hAnsi="仿宋_GB2312" w:eastAsia="仿宋_GB2312" w:cs="仿宋_GB2312"/>
          <w:snapToGrid w:val="0"/>
          <w:color w:val="auto"/>
          <w:spacing w:val="0"/>
          <w:kern w:val="0"/>
          <w:sz w:val="32"/>
          <w:szCs w:val="32"/>
        </w:rPr>
        <w:t>（7）本预案不适用突发辐射事件，辐射事件按</w:t>
      </w:r>
      <w:r>
        <w:rPr>
          <w:rFonts w:hint="eastAsia" w:ascii="仿宋_GB2312" w:hAnsi="仿宋_GB2312" w:eastAsia="仿宋_GB2312" w:cs="仿宋_GB2312"/>
          <w:snapToGrid w:val="0"/>
          <w:color w:val="auto"/>
          <w:spacing w:val="0"/>
          <w:kern w:val="0"/>
          <w:sz w:val="32"/>
          <w:szCs w:val="32"/>
          <w:lang w:val="en-US" w:eastAsia="zh-CN"/>
        </w:rPr>
        <w:t>景德镇市</w:t>
      </w:r>
      <w:r>
        <w:rPr>
          <w:rFonts w:hint="default" w:ascii="仿宋_GB2312" w:hAnsi="仿宋_GB2312" w:eastAsia="仿宋_GB2312" w:cs="仿宋_GB2312"/>
          <w:snapToGrid w:val="0"/>
          <w:color w:val="auto"/>
          <w:spacing w:val="0"/>
          <w:kern w:val="0"/>
          <w:sz w:val="32"/>
          <w:szCs w:val="32"/>
        </w:rPr>
        <w:t>突发辐射事件应急预案执行</w:t>
      </w:r>
      <w:r>
        <w:rPr>
          <w:rFonts w:hint="eastAsia" w:ascii="仿宋_GB2312" w:hAnsi="仿宋_GB2312" w:eastAsia="仿宋_GB2312" w:cs="仿宋_GB2312"/>
          <w:snapToGrid w:val="0"/>
          <w:color w:val="auto"/>
          <w:spacing w:val="0"/>
          <w:kern w:val="0"/>
          <w:sz w:val="32"/>
          <w:szCs w:val="32"/>
          <w:lang w:eastAsia="zh-CN"/>
        </w:rPr>
        <w:t>。</w:t>
      </w:r>
    </w:p>
    <w:p w14:paraId="3B67A72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eastAsia="zh-CN"/>
        </w:rPr>
        <w:t>（</w:t>
      </w:r>
      <w:r>
        <w:rPr>
          <w:rFonts w:hint="eastAsia" w:ascii="仿宋_GB2312" w:hAnsi="仿宋_GB2312" w:eastAsia="仿宋_GB2312" w:cs="仿宋_GB2312"/>
          <w:snapToGrid w:val="0"/>
          <w:color w:val="auto"/>
          <w:spacing w:val="0"/>
          <w:kern w:val="0"/>
          <w:sz w:val="32"/>
          <w:szCs w:val="32"/>
          <w:lang w:val="en-US" w:eastAsia="zh-CN"/>
        </w:rPr>
        <w:t>8）</w:t>
      </w:r>
      <w:r>
        <w:rPr>
          <w:rFonts w:hint="eastAsia" w:ascii="仿宋_GB2312" w:hAnsi="仿宋_GB2312" w:eastAsia="仿宋_GB2312" w:cs="仿宋_GB2312"/>
          <w:snapToGrid w:val="0"/>
          <w:color w:val="auto"/>
          <w:spacing w:val="0"/>
          <w:kern w:val="0"/>
          <w:sz w:val="32"/>
          <w:szCs w:val="32"/>
        </w:rPr>
        <w:t>因生产安全、交通运输、自然灾害及人为破坏或恐怖袭击等引发的以环境污染为次要灾害的突发事件，依从其他相关应急预案进行应对</w:t>
      </w:r>
      <w:r>
        <w:rPr>
          <w:rFonts w:hint="default" w:ascii="仿宋_GB2312" w:hAnsi="仿宋_GB2312" w:eastAsia="仿宋_GB2312" w:cs="仿宋_GB2312"/>
          <w:snapToGrid w:val="0"/>
          <w:color w:val="auto"/>
          <w:spacing w:val="0"/>
          <w:kern w:val="0"/>
          <w:sz w:val="32"/>
          <w:szCs w:val="32"/>
        </w:rPr>
        <w:t>。</w:t>
      </w:r>
    </w:p>
    <w:p w14:paraId="00F132B5">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color w:val="auto"/>
          <w:spacing w:val="0"/>
          <w:kern w:val="0"/>
          <w:sz w:val="32"/>
          <w:szCs w:val="21"/>
        </w:rPr>
      </w:pPr>
      <w:bookmarkStart w:id="37" w:name="_Toc9010"/>
      <w:bookmarkStart w:id="38" w:name="_Toc27884"/>
      <w:bookmarkStart w:id="39" w:name="_Toc13804"/>
      <w:r>
        <w:rPr>
          <w:rFonts w:hint="default" w:ascii="黑体" w:hAnsi="黑体" w:eastAsia="黑体" w:cs="黑体"/>
          <w:b w:val="0"/>
          <w:bCs w:val="0"/>
          <w:color w:val="auto"/>
          <w:spacing w:val="0"/>
          <w:kern w:val="0"/>
          <w:sz w:val="32"/>
          <w:szCs w:val="21"/>
        </w:rPr>
        <w:t>工作原则</w:t>
      </w:r>
      <w:bookmarkEnd w:id="35"/>
      <w:bookmarkEnd w:id="37"/>
      <w:bookmarkEnd w:id="38"/>
      <w:bookmarkEnd w:id="39"/>
    </w:p>
    <w:p w14:paraId="582C090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坚持以人为本，预防为主的原则。要加强对危险源的监测、监控并实施严格监督管理；建立环境事件风险防范体系，积极预防、及时控制、消除隐患，提高对环境事件的防范和处理能力，避免或减少突发环境事件的发生。环境事件一旦发生，要把保障公众健康和生命财产安全作为首要任务，还要注意做好应急救援人员的自身安全防护工作。</w:t>
      </w:r>
    </w:p>
    <w:p w14:paraId="530274A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（2）坚持统一指挥，分级管理的原则。在</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政府的统一领导下，由</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、乡（镇）政府，</w:t>
      </w:r>
      <w:r>
        <w:rPr>
          <w:rFonts w:hint="eastAsia" w:ascii="仿宋_GB2312" w:hAnsi="仿宋_GB2312" w:eastAsia="仿宋_GB2312" w:cs="仿宋_GB2312"/>
          <w:snapToGrid w:val="0"/>
          <w:color w:val="auto"/>
          <w:spacing w:val="0"/>
          <w:kern w:val="0"/>
          <w:sz w:val="32"/>
          <w:szCs w:val="32"/>
          <w:lang w:val="en-US" w:eastAsia="zh-CN"/>
        </w:rPr>
        <w:t>街道办事处</w:t>
      </w:r>
      <w:r>
        <w:rPr>
          <w:rFonts w:hint="default" w:ascii="仿宋_GB2312" w:hAnsi="仿宋_GB2312" w:eastAsia="仿宋_GB2312" w:cs="仿宋_GB2312"/>
          <w:snapToGrid w:val="0"/>
          <w:color w:val="auto"/>
          <w:spacing w:val="0"/>
          <w:kern w:val="0"/>
          <w:sz w:val="32"/>
          <w:szCs w:val="32"/>
        </w:rPr>
        <w:t>分级负责。</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政府统一组织、指挥和协调本</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较大突发环境事件的应急工作以及重大、特别重大突发环境事件的先期处置工作；乡（镇）政府，</w:t>
      </w:r>
      <w:r>
        <w:rPr>
          <w:rFonts w:hint="eastAsia" w:ascii="仿宋_GB2312" w:hAnsi="仿宋_GB2312" w:eastAsia="仿宋_GB2312" w:cs="仿宋_GB2312"/>
          <w:snapToGrid w:val="0"/>
          <w:color w:val="auto"/>
          <w:spacing w:val="0"/>
          <w:kern w:val="0"/>
          <w:sz w:val="32"/>
          <w:szCs w:val="32"/>
          <w:lang w:val="en-US" w:eastAsia="zh-CN"/>
        </w:rPr>
        <w:t>街道办事处</w:t>
      </w:r>
      <w:r>
        <w:rPr>
          <w:rFonts w:hint="default" w:ascii="仿宋_GB2312" w:hAnsi="仿宋_GB2312" w:eastAsia="仿宋_GB2312" w:cs="仿宋_GB2312"/>
          <w:snapToGrid w:val="0"/>
          <w:color w:val="auto"/>
          <w:spacing w:val="0"/>
          <w:kern w:val="0"/>
          <w:sz w:val="32"/>
          <w:szCs w:val="32"/>
        </w:rPr>
        <w:t>统一组织、指挥和协调所辖区域一般突发环境事件的应急工作；重大、特别重大突发环境事件的应急工作接受市政府的统一组织、指挥和协调。</w:t>
      </w:r>
    </w:p>
    <w:p w14:paraId="0369774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（3）坚持属地负责，先行处置的原则。在第一时间、第一现场对突发环境事件的处置，对控制事态、减轻后果、抢险救援、战胜灾难有着至关重要的作用。当辖区发生突发环境事件时，所在地乡（镇）政府</w:t>
      </w:r>
      <w:r>
        <w:rPr>
          <w:rFonts w:hint="eastAsia" w:ascii="仿宋_GB2312" w:hAnsi="仿宋_GB2312" w:eastAsia="仿宋_GB2312" w:cs="仿宋_GB2312"/>
          <w:snapToGrid w:val="0"/>
          <w:color w:val="auto"/>
          <w:spacing w:val="0"/>
          <w:kern w:val="0"/>
          <w:sz w:val="32"/>
          <w:szCs w:val="32"/>
          <w:lang w:eastAsia="zh-CN"/>
        </w:rPr>
        <w:t>、</w:t>
      </w:r>
      <w:r>
        <w:rPr>
          <w:rFonts w:hint="eastAsia" w:ascii="仿宋_GB2312" w:hAnsi="仿宋_GB2312" w:eastAsia="仿宋_GB2312" w:cs="仿宋_GB2312"/>
          <w:snapToGrid w:val="0"/>
          <w:color w:val="auto"/>
          <w:spacing w:val="0"/>
          <w:kern w:val="0"/>
          <w:sz w:val="32"/>
          <w:szCs w:val="32"/>
          <w:lang w:val="en-US" w:eastAsia="zh-CN"/>
        </w:rPr>
        <w:t>街道办事处</w:t>
      </w:r>
      <w:r>
        <w:rPr>
          <w:rFonts w:hint="default" w:ascii="仿宋_GB2312" w:hAnsi="仿宋_GB2312" w:eastAsia="仿宋_GB2312" w:cs="仿宋_GB2312"/>
          <w:snapToGrid w:val="0"/>
          <w:color w:val="auto"/>
          <w:spacing w:val="0"/>
          <w:kern w:val="0"/>
          <w:sz w:val="32"/>
          <w:szCs w:val="32"/>
        </w:rPr>
        <w:t>在及时上报情况的同时，应迅速采取措施，积极进行处置。</w:t>
      </w:r>
    </w:p>
    <w:p w14:paraId="0E5A8BC6">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坚持平战结合，科学处置的原则。积极做好应对突发环境事件的思想准备、物资准备、技术准备、工作准备，加强对应急救援队伍的培训演练。充分利用现有专业环境应急救援力量，发挥专家队伍和专业人员的作用，采用先进的预防、监测、预测、预警和应急处置技术及设施，提高应对突发环境事件的科技水平和指挥能力。</w:t>
      </w:r>
    </w:p>
    <w:p w14:paraId="08270EA0">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color w:val="auto"/>
          <w:spacing w:val="0"/>
          <w:kern w:val="0"/>
          <w:sz w:val="32"/>
          <w:szCs w:val="21"/>
        </w:rPr>
      </w:pPr>
      <w:bookmarkStart w:id="40" w:name="_Toc12090"/>
      <w:bookmarkStart w:id="41" w:name="_Toc18266"/>
      <w:bookmarkStart w:id="42" w:name="_Toc28655"/>
      <w:r>
        <w:rPr>
          <w:rFonts w:hint="eastAsia" w:ascii="黑体" w:hAnsi="黑体" w:eastAsia="黑体" w:cs="黑体"/>
          <w:b w:val="0"/>
          <w:bCs w:val="0"/>
          <w:color w:val="auto"/>
          <w:spacing w:val="0"/>
          <w:kern w:val="0"/>
          <w:sz w:val="32"/>
          <w:szCs w:val="21"/>
        </w:rPr>
        <w:t>预案衔接</w:t>
      </w:r>
      <w:bookmarkEnd w:id="40"/>
      <w:bookmarkEnd w:id="41"/>
      <w:bookmarkEnd w:id="42"/>
    </w:p>
    <w:p w14:paraId="0701C373">
      <w:pPr>
        <w:pStyle w:val="36"/>
        <w:pageBreakBefore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b/>
          <w:bCs/>
          <w:color w:val="auto"/>
          <w:spacing w:val="0"/>
          <w:kern w:val="0"/>
          <w:sz w:val="32"/>
          <w:szCs w:val="22"/>
        </w:rPr>
      </w:pPr>
      <w:bookmarkStart w:id="43" w:name="_Toc29613"/>
      <w:r>
        <w:rPr>
          <w:rFonts w:hint="eastAsia" w:ascii="楷体_GB2312" w:hAnsi="楷体_GB2312" w:eastAsia="楷体_GB2312" w:cs="楷体_GB2312"/>
          <w:b/>
          <w:bCs/>
          <w:color w:val="auto"/>
          <w:spacing w:val="0"/>
          <w:kern w:val="0"/>
          <w:sz w:val="32"/>
          <w:szCs w:val="22"/>
        </w:rPr>
        <w:t>预案关联</w:t>
      </w:r>
      <w:bookmarkEnd w:id="43"/>
    </w:p>
    <w:p w14:paraId="6F88ECC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本预案是区级政府应对突发环境事件的专项应急预案，是《</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突发事件总体应急预案》的子预案，是指导</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政府及各部门对突发环境事件应急处置的指导性文件。</w:t>
      </w:r>
    </w:p>
    <w:p w14:paraId="1337459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本预案的上级预案为《国家突发环境事件应急预案》、《江西省突发环境事件应急预案》、《</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市突发环境事件应急预案》。</w:t>
      </w:r>
    </w:p>
    <w:p w14:paraId="438DACBA">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本预案同级应急预案主要指《</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突发事件总体应急预案》下的相关子预案，如防汛抗旱应急预案、生产安全事故综合应急预案、道路交通事故应急处置预案、火灾事故应急预案、地震应急预案等。</w:t>
      </w:r>
    </w:p>
    <w:p w14:paraId="4B91A4A1">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color w:val="auto"/>
          <w:spacing w:val="0"/>
          <w:kern w:val="0"/>
          <w:sz w:val="32"/>
          <w:szCs w:val="22"/>
        </w:rPr>
      </w:pPr>
      <w:bookmarkStart w:id="44" w:name="_Toc13293"/>
      <w:r>
        <w:rPr>
          <w:rFonts w:hint="default" w:ascii="楷体_GB2312" w:hAnsi="楷体_GB2312" w:eastAsia="楷体_GB2312" w:cs="楷体_GB2312"/>
          <w:b/>
          <w:bCs/>
          <w:color w:val="auto"/>
          <w:spacing w:val="0"/>
          <w:kern w:val="0"/>
          <w:sz w:val="32"/>
          <w:szCs w:val="22"/>
        </w:rPr>
        <w:t>应急机构以及应急预案衔接</w:t>
      </w:r>
      <w:bookmarkEnd w:id="44"/>
    </w:p>
    <w:p w14:paraId="5AE6835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本预案在预警分级、信息报告、应急保障等方面严格遵循国家、省、市级同类应急预案的有关要求，避免出现组织指挥不协调、信息报告不及时、应对措施不得力的情况。</w:t>
      </w:r>
    </w:p>
    <w:p w14:paraId="5EB6EE2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rPr>
        <w:t>本预案注重与当地政府和部门预案之间的衔接，在预防预警机制、信息上报、应急响应与处置等环节与</w:t>
      </w:r>
      <w:r>
        <w:rPr>
          <w:rFonts w:hint="eastAsia" w:ascii="仿宋_GB2312" w:hAnsi="仿宋_GB2312" w:eastAsia="仿宋_GB2312" w:cs="仿宋_GB2312"/>
          <w:snapToGrid w:val="0"/>
          <w:color w:val="auto"/>
          <w:spacing w:val="0"/>
          <w:kern w:val="0"/>
          <w:sz w:val="32"/>
          <w:szCs w:val="32"/>
          <w:lang w:val="en-US" w:eastAsia="zh-CN"/>
        </w:rPr>
        <w:t>景德镇</w:t>
      </w:r>
      <w:r>
        <w:rPr>
          <w:rFonts w:hint="eastAsia" w:ascii="仿宋_GB2312" w:hAnsi="仿宋_GB2312" w:eastAsia="仿宋_GB2312" w:cs="仿宋_GB2312"/>
          <w:snapToGrid w:val="0"/>
          <w:color w:val="auto"/>
          <w:spacing w:val="0"/>
          <w:kern w:val="0"/>
          <w:sz w:val="32"/>
          <w:szCs w:val="32"/>
        </w:rPr>
        <w:t>市突发环境事件应急预案、</w:t>
      </w:r>
      <w:r>
        <w:rPr>
          <w:rFonts w:hint="eastAsia" w:ascii="仿宋_GB2312" w:hAnsi="仿宋_GB2312" w:eastAsia="仿宋_GB2312" w:cs="仿宋_GB2312"/>
          <w:snapToGrid w:val="0"/>
          <w:color w:val="auto"/>
          <w:spacing w:val="0"/>
          <w:kern w:val="0"/>
          <w:sz w:val="32"/>
          <w:szCs w:val="32"/>
          <w:lang w:val="en-US" w:eastAsia="zh-CN"/>
        </w:rPr>
        <w:t>景德镇</w:t>
      </w:r>
      <w:r>
        <w:rPr>
          <w:rFonts w:hint="eastAsia" w:ascii="仿宋_GB2312" w:hAnsi="仿宋_GB2312" w:eastAsia="仿宋_GB2312" w:cs="仿宋_GB2312"/>
          <w:snapToGrid w:val="0"/>
          <w:color w:val="auto"/>
          <w:spacing w:val="0"/>
          <w:kern w:val="0"/>
          <w:sz w:val="32"/>
          <w:szCs w:val="32"/>
        </w:rPr>
        <w:t>市突发公共事件相关应急预案以及</w:t>
      </w:r>
      <w:r>
        <w:rPr>
          <w:rFonts w:hint="eastAsia" w:ascii="仿宋_GB2312" w:hAnsi="仿宋_GB2312" w:eastAsia="仿宋_GB2312" w:cs="仿宋_GB2312"/>
          <w:snapToGrid w:val="0"/>
          <w:color w:val="auto"/>
          <w:spacing w:val="0"/>
          <w:kern w:val="0"/>
          <w:sz w:val="32"/>
          <w:szCs w:val="32"/>
          <w:lang w:val="en-US" w:eastAsia="zh-CN"/>
        </w:rPr>
        <w:t>昌江区</w:t>
      </w:r>
      <w:r>
        <w:rPr>
          <w:rFonts w:hint="eastAsia" w:ascii="仿宋_GB2312" w:hAnsi="仿宋_GB2312" w:eastAsia="仿宋_GB2312" w:cs="仿宋_GB2312"/>
          <w:snapToGrid w:val="0"/>
          <w:color w:val="auto"/>
          <w:spacing w:val="0"/>
          <w:kern w:val="0"/>
          <w:sz w:val="32"/>
          <w:szCs w:val="32"/>
        </w:rPr>
        <w:t>突发公共事件相关应急预案等相互衔接，确保突发环境事件的应急组织指挥方式协调一致。当突发环境事件超出</w:t>
      </w:r>
      <w:r>
        <w:rPr>
          <w:rFonts w:hint="eastAsia" w:ascii="仿宋_GB2312" w:hAnsi="仿宋_GB2312" w:eastAsia="仿宋_GB2312" w:cs="仿宋_GB2312"/>
          <w:snapToGrid w:val="0"/>
          <w:color w:val="auto"/>
          <w:spacing w:val="0"/>
          <w:kern w:val="0"/>
          <w:sz w:val="32"/>
          <w:szCs w:val="32"/>
          <w:lang w:val="en-US" w:eastAsia="zh-CN"/>
        </w:rPr>
        <w:t>区</w:t>
      </w:r>
      <w:r>
        <w:rPr>
          <w:rFonts w:hint="eastAsia" w:ascii="仿宋_GB2312" w:hAnsi="仿宋_GB2312" w:eastAsia="仿宋_GB2312" w:cs="仿宋_GB2312"/>
          <w:snapToGrid w:val="0"/>
          <w:color w:val="auto"/>
          <w:spacing w:val="0"/>
          <w:kern w:val="0"/>
          <w:sz w:val="32"/>
          <w:szCs w:val="32"/>
        </w:rPr>
        <w:t>政府应对突发环境事件处置能力，由</w:t>
      </w:r>
      <w:r>
        <w:rPr>
          <w:rFonts w:hint="eastAsia" w:ascii="仿宋_GB2312" w:hAnsi="仿宋_GB2312" w:eastAsia="仿宋_GB2312" w:cs="仿宋_GB2312"/>
          <w:snapToGrid w:val="0"/>
          <w:color w:val="auto"/>
          <w:spacing w:val="0"/>
          <w:kern w:val="0"/>
          <w:sz w:val="32"/>
          <w:szCs w:val="32"/>
          <w:lang w:val="en-US" w:eastAsia="zh-CN"/>
        </w:rPr>
        <w:t>景德镇</w:t>
      </w:r>
      <w:r>
        <w:rPr>
          <w:rFonts w:hint="eastAsia" w:ascii="仿宋_GB2312" w:hAnsi="仿宋_GB2312" w:eastAsia="仿宋_GB2312" w:cs="仿宋_GB2312"/>
          <w:snapToGrid w:val="0"/>
          <w:color w:val="auto"/>
          <w:spacing w:val="0"/>
          <w:kern w:val="0"/>
          <w:sz w:val="32"/>
          <w:szCs w:val="32"/>
        </w:rPr>
        <w:t>市政府、</w:t>
      </w:r>
      <w:r>
        <w:rPr>
          <w:rFonts w:hint="eastAsia" w:ascii="仿宋_GB2312" w:hAnsi="仿宋_GB2312" w:eastAsia="仿宋_GB2312" w:cs="仿宋_GB2312"/>
          <w:snapToGrid w:val="0"/>
          <w:color w:val="auto"/>
          <w:spacing w:val="0"/>
          <w:kern w:val="0"/>
          <w:sz w:val="32"/>
          <w:szCs w:val="32"/>
          <w:lang w:val="en-US" w:eastAsia="zh-CN"/>
        </w:rPr>
        <w:t>景德镇</w:t>
      </w:r>
      <w:r>
        <w:rPr>
          <w:rFonts w:hint="eastAsia" w:ascii="仿宋_GB2312" w:hAnsi="仿宋_GB2312" w:eastAsia="仿宋_GB2312" w:cs="仿宋_GB2312"/>
          <w:snapToGrid w:val="0"/>
          <w:color w:val="auto"/>
          <w:spacing w:val="0"/>
          <w:kern w:val="0"/>
          <w:sz w:val="32"/>
          <w:szCs w:val="32"/>
        </w:rPr>
        <w:t>市生态环境局启动</w:t>
      </w:r>
      <w:r>
        <w:rPr>
          <w:rFonts w:hint="eastAsia" w:ascii="仿宋_GB2312" w:hAnsi="仿宋_GB2312" w:eastAsia="仿宋_GB2312" w:cs="仿宋_GB2312"/>
          <w:snapToGrid w:val="0"/>
          <w:color w:val="auto"/>
          <w:spacing w:val="0"/>
          <w:kern w:val="0"/>
          <w:sz w:val="32"/>
          <w:szCs w:val="32"/>
          <w:lang w:val="en-US" w:eastAsia="zh-CN"/>
        </w:rPr>
        <w:t>景德镇</w:t>
      </w:r>
      <w:r>
        <w:rPr>
          <w:rFonts w:hint="eastAsia" w:ascii="仿宋_GB2312" w:hAnsi="仿宋_GB2312" w:eastAsia="仿宋_GB2312" w:cs="仿宋_GB2312"/>
          <w:snapToGrid w:val="0"/>
          <w:color w:val="auto"/>
          <w:spacing w:val="0"/>
          <w:kern w:val="0"/>
          <w:sz w:val="32"/>
          <w:szCs w:val="32"/>
        </w:rPr>
        <w:t>市突发环境事件应急预案。</w:t>
      </w:r>
    </w:p>
    <w:p w14:paraId="315AD1F2">
      <w:pPr>
        <w:pStyle w:val="36"/>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宋体" w:cs="Times New Roman"/>
          <w:bCs/>
          <w:snapToGrid w:val="0"/>
          <w:color w:val="auto"/>
          <w:spacing w:val="0"/>
          <w:kern w:val="0"/>
          <w:sz w:val="24"/>
        </w:rPr>
      </w:pPr>
      <w:r>
        <w:rPr>
          <w:rFonts w:hint="default" w:ascii="楷体_GB2312" w:hAnsi="楷体_GB2312" w:eastAsia="楷体_GB2312" w:cs="楷体_GB2312"/>
          <w:b/>
          <w:bCs/>
          <w:color w:val="auto"/>
          <w:spacing w:val="0"/>
          <w:kern w:val="0"/>
          <w:sz w:val="32"/>
          <w:szCs w:val="22"/>
        </w:rPr>
        <w:t>与上版预案变化情况</w:t>
      </w:r>
    </w:p>
    <w:p w14:paraId="12E5172A">
      <w:pPr>
        <w:pageBreakBefore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仿宋_GB2312"/>
          <w:color w:val="auto"/>
          <w:spacing w:val="0"/>
          <w:kern w:val="0"/>
          <w:sz w:val="32"/>
          <w:szCs w:val="32"/>
          <w:lang w:eastAsia="zh-CN"/>
        </w:rPr>
        <w:t>本预案与上版预案相比，补充完善了预案的编制依据、适用范围；增加了预案关联相关内容；调整了应急组织机构在发生突发环境事件时的职责分工；完善了信息报告流程与应急响应程序；细化了应急监测相关内容；充实了后期工作与应急保障相关内容；制定了本应急预案的演练频次；补充了应急部门联系方式、各类事件应急处置措施卡；补充了</w:t>
      </w:r>
      <w:r>
        <w:rPr>
          <w:rFonts w:hint="eastAsia" w:ascii="仿宋_GB2312" w:hAnsi="仿宋_GB2312" w:eastAsia="仿宋_GB2312" w:cs="仿宋_GB2312"/>
          <w:color w:val="auto"/>
          <w:spacing w:val="0"/>
          <w:kern w:val="0"/>
          <w:sz w:val="32"/>
          <w:szCs w:val="32"/>
          <w:lang w:val="en-US" w:eastAsia="zh-CN"/>
        </w:rPr>
        <w:t>昌江区</w:t>
      </w:r>
      <w:r>
        <w:rPr>
          <w:rFonts w:hint="eastAsia" w:ascii="仿宋_GB2312" w:hAnsi="仿宋_GB2312" w:eastAsia="仿宋_GB2312" w:cs="仿宋_GB2312"/>
          <w:color w:val="auto"/>
          <w:spacing w:val="0"/>
          <w:kern w:val="0"/>
          <w:sz w:val="32"/>
          <w:szCs w:val="32"/>
          <w:lang w:eastAsia="zh-CN"/>
        </w:rPr>
        <w:t>饮用水水源地突发环境事件处置方案、</w:t>
      </w:r>
      <w:r>
        <w:rPr>
          <w:rFonts w:hint="eastAsia" w:ascii="仿宋_GB2312" w:hAnsi="仿宋_GB2312" w:eastAsia="仿宋_GB2312" w:cs="仿宋_GB2312"/>
          <w:color w:val="auto"/>
          <w:spacing w:val="0"/>
          <w:kern w:val="0"/>
          <w:sz w:val="32"/>
          <w:szCs w:val="32"/>
          <w:lang w:val="en-US" w:eastAsia="zh-CN"/>
        </w:rPr>
        <w:t>昌江区产业园区</w:t>
      </w:r>
      <w:r>
        <w:rPr>
          <w:rFonts w:hint="eastAsia" w:ascii="仿宋_GB2312" w:hAnsi="仿宋_GB2312" w:eastAsia="仿宋_GB2312" w:cs="仿宋_GB2312"/>
          <w:color w:val="auto"/>
          <w:spacing w:val="0"/>
          <w:kern w:val="0"/>
          <w:sz w:val="32"/>
          <w:szCs w:val="32"/>
          <w:lang w:eastAsia="zh-CN"/>
        </w:rPr>
        <w:t>突发环境事件处置方案。</w:t>
      </w:r>
    </w:p>
    <w:p w14:paraId="51E71CC8">
      <w:pPr>
        <w:pStyle w:val="2"/>
        <w:rPr>
          <w:rFonts w:hint="default"/>
        </w:rPr>
      </w:pPr>
    </w:p>
    <w:p w14:paraId="3A05B176">
      <w:pPr>
        <w:widowControl/>
        <w:spacing w:line="240" w:lineRule="auto"/>
        <w:ind w:firstLine="0" w:firstLineChars="0"/>
        <w:rPr>
          <w:rFonts w:hint="default" w:ascii="Times New Roman" w:hAnsi="Times New Roman" w:eastAsia="仿宋" w:cs="Times New Roman"/>
          <w:color w:val="auto"/>
          <w:kern w:val="0"/>
        </w:rPr>
      </w:pPr>
      <w:r>
        <w:rPr>
          <w:rFonts w:hint="default" w:ascii="Times New Roman" w:hAnsi="Times New Roman" w:eastAsia="仿宋" w:cs="Times New Roman"/>
          <w:color w:val="auto"/>
          <w:kern w:val="0"/>
        </w:rPr>
        <mc:AlternateContent>
          <mc:Choice Requires="wps">
            <w:drawing>
              <wp:anchor distT="0" distB="0" distL="114300" distR="114300" simplePos="0" relativeHeight="251717632" behindDoc="0" locked="0" layoutInCell="1" allowOverlap="1">
                <wp:simplePos x="0" y="0"/>
                <wp:positionH relativeFrom="column">
                  <wp:posOffset>1028065</wp:posOffset>
                </wp:positionH>
                <wp:positionV relativeFrom="paragraph">
                  <wp:posOffset>422910</wp:posOffset>
                </wp:positionV>
                <wp:extent cx="8890" cy="2967355"/>
                <wp:effectExtent l="38100" t="0" r="29210" b="4445"/>
                <wp:wrapNone/>
                <wp:docPr id="506" name="直接连接符 12"/>
                <wp:cNvGraphicFramePr/>
                <a:graphic xmlns:a="http://schemas.openxmlformats.org/drawingml/2006/main">
                  <a:graphicData uri="http://schemas.microsoft.com/office/word/2010/wordprocessingShape">
                    <wps:wsp>
                      <wps:cNvCnPr/>
                      <wps:spPr>
                        <a:xfrm flipH="1">
                          <a:off x="0" y="0"/>
                          <a:ext cx="8890" cy="2967355"/>
                        </a:xfrm>
                        <a:prstGeom prst="line">
                          <a:avLst/>
                        </a:prstGeom>
                        <a:ln w="19050" cap="flat" cmpd="sng">
                          <a:solidFill>
                            <a:srgbClr val="000000"/>
                          </a:solidFill>
                          <a:prstDash val="solid"/>
                          <a:headEnd type="none" w="med" len="med"/>
                          <a:tailEnd type="triangle" w="med" len="med"/>
                        </a:ln>
                      </wps:spPr>
                      <wps:bodyPr/>
                    </wps:wsp>
                  </a:graphicData>
                </a:graphic>
              </wp:anchor>
            </w:drawing>
          </mc:Choice>
          <mc:Fallback>
            <w:pict>
              <v:line id="直接连接符 12" o:spid="_x0000_s1026" o:spt="20" style="position:absolute;left:0pt;flip:x;margin-left:80.95pt;margin-top:33.3pt;height:233.65pt;width:0.7pt;z-index:251717632;mso-width-relative:page;mso-height-relative:page;" filled="f" stroked="t" coordsize="21600,21600" o:gfxdata="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CNi09YAAAAKAQAADwAAAAAAAAABACAAAAAiAAAAZHJzL2Rvd25y&#10;ZXYueG1sUEsBAhQAFAAAAAgAh07iQKmpA3wAAgAA7QMAAA4AAAAAAAAAAQAgAAAAJQEAAGRycy9l&#10;Mm9Eb2MueG1sUEsFBgAAAAAGAAYAWQEAAJcFAAAAAA==&#10;">
                <v:fill on="f" focussize="0,0"/>
                <v:stroke weight="1.5pt" color="#000000" joinstyle="round" endarrow="block"/>
                <v:imagedata o:title=""/>
                <o:lock v:ext="edit" aspectratio="f"/>
              </v:line>
            </w:pict>
          </mc:Fallback>
        </mc:AlternateContent>
      </w:r>
      <w:r>
        <w:rPr>
          <w:rFonts w:hint="default" w:ascii="Times New Roman" w:hAnsi="Times New Roman" w:eastAsia="仿宋" w:cs="Times New Roman"/>
          <w:color w:val="auto"/>
          <w:kern w:val="0"/>
        </w:rPr>
        <mc:AlternateContent>
          <mc:Choice Requires="wps">
            <w:drawing>
              <wp:anchor distT="0" distB="0" distL="114300" distR="114300" simplePos="0" relativeHeight="251716608" behindDoc="0" locked="0" layoutInCell="1" allowOverlap="1">
                <wp:simplePos x="0" y="0"/>
                <wp:positionH relativeFrom="column">
                  <wp:posOffset>1916430</wp:posOffset>
                </wp:positionH>
                <wp:positionV relativeFrom="paragraph">
                  <wp:posOffset>2703195</wp:posOffset>
                </wp:positionV>
                <wp:extent cx="1760855" cy="406400"/>
                <wp:effectExtent l="9525" t="9525" r="20320" b="22225"/>
                <wp:wrapNone/>
                <wp:docPr id="505" name="文本框 45"/>
                <wp:cNvGraphicFramePr/>
                <a:graphic xmlns:a="http://schemas.openxmlformats.org/drawingml/2006/main">
                  <a:graphicData uri="http://schemas.microsoft.com/office/word/2010/wordprocessingShape">
                    <wps:wsp>
                      <wps:cNvSpPr txBox="1"/>
                      <wps:spPr>
                        <a:xfrm>
                          <a:off x="0" y="0"/>
                          <a:ext cx="1760855" cy="406400"/>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109D9D7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现场应急指挥部</w:t>
                            </w:r>
                          </w:p>
                        </w:txbxContent>
                      </wps:txbx>
                      <wps:bodyPr lIns="0" tIns="0" rIns="0" bIns="0" upright="1"/>
                    </wps:wsp>
                  </a:graphicData>
                </a:graphic>
              </wp:anchor>
            </w:drawing>
          </mc:Choice>
          <mc:Fallback>
            <w:pict>
              <v:shape id="文本框 45" o:spid="_x0000_s1026" o:spt="202" type="#_x0000_t202" style="position:absolute;left:0pt;margin-left:150.9pt;margin-top:212.85pt;height:32pt;width:138.65pt;z-index:251716608;mso-width-relative:page;mso-height-relative:page;" fillcolor="#FFFFFF" filled="t" stroked="t" coordsize="21600,21600" o:gfxdata="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Z9beM&#10;2wAAAAsBAAAPAAAAAAAAAAEAIAAAACIAAABkcnMvZG93bnJldi54bWxQSwECFAAUAAAACACHTuJA&#10;d3NyXB4CAABeBAAADgAAAAAAAAABACAAAAAqAQAAZHJzL2Uyb0RvYy54bWxQSwUGAAAAAAYABgBZ&#10;AQAAugUAAAAA&#10;">
                <v:fill on="t" focussize="0,0"/>
                <v:stroke weight="1.5pt" color="#000000" joinstyle="miter"/>
                <v:imagedata o:title=""/>
                <o:lock v:ext="edit" aspectratio="f"/>
                <v:textbox inset="0mm,0mm,0mm,0mm">
                  <w:txbxContent>
                    <w:p w14:paraId="109D9D7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现场应急指挥部</w:t>
                      </w:r>
                    </w:p>
                  </w:txbxContent>
                </v:textbox>
              </v:shape>
            </w:pict>
          </mc:Fallback>
        </mc:AlternateContent>
      </w:r>
      <w:r>
        <w:rPr>
          <w:rFonts w:hint="default" w:ascii="Times New Roman" w:hAnsi="Times New Roman" w:eastAsia="仿宋" w:cs="Times New Roman"/>
          <w:color w:val="auto"/>
          <w:kern w:val="0"/>
        </w:rPr>
        <mc:AlternateContent>
          <mc:Choice Requires="wpc">
            <w:drawing>
              <wp:inline distT="0" distB="0" distL="0" distR="0">
                <wp:extent cx="5275580" cy="7168515"/>
                <wp:effectExtent l="0" t="0" r="0" b="13335"/>
                <wp:docPr id="504" name="画布 43"/>
                <wp:cNvGraphicFramePr/>
                <a:graphic xmlns:a="http://schemas.openxmlformats.org/drawingml/2006/main">
                  <a:graphicData uri="http://schemas.microsoft.com/office/word/2010/wordprocessingCanvas">
                    <wpc:wpc>
                      <wpc:bg>
                        <a:noFill/>
                      </wpc:bg>
                      <wpc:whole>
                        <a:ln>
                          <a:noFill/>
                        </a:ln>
                      </wpc:whole>
                      <wps:wsp>
                        <wps:cNvPr id="449" name="自选图形 104"/>
                        <wps:cNvCnPr/>
                        <wps:spPr bwMode="auto">
                          <a:xfrm flipH="1">
                            <a:off x="2801620" y="2368550"/>
                            <a:ext cx="635" cy="279400"/>
                          </a:xfrm>
                          <a:prstGeom prst="straightConnector1">
                            <a:avLst/>
                          </a:prstGeom>
                          <a:noFill/>
                          <a:ln w="19050">
                            <a:solidFill>
                              <a:srgbClr val="000000"/>
                            </a:solidFill>
                            <a:round/>
                            <a:tailEnd type="triangle" w="med" len="med"/>
                          </a:ln>
                          <a:effectLst/>
                        </wps:spPr>
                        <wps:bodyPr/>
                      </wps:wsp>
                      <wps:wsp>
                        <wps:cNvPr id="450" name="自选图形 104"/>
                        <wps:cNvCnPr/>
                        <wps:spPr bwMode="auto">
                          <a:xfrm flipH="1" flipV="1">
                            <a:off x="3418205" y="1177290"/>
                            <a:ext cx="3810" cy="259715"/>
                          </a:xfrm>
                          <a:prstGeom prst="straightConnector1">
                            <a:avLst/>
                          </a:prstGeom>
                          <a:noFill/>
                          <a:ln w="19050">
                            <a:solidFill>
                              <a:srgbClr val="000000"/>
                            </a:solidFill>
                            <a:round/>
                            <a:tailEnd type="triangle" w="med" len="med"/>
                          </a:ln>
                          <a:effectLst/>
                        </wps:spPr>
                        <wps:bodyPr/>
                      </wps:wsp>
                      <wps:wsp>
                        <wps:cNvPr id="451" name="自选图形 104"/>
                        <wps:cNvCnPr/>
                        <wps:spPr bwMode="auto">
                          <a:xfrm flipH="1">
                            <a:off x="2220595" y="1769745"/>
                            <a:ext cx="635" cy="279400"/>
                          </a:xfrm>
                          <a:prstGeom prst="straightConnector1">
                            <a:avLst/>
                          </a:prstGeom>
                          <a:noFill/>
                          <a:ln w="19050">
                            <a:solidFill>
                              <a:srgbClr val="000000"/>
                            </a:solidFill>
                            <a:round/>
                            <a:tailEnd type="triangle" w="med" len="med"/>
                          </a:ln>
                          <a:effectLst/>
                        </wps:spPr>
                        <wps:bodyPr/>
                      </wps:wsp>
                      <wps:wsp>
                        <wps:cNvPr id="452" name="自选图形 104"/>
                        <wps:cNvCnPr/>
                        <wps:spPr bwMode="auto">
                          <a:xfrm flipH="1" flipV="1">
                            <a:off x="3395345" y="509905"/>
                            <a:ext cx="2540" cy="302260"/>
                          </a:xfrm>
                          <a:prstGeom prst="straightConnector1">
                            <a:avLst/>
                          </a:prstGeom>
                          <a:noFill/>
                          <a:ln w="19050">
                            <a:solidFill>
                              <a:srgbClr val="000000"/>
                            </a:solidFill>
                            <a:round/>
                            <a:tailEnd type="triangle" w="med" len="med"/>
                          </a:ln>
                          <a:effectLst/>
                        </wps:spPr>
                        <wps:bodyPr/>
                      </wps:wsp>
                      <wps:wsp>
                        <wps:cNvPr id="453" name="自选图形 104"/>
                        <wps:cNvCnPr/>
                        <wps:spPr bwMode="auto">
                          <a:xfrm flipH="1">
                            <a:off x="2207260" y="1145540"/>
                            <a:ext cx="635" cy="279400"/>
                          </a:xfrm>
                          <a:prstGeom prst="straightConnector1">
                            <a:avLst/>
                          </a:prstGeom>
                          <a:noFill/>
                          <a:ln w="19050">
                            <a:solidFill>
                              <a:srgbClr val="000000"/>
                            </a:solidFill>
                            <a:round/>
                            <a:tailEnd type="triangle" w="med" len="med"/>
                          </a:ln>
                          <a:effectLst/>
                        </wps:spPr>
                        <wps:bodyPr/>
                      </wps:wsp>
                      <wps:wsp>
                        <wps:cNvPr id="454" name="自选图形 104"/>
                        <wps:cNvCnPr/>
                        <wps:spPr bwMode="auto">
                          <a:xfrm flipH="1" flipV="1">
                            <a:off x="3433445" y="1779905"/>
                            <a:ext cx="2540" cy="302260"/>
                          </a:xfrm>
                          <a:prstGeom prst="straightConnector1">
                            <a:avLst/>
                          </a:prstGeom>
                          <a:noFill/>
                          <a:ln w="19050">
                            <a:solidFill>
                              <a:srgbClr val="000000"/>
                            </a:solidFill>
                            <a:round/>
                            <a:tailEnd type="triangle" w="med" len="med"/>
                          </a:ln>
                          <a:effectLst/>
                        </wps:spPr>
                        <wps:bodyPr/>
                      </wps:wsp>
                      <wps:wsp>
                        <wps:cNvPr id="455" name="文本框 45"/>
                        <wps:cNvSpPr txBox="1"/>
                        <wps:spPr bwMode="auto">
                          <a:xfrm>
                            <a:off x="1428750" y="164465"/>
                            <a:ext cx="2651125" cy="361315"/>
                          </a:xfrm>
                          <a:prstGeom prst="rect">
                            <a:avLst/>
                          </a:prstGeom>
                          <a:solidFill>
                            <a:srgbClr val="FFFFFF"/>
                          </a:solidFill>
                          <a:ln w="19050">
                            <a:solidFill>
                              <a:srgbClr val="000000"/>
                            </a:solidFill>
                            <a:miter lim="800000"/>
                          </a:ln>
                          <a:effectLst/>
                        </wps:spPr>
                        <wps:txbx>
                          <w:txbxContent>
                            <w:p w14:paraId="50565C94">
                              <w:pPr>
                                <w:adjustRightInd w:val="0"/>
                                <w:snapToGrid w:val="0"/>
                                <w:spacing w:before="156" w:beforeLines="50"/>
                                <w:ind w:firstLine="0" w:firstLineChars="0"/>
                                <w:jc w:val="center"/>
                                <w:rPr>
                                  <w:rFonts w:ascii="宋体" w:hAnsi="宋体" w:cs="宋体"/>
                                  <w:kern w:val="0"/>
                                  <w:szCs w:val="21"/>
                                </w:rPr>
                              </w:pPr>
                              <w:r>
                                <w:rPr>
                                  <w:rFonts w:hint="eastAsia" w:ascii="仿宋" w:hAnsi="仿宋" w:eastAsia="仿宋" w:cs="仿宋"/>
                                  <w:b/>
                                  <w:bCs/>
                                  <w:kern w:val="0"/>
                                  <w:sz w:val="21"/>
                                  <w:szCs w:val="21"/>
                                </w:rPr>
                                <w:t>江西省突发环境事件应急指挥中心</w:t>
                              </w:r>
                            </w:p>
                          </w:txbxContent>
                        </wps:txbx>
                        <wps:bodyPr rot="0" vert="horz" wrap="square" lIns="0" tIns="0" rIns="0" bIns="0" anchor="t" anchorCtr="0" upright="1">
                          <a:noAutofit/>
                        </wps:bodyPr>
                      </wps:wsp>
                      <wps:wsp>
                        <wps:cNvPr id="456" name="直线 98"/>
                        <wps:cNvCnPr/>
                        <wps:spPr bwMode="auto">
                          <a:xfrm flipH="1">
                            <a:off x="1031875" y="991234"/>
                            <a:ext cx="393065" cy="1905"/>
                          </a:xfrm>
                          <a:prstGeom prst="line">
                            <a:avLst/>
                          </a:prstGeom>
                          <a:noFill/>
                          <a:ln w="19050">
                            <a:solidFill>
                              <a:srgbClr val="000000"/>
                            </a:solidFill>
                            <a:miter lim="800000"/>
                          </a:ln>
                          <a:effectLst/>
                        </wps:spPr>
                        <wps:bodyPr/>
                      </wps:wsp>
                      <wps:wsp>
                        <wps:cNvPr id="457" name="直线 98"/>
                        <wps:cNvCnPr/>
                        <wps:spPr bwMode="auto">
                          <a:xfrm flipH="1" flipV="1">
                            <a:off x="1043940" y="328930"/>
                            <a:ext cx="388620" cy="2540"/>
                          </a:xfrm>
                          <a:prstGeom prst="line">
                            <a:avLst/>
                          </a:prstGeom>
                          <a:noFill/>
                          <a:ln w="19050">
                            <a:solidFill>
                              <a:srgbClr val="000000"/>
                            </a:solidFill>
                            <a:miter lim="800000"/>
                          </a:ln>
                          <a:effectLst/>
                        </wps:spPr>
                        <wps:bodyPr/>
                      </wps:wsp>
                      <wps:wsp>
                        <wps:cNvPr id="458" name="文本框 143"/>
                        <wps:cNvSpPr txBox="1"/>
                        <wps:spPr bwMode="auto">
                          <a:xfrm>
                            <a:off x="3043801" y="4001942"/>
                            <a:ext cx="1931035" cy="3088972"/>
                          </a:xfrm>
                          <a:prstGeom prst="rect">
                            <a:avLst/>
                          </a:prstGeom>
                          <a:solidFill>
                            <a:srgbClr val="FFFFFF"/>
                          </a:solidFill>
                          <a:ln w="19050">
                            <a:solidFill>
                              <a:schemeClr val="tx1"/>
                            </a:solidFill>
                            <a:miter lim="800000"/>
                          </a:ln>
                          <a:effectLst/>
                        </wps:spPr>
                        <wps:txbx>
                          <w:txbxContent>
                            <w:p w14:paraId="0B4AE5A1">
                              <w:pPr>
                                <w:widowControl/>
                                <w:adjustRightInd w:val="0"/>
                                <w:snapToGrid w:val="0"/>
                                <w:ind w:firstLine="0" w:firstLineChars="0"/>
                                <w:jc w:val="center"/>
                                <w:rPr>
                                  <w:rFonts w:ascii="宋体" w:hAnsi="宋体" w:cs="宋体"/>
                                  <w:kern w:val="0"/>
                                  <w:szCs w:val="21"/>
                                </w:rPr>
                              </w:pPr>
                              <w:r>
                                <w:rPr>
                                  <w:rFonts w:hint="eastAsia" w:ascii="宋体" w:hAnsi="宋体" w:cs="宋体"/>
                                  <w:kern w:val="0"/>
                                  <w:szCs w:val="21"/>
                                </w:rPr>
                                <w:t xml:space="preserve"> </w:t>
                              </w:r>
                            </w:p>
                            <w:p w14:paraId="33DF6483">
                              <w:pPr>
                                <w:widowControl/>
                                <w:adjustRightInd w:val="0"/>
                                <w:snapToGrid w:val="0"/>
                                <w:ind w:firstLine="0" w:firstLineChars="0"/>
                                <w:jc w:val="center"/>
                                <w:rPr>
                                  <w:rFonts w:ascii="宋体" w:hAnsi="宋体" w:cs="宋体"/>
                                  <w:kern w:val="0"/>
                                  <w:szCs w:val="21"/>
                                </w:rPr>
                              </w:pPr>
                            </w:p>
                            <w:p w14:paraId="5781955B">
                              <w:pPr>
                                <w:widowControl/>
                                <w:adjustRightInd w:val="0"/>
                                <w:snapToGrid w:val="0"/>
                                <w:ind w:firstLine="0" w:firstLineChars="0"/>
                                <w:jc w:val="center"/>
                                <w:rPr>
                                  <w:rFonts w:ascii="仿宋" w:hAnsi="仿宋" w:eastAsia="仿宋" w:cs="仿宋"/>
                                  <w:b/>
                                  <w:bCs/>
                                  <w:kern w:val="0"/>
                                  <w:sz w:val="21"/>
                                  <w:szCs w:val="21"/>
                                </w:rPr>
                              </w:pPr>
                            </w:p>
                            <w:p w14:paraId="3DE3EC15">
                              <w:pPr>
                                <w:pStyle w:val="2"/>
                              </w:pPr>
                            </w:p>
                            <w:p w14:paraId="4D7352FE">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应急指挥组</w:t>
                              </w:r>
                            </w:p>
                            <w:p w14:paraId="1F55008D">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应急工作组</w:t>
                              </w:r>
                            </w:p>
                            <w:p w14:paraId="0A503DE6">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应急专家组</w:t>
                              </w:r>
                            </w:p>
                          </w:txbxContent>
                        </wps:txbx>
                        <wps:bodyPr rot="0" vert="horz" wrap="square" lIns="0" tIns="0" rIns="0" bIns="0" anchor="t" anchorCtr="0" upright="1">
                          <a:noAutofit/>
                        </wps:bodyPr>
                      </wps:wsp>
                      <wps:wsp>
                        <wps:cNvPr id="459" name="自选图形 104"/>
                        <wps:cNvCnPr/>
                        <wps:spPr bwMode="auto">
                          <a:xfrm flipH="1" flipV="1">
                            <a:off x="2178685" y="3079750"/>
                            <a:ext cx="2540" cy="302260"/>
                          </a:xfrm>
                          <a:prstGeom prst="straightConnector1">
                            <a:avLst/>
                          </a:prstGeom>
                          <a:noFill/>
                          <a:ln w="19050">
                            <a:solidFill>
                              <a:srgbClr val="000000"/>
                            </a:solidFill>
                            <a:round/>
                            <a:tailEnd type="triangle" w="med" len="med"/>
                          </a:ln>
                          <a:effectLst/>
                        </wps:spPr>
                        <wps:bodyPr/>
                      </wps:wsp>
                      <wps:wsp>
                        <wps:cNvPr id="460" name="自选图形 104"/>
                        <wps:cNvCnPr/>
                        <wps:spPr bwMode="auto">
                          <a:xfrm>
                            <a:off x="1731010" y="3524885"/>
                            <a:ext cx="285750" cy="0"/>
                          </a:xfrm>
                          <a:prstGeom prst="straightConnector1">
                            <a:avLst/>
                          </a:prstGeom>
                          <a:noFill/>
                          <a:ln w="9525">
                            <a:solidFill>
                              <a:srgbClr val="000000"/>
                            </a:solidFill>
                            <a:round/>
                            <a:tailEnd type="triangle" w="med" len="med"/>
                          </a:ln>
                          <a:effectLst/>
                        </wps:spPr>
                        <wps:bodyPr/>
                      </wps:wsp>
                      <wps:wsp>
                        <wps:cNvPr id="461" name="文本框 117"/>
                        <wps:cNvSpPr txBox="1"/>
                        <wps:spPr bwMode="auto">
                          <a:xfrm>
                            <a:off x="690244" y="3947631"/>
                            <a:ext cx="1986281" cy="3169162"/>
                          </a:xfrm>
                          <a:prstGeom prst="rect">
                            <a:avLst/>
                          </a:prstGeom>
                          <a:solidFill>
                            <a:srgbClr val="FFFFFF"/>
                          </a:solidFill>
                          <a:ln w="19050">
                            <a:solidFill>
                              <a:srgbClr val="000000"/>
                            </a:solidFill>
                            <a:miter lim="800000"/>
                          </a:ln>
                          <a:effectLst/>
                        </wps:spPr>
                        <wps:txbx>
                          <w:txbxContent>
                            <w:p w14:paraId="0C19EEFC">
                              <w:pPr>
                                <w:adjustRightInd w:val="0"/>
                                <w:snapToGrid w:val="0"/>
                                <w:spacing w:line="240" w:lineRule="auto"/>
                                <w:ind w:firstLine="0" w:firstLineChars="0"/>
                                <w:jc w:val="center"/>
                                <w:rPr>
                                  <w:rFonts w:ascii="仿宋" w:hAnsi="仿宋" w:eastAsia="仿宋" w:cs="仿宋"/>
                                  <w:b/>
                                  <w:bCs/>
                                  <w:kern w:val="0"/>
                                  <w:sz w:val="21"/>
                                  <w:szCs w:val="21"/>
                                </w:rPr>
                              </w:pPr>
                            </w:p>
                            <w:p w14:paraId="606B121F">
                              <w:pPr>
                                <w:adjustRightInd w:val="0"/>
                                <w:snapToGrid w:val="0"/>
                                <w:spacing w:line="240" w:lineRule="auto"/>
                                <w:ind w:firstLine="0" w:firstLineChars="0"/>
                                <w:jc w:val="center"/>
                                <w:rPr>
                                  <w:rFonts w:ascii="仿宋" w:hAnsi="仿宋" w:eastAsia="仿宋" w:cs="仿宋"/>
                                  <w:b/>
                                  <w:bCs/>
                                  <w:kern w:val="0"/>
                                  <w:sz w:val="21"/>
                                  <w:szCs w:val="21"/>
                                </w:rPr>
                              </w:pPr>
                            </w:p>
                            <w:p w14:paraId="5D5A85F9">
                              <w:pPr>
                                <w:adjustRightInd w:val="0"/>
                                <w:snapToGrid w:val="0"/>
                                <w:spacing w:line="240" w:lineRule="auto"/>
                                <w:ind w:firstLine="0" w:firstLineChars="0"/>
                                <w:jc w:val="center"/>
                                <w:rPr>
                                  <w:rFonts w:ascii="仿宋" w:hAnsi="仿宋" w:eastAsia="仿宋" w:cs="仿宋"/>
                                  <w:b/>
                                  <w:bCs/>
                                  <w:kern w:val="0"/>
                                  <w:sz w:val="21"/>
                                  <w:szCs w:val="21"/>
                                </w:rPr>
                              </w:pPr>
                            </w:p>
                            <w:p w14:paraId="34131EB3">
                              <w:pPr>
                                <w:adjustRightInd w:val="0"/>
                                <w:snapToGrid w:val="0"/>
                                <w:spacing w:line="240" w:lineRule="auto"/>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生态环境局、</w:t>
                              </w:r>
                              <w:r>
                                <w:rPr>
                                  <w:rFonts w:hint="eastAsia" w:ascii="仿宋" w:hAnsi="仿宋" w:eastAsia="仿宋" w:cs="仿宋"/>
                                  <w:b/>
                                  <w:bCs/>
                                  <w:kern w:val="0"/>
                                  <w:sz w:val="21"/>
                                  <w:szCs w:val="21"/>
                                  <w:lang w:val="en-US" w:eastAsia="zh-CN"/>
                                </w:rPr>
                                <w:t>区委</w:t>
                              </w:r>
                              <w:r>
                                <w:rPr>
                                  <w:rFonts w:hint="eastAsia" w:ascii="仿宋" w:hAnsi="仿宋" w:eastAsia="仿宋" w:cs="仿宋"/>
                                  <w:b/>
                                  <w:bCs/>
                                  <w:kern w:val="0"/>
                                  <w:sz w:val="21"/>
                                  <w:szCs w:val="21"/>
                                </w:rPr>
                                <w:t>宣传部、应急管理局、发改委、教体局、公安局、民政局、财政局、人社局、住建局、城市管理局、农业农村水利局、卫健委、文化广电新闻出版旅游局、消防救援大队、人武部、司法局、气象局、各街道办事处、乡镇政府、</w:t>
                              </w:r>
                              <w:r>
                                <w:rPr>
                                  <w:rFonts w:hint="eastAsia" w:ascii="仿宋" w:hAnsi="仿宋" w:eastAsia="仿宋" w:cs="仿宋"/>
                                  <w:b/>
                                  <w:bCs/>
                                  <w:kern w:val="0"/>
                                  <w:sz w:val="21"/>
                                  <w:szCs w:val="21"/>
                                  <w:lang w:val="en-US" w:eastAsia="zh-CN"/>
                                </w:rPr>
                                <w:t>区</w:t>
                              </w:r>
                              <w:r>
                                <w:rPr>
                                  <w:rFonts w:hint="eastAsia" w:ascii="仿宋" w:hAnsi="仿宋" w:eastAsia="仿宋" w:cs="仿宋"/>
                                  <w:b/>
                                  <w:bCs/>
                                  <w:kern w:val="0"/>
                                  <w:sz w:val="21"/>
                                  <w:szCs w:val="21"/>
                                </w:rPr>
                                <w:t>供电公司、燃气公司、水务公司、通</w:t>
                              </w:r>
                              <w:r>
                                <w:rPr>
                                  <w:rFonts w:hint="eastAsia" w:ascii="仿宋" w:hAnsi="仿宋" w:eastAsia="仿宋" w:cs="仿宋"/>
                                  <w:b/>
                                  <w:bCs/>
                                  <w:kern w:val="0"/>
                                  <w:sz w:val="21"/>
                                  <w:szCs w:val="21"/>
                                  <w:lang w:val="en-US" w:eastAsia="zh-CN"/>
                                </w:rPr>
                                <w:t>信</w:t>
                              </w:r>
                              <w:r>
                                <w:rPr>
                                  <w:rFonts w:hint="eastAsia" w:ascii="仿宋" w:hAnsi="仿宋" w:eastAsia="仿宋" w:cs="仿宋"/>
                                  <w:b/>
                                  <w:bCs/>
                                  <w:kern w:val="0"/>
                                  <w:sz w:val="21"/>
                                  <w:szCs w:val="21"/>
                                </w:rPr>
                                <w:t>保障部门（包括移动公司、电信公司、联通公司等）</w:t>
                              </w:r>
                            </w:p>
                          </w:txbxContent>
                        </wps:txbx>
                        <wps:bodyPr rot="0" vert="horz" wrap="square" lIns="0" tIns="0" rIns="0" bIns="0" anchor="t" anchorCtr="0" upright="1">
                          <a:noAutofit/>
                        </wps:bodyPr>
                      </wps:wsp>
                      <wps:wsp>
                        <wps:cNvPr id="462" name="直线 98"/>
                        <wps:cNvCnPr/>
                        <wps:spPr bwMode="auto">
                          <a:xfrm flipH="1">
                            <a:off x="4589145" y="2185670"/>
                            <a:ext cx="1270" cy="1181735"/>
                          </a:xfrm>
                          <a:prstGeom prst="line">
                            <a:avLst/>
                          </a:prstGeom>
                          <a:noFill/>
                          <a:ln w="19050">
                            <a:solidFill>
                              <a:srgbClr val="000000"/>
                            </a:solidFill>
                            <a:round/>
                            <a:tailEnd type="triangle" w="med" len="med"/>
                          </a:ln>
                          <a:effectLst/>
                        </wps:spPr>
                        <wps:bodyPr/>
                      </wps:wsp>
                      <wps:wsp>
                        <wps:cNvPr id="463" name="文本框 45"/>
                        <wps:cNvSpPr txBox="1"/>
                        <wps:spPr bwMode="auto">
                          <a:xfrm>
                            <a:off x="697865" y="3378200"/>
                            <a:ext cx="1978660" cy="382270"/>
                          </a:xfrm>
                          <a:prstGeom prst="rect">
                            <a:avLst/>
                          </a:prstGeom>
                          <a:solidFill>
                            <a:srgbClr val="FFFFFF"/>
                          </a:solidFill>
                          <a:ln w="19050">
                            <a:solidFill>
                              <a:srgbClr val="000000"/>
                            </a:solidFill>
                            <a:miter lim="800000"/>
                          </a:ln>
                          <a:effectLst/>
                        </wps:spPr>
                        <wps:txbx>
                          <w:txbxContent>
                            <w:p w14:paraId="39DF3EA9">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应急成员</w:t>
                              </w:r>
                            </w:p>
                          </w:txbxContent>
                        </wps:txbx>
                        <wps:bodyPr rot="0" vert="horz" wrap="square" lIns="0" tIns="0" rIns="0" bIns="0" anchor="t" anchorCtr="0" upright="1">
                          <a:noAutofit/>
                        </wps:bodyPr>
                      </wps:wsp>
                      <wps:wsp>
                        <wps:cNvPr id="464" name="文本框 45"/>
                        <wps:cNvSpPr txBox="1"/>
                        <wps:spPr bwMode="auto">
                          <a:xfrm>
                            <a:off x="3025775" y="3380105"/>
                            <a:ext cx="1969135" cy="382270"/>
                          </a:xfrm>
                          <a:prstGeom prst="rect">
                            <a:avLst/>
                          </a:prstGeom>
                          <a:solidFill>
                            <a:srgbClr val="FFFFFF"/>
                          </a:solidFill>
                          <a:ln w="19050">
                            <a:solidFill>
                              <a:srgbClr val="000000"/>
                            </a:solidFill>
                            <a:miter lim="800000"/>
                          </a:ln>
                          <a:effectLst/>
                        </wps:spPr>
                        <wps:txbx>
                          <w:txbxContent>
                            <w:p w14:paraId="0E1C617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应急小组</w:t>
                              </w:r>
                            </w:p>
                          </w:txbxContent>
                        </wps:txbx>
                        <wps:bodyPr rot="0" vert="horz" wrap="square" lIns="0" tIns="0" rIns="0" bIns="0" anchor="t" anchorCtr="0" upright="1">
                          <a:noAutofit/>
                        </wps:bodyPr>
                      </wps:wsp>
                      <wps:wsp>
                        <wps:cNvPr id="465" name="直接连接符 18"/>
                        <wps:cNvCnPr/>
                        <wps:spPr bwMode="auto">
                          <a:xfrm flipH="1">
                            <a:off x="4092575" y="2178685"/>
                            <a:ext cx="497840" cy="3810"/>
                          </a:xfrm>
                          <a:prstGeom prst="line">
                            <a:avLst/>
                          </a:prstGeom>
                          <a:noFill/>
                          <a:ln w="19050">
                            <a:solidFill>
                              <a:srgbClr val="000000"/>
                            </a:solidFill>
                            <a:miter lim="800000"/>
                          </a:ln>
                          <a:effectLst/>
                        </wps:spPr>
                        <wps:bodyPr/>
                      </wps:wsp>
                      <wps:wsp>
                        <wps:cNvPr id="466" name="文本框 45"/>
                        <wps:cNvSpPr txBox="1"/>
                        <wps:spPr bwMode="auto">
                          <a:xfrm>
                            <a:off x="1424939" y="810260"/>
                            <a:ext cx="2651125" cy="361315"/>
                          </a:xfrm>
                          <a:prstGeom prst="rect">
                            <a:avLst/>
                          </a:prstGeom>
                          <a:solidFill>
                            <a:srgbClr val="FFFFFF"/>
                          </a:solidFill>
                          <a:ln w="19050">
                            <a:solidFill>
                              <a:srgbClr val="000000"/>
                            </a:solidFill>
                            <a:miter lim="800000"/>
                          </a:ln>
                          <a:effectLst/>
                        </wps:spPr>
                        <wps:txbx>
                          <w:txbxContent>
                            <w:p w14:paraId="37094F6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景德镇</w:t>
                              </w:r>
                              <w:r>
                                <w:rPr>
                                  <w:rFonts w:hint="eastAsia" w:ascii="仿宋" w:hAnsi="仿宋" w:eastAsia="仿宋" w:cs="仿宋"/>
                                  <w:b/>
                                  <w:bCs/>
                                  <w:kern w:val="0"/>
                                  <w:sz w:val="21"/>
                                  <w:szCs w:val="21"/>
                                </w:rPr>
                                <w:t>市突发环境事件应急指挥中心</w:t>
                              </w:r>
                            </w:p>
                          </w:txbxContent>
                        </wps:txbx>
                        <wps:bodyPr rot="0" vert="horz" wrap="square" lIns="0" tIns="0" rIns="0" bIns="0" anchor="t" anchorCtr="0" upright="1">
                          <a:noAutofit/>
                        </wps:bodyPr>
                      </wps:wsp>
                      <wps:wsp>
                        <wps:cNvPr id="467" name="文本框 45"/>
                        <wps:cNvSpPr txBox="1"/>
                        <wps:spPr bwMode="auto">
                          <a:xfrm>
                            <a:off x="1439544" y="2036445"/>
                            <a:ext cx="2651125" cy="361315"/>
                          </a:xfrm>
                          <a:prstGeom prst="rect">
                            <a:avLst/>
                          </a:prstGeom>
                          <a:solidFill>
                            <a:srgbClr val="FFFFFF"/>
                          </a:solidFill>
                          <a:ln w="19050">
                            <a:solidFill>
                              <a:srgbClr val="000000"/>
                            </a:solidFill>
                            <a:miter lim="800000"/>
                          </a:ln>
                          <a:effectLst/>
                        </wps:spPr>
                        <wps:txbx>
                          <w:txbxContent>
                            <w:p w14:paraId="7529672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突发环境事件应急办公室</w:t>
                              </w:r>
                            </w:p>
                          </w:txbxContent>
                        </wps:txbx>
                        <wps:bodyPr rot="0" vert="horz" wrap="square" lIns="0" tIns="0" rIns="0" bIns="0" anchor="t" anchorCtr="0" upright="1">
                          <a:noAutofit/>
                        </wps:bodyPr>
                      </wps:wsp>
                      <wps:wsp>
                        <wps:cNvPr id="468" name="文本框 45"/>
                        <wps:cNvSpPr txBox="1"/>
                        <wps:spPr bwMode="auto">
                          <a:xfrm>
                            <a:off x="1431290" y="1416685"/>
                            <a:ext cx="2651125" cy="361315"/>
                          </a:xfrm>
                          <a:prstGeom prst="rect">
                            <a:avLst/>
                          </a:prstGeom>
                          <a:solidFill>
                            <a:srgbClr val="FFFFFF"/>
                          </a:solidFill>
                          <a:ln w="19050">
                            <a:solidFill>
                              <a:srgbClr val="000000"/>
                            </a:solidFill>
                            <a:miter lim="800000"/>
                          </a:ln>
                          <a:effectLst/>
                        </wps:spPr>
                        <wps:txbx>
                          <w:txbxContent>
                            <w:p w14:paraId="407CCE71">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昌江区</w:t>
                              </w:r>
                              <w:r>
                                <w:rPr>
                                  <w:rFonts w:hint="eastAsia" w:ascii="仿宋" w:hAnsi="仿宋" w:eastAsia="仿宋" w:cs="仿宋"/>
                                  <w:b/>
                                  <w:bCs/>
                                  <w:kern w:val="0"/>
                                  <w:sz w:val="21"/>
                                  <w:szCs w:val="21"/>
                                </w:rPr>
                                <w:t>突发环境事件应急指挥部</w:t>
                              </w:r>
                            </w:p>
                          </w:txbxContent>
                        </wps:txbx>
                        <wps:bodyPr rot="0" vert="horz" wrap="square" lIns="0" tIns="0" rIns="0" bIns="0" anchor="t" anchorCtr="0" upright="1">
                          <a:noAutofit/>
                        </wps:bodyPr>
                      </wps:wsp>
                      <wps:wsp>
                        <wps:cNvPr id="469" name="直线 98"/>
                        <wps:cNvCnPr/>
                        <wps:spPr bwMode="auto">
                          <a:xfrm flipH="1">
                            <a:off x="1044575" y="2172970"/>
                            <a:ext cx="395605" cy="635"/>
                          </a:xfrm>
                          <a:prstGeom prst="line">
                            <a:avLst/>
                          </a:prstGeom>
                          <a:noFill/>
                          <a:ln w="19050">
                            <a:solidFill>
                              <a:srgbClr val="000000"/>
                            </a:solidFill>
                            <a:miter lim="800000"/>
                          </a:ln>
                          <a:effectLst/>
                        </wps:spPr>
                        <wps:bodyPr/>
                      </wps:wsp>
                      <wps:wsp>
                        <wps:cNvPr id="470" name="直线 98"/>
                        <wps:cNvCnPr/>
                        <wps:spPr bwMode="auto">
                          <a:xfrm flipH="1">
                            <a:off x="1035685" y="1592580"/>
                            <a:ext cx="395605" cy="635"/>
                          </a:xfrm>
                          <a:prstGeom prst="line">
                            <a:avLst/>
                          </a:prstGeom>
                          <a:noFill/>
                          <a:ln w="19050">
                            <a:solidFill>
                              <a:srgbClr val="000000"/>
                            </a:solidFill>
                            <a:miter lim="800000"/>
                          </a:ln>
                          <a:effectLst/>
                        </wps:spPr>
                        <wps:bodyPr/>
                      </wps:wsp>
                      <wps:wsp>
                        <wps:cNvPr id="471" name="自选图形 104"/>
                        <wps:cNvCnPr/>
                        <wps:spPr bwMode="auto">
                          <a:xfrm flipV="1">
                            <a:off x="3498850" y="3072130"/>
                            <a:ext cx="0" cy="318135"/>
                          </a:xfrm>
                          <a:prstGeom prst="straightConnector1">
                            <a:avLst/>
                          </a:prstGeom>
                          <a:noFill/>
                          <a:ln w="19050">
                            <a:solidFill>
                              <a:srgbClr val="000000"/>
                            </a:solidFill>
                            <a:round/>
                            <a:tailEnd type="triangle" w="med" len="med"/>
                          </a:ln>
                          <a:effectLst/>
                        </wps:spPr>
                        <wps:bodyPr/>
                      </wps:wsp>
                      <wps:wsp>
                        <wps:cNvPr id="503" name="自选图形 104"/>
                        <wps:cNvCnPr/>
                        <wps:spPr bwMode="auto">
                          <a:xfrm flipH="1">
                            <a:off x="2185035" y="532765"/>
                            <a:ext cx="635" cy="279400"/>
                          </a:xfrm>
                          <a:prstGeom prst="straightConnector1">
                            <a:avLst/>
                          </a:prstGeom>
                          <a:noFill/>
                          <a:ln w="19050">
                            <a:solidFill>
                              <a:srgbClr val="000000"/>
                            </a:solidFill>
                            <a:round/>
                            <a:tailEnd type="triangle" w="med" len="med"/>
                          </a:ln>
                          <a:effectLst/>
                        </wps:spPr>
                        <wps:bodyPr/>
                      </wps:wsp>
                    </wpc:wpc>
                  </a:graphicData>
                </a:graphic>
              </wp:inline>
            </w:drawing>
          </mc:Choice>
          <mc:Fallback>
            <w:pict>
              <v:group id="画布 43" o:spid="_x0000_s1026" o:spt="203" style="height:564.45pt;width:415.4pt;" coordsize="5275580,7168515" editas="canvas" o:gfxdata="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">
                <o:lock v:ext="edit" aspectratio="f"/>
                <v:shape id="画布 43" o:spid="_x0000_s1026" style="position:absolute;left:0;top:0;height:7168515;width:5275580;" filled="f" stroked="f" coordsize="21600,21600" o:gfxdata="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">
                  <v:fill on="f" focussize="0,0"/>
                  <v:stroke on="f"/>
                  <v:imagedata o:title=""/>
                  <o:lock v:ext="edit" aspectratio="f"/>
                </v:shape>
                <v:shape id="自选图形 104" o:spid="_x0000_s1026" o:spt="32" type="#_x0000_t32" style="position:absolute;left:2801620;top:2368550;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Aocx9QAAAAGAQAADwAAAAAAAAABACAAAAAiAAAA&#10;ZHJzL2Rvd25yZXYueG1sUEsBAhQAFAAAAAgAh07iQGRPOSgLAgAA2wMAAA4AAAAAAAAAAQAgAAAA&#10;IwEAAGRycy9lMm9Eb2MueG1sUEsFBgAAAAAGAAYAWQEAAKAFAAAAAA==&#10;">
                  <v:fill on="f" focussize="0,0"/>
                  <v:stroke weight="1.5pt" color="#000000" joinstyle="round" endarrow="block"/>
                  <v:imagedata o:title=""/>
                  <o:lock v:ext="edit" aspectratio="f"/>
                </v:shape>
                <v:shape id="自选图形 104" o:spid="_x0000_s1026" o:spt="32" type="#_x0000_t32" style="position:absolute;left:3418205;top:1177290;flip:x y;height:259715;width:381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hUN19YAAAAGAQAADwAAAAAAAAABACAA&#10;AAAiAAAAZHJzL2Rvd25yZXYueG1sUEsBAhQAFAAAAAgAh07iQFuWmbUPAgAA5gMAAA4AAAAAAAAA&#10;AQAgAAAAJQEAAGRycy9lMm9Eb2MueG1sUEsFBgAAAAAGAAYAWQEAAKYFAAAAAA==&#10;">
                  <v:fill on="f" focussize="0,0"/>
                  <v:stroke weight="1.5pt" color="#000000" joinstyle="round" endarrow="block"/>
                  <v:imagedata o:title=""/>
                  <o:lock v:ext="edit" aspectratio="f"/>
                </v:shape>
                <v:shape id="自选图形 104" o:spid="_x0000_s1026" o:spt="32" type="#_x0000_t32" style="position:absolute;left:2220595;top:1769745;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MChzH1AAAAAYBAAAPAAAAAAAAAAEAIAAAACIA&#10;AABkcnMvZG93bnJldi54bWxQSwECFAAUAAAACACHTuJAmO0K1g0CAADbAwAADgAAAAAAAAABACAA&#10;AAAjAQAAZHJzL2Uyb0RvYy54bWxQSwUGAAAAAAYABgBZAQAAogUAAAAA&#10;">
                  <v:fill on="f" focussize="0,0"/>
                  <v:stroke weight="1.5pt" color="#000000" joinstyle="round" endarrow="block"/>
                  <v:imagedata o:title=""/>
                  <o:lock v:ext="edit" aspectratio="f"/>
                </v:shape>
                <v:shape id="自选图形 104" o:spid="_x0000_s1026" o:spt="32" type="#_x0000_t32" style="position:absolute;left:3395345;top:509905;flip:x y;height:302260;width:254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iFQ3X1gAAAAYBAAAPAAAAAAAAAAEA&#10;IAAAACIAAABkcnMvZG93bnJldi54bWxQSwECFAAUAAAACACHTuJAzjzJxRECAADlAwAADgAAAAAA&#10;AAABACAAAAAlAQAAZHJzL2Uyb0RvYy54bWxQSwUGAAAAAAYABgBZAQAAqAUAAAAA&#10;">
                  <v:fill on="f" focussize="0,0"/>
                  <v:stroke weight="1.5pt" color="#000000" joinstyle="round" endarrow="block"/>
                  <v:imagedata o:title=""/>
                  <o:lock v:ext="edit" aspectratio="f"/>
                </v:shape>
                <v:shape id="自选图形 104" o:spid="_x0000_s1026" o:spt="32" type="#_x0000_t32" style="position:absolute;left:2207260;top:1145540;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MChzH1AAAAAYBAAAPAAAAAAAAAAEAIAAAACIA&#10;AABkcnMvZG93bnJldi54bWxQSwECFAAUAAAACACHTuJAtkEC4Q0CAADbAwAADgAAAAAAAAABACAA&#10;AAAjAQAAZHJzL2Uyb0RvYy54bWxQSwUGAAAAAAYABgBZAQAAogUAAAAA&#10;">
                  <v:fill on="f" focussize="0,0"/>
                  <v:stroke weight="1.5pt" color="#000000" joinstyle="round" endarrow="block"/>
                  <v:imagedata o:title=""/>
                  <o:lock v:ext="edit" aspectratio="f"/>
                </v:shape>
                <v:shape id="自选图形 104" o:spid="_x0000_s1026" o:spt="32" type="#_x0000_t32" style="position:absolute;left:3433445;top:1779905;flip:x y;height:302260;width:254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IVDdfWAAAABgEAAA8AAAAAAAAA&#10;AQAgAAAAIgAAAGRycy9kb3ducmV2LnhtbFBLAQIUABQAAAAIAIdO4kDGgeA3EwIAAOYDAAAOAAAA&#10;AAAAAAEAIAAAACUBAABkcnMvZTJvRG9jLnhtbFBLBQYAAAAABgAGAFkBAACqBQAAAAA=&#10;">
                  <v:fill on="f" focussize="0,0"/>
                  <v:stroke weight="1.5pt" color="#000000" joinstyle="round" endarrow="block"/>
                  <v:imagedata o:title=""/>
                  <o:lock v:ext="edit" aspectratio="f"/>
                </v:shape>
                <v:shape id="文本框 45" o:spid="_x0000_s1026" o:spt="202" type="#_x0000_t202" style="position:absolute;left:1428750;top:164465;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elvI9YAAAAGAQAADwAAAAAAAAABACAAAAAiAAAAZHJzL2Rvd25yZXYueG1sUEsB&#10;AhQAFAAAAAgAh07iQEFgfCYwAgAAZAQAAA4AAAAAAAAAAQAgAAAAJQEAAGRycy9lMm9Eb2MueG1s&#10;UEsFBgAAAAAGAAYAWQEAAMcFAAAAAA==&#10;">
                  <v:fill on="t" focussize="0,0"/>
                  <v:stroke weight="1.5pt" color="#000000" miterlimit="8" joinstyle="miter"/>
                  <v:imagedata o:title=""/>
                  <o:lock v:ext="edit" aspectratio="f"/>
                  <v:textbox inset="0mm,0mm,0mm,0mm">
                    <w:txbxContent>
                      <w:p w14:paraId="50565C94">
                        <w:pPr>
                          <w:adjustRightInd w:val="0"/>
                          <w:snapToGrid w:val="0"/>
                          <w:spacing w:before="156" w:beforeLines="50"/>
                          <w:ind w:firstLine="0" w:firstLineChars="0"/>
                          <w:jc w:val="center"/>
                          <w:rPr>
                            <w:rFonts w:ascii="宋体" w:hAnsi="宋体" w:cs="宋体"/>
                            <w:kern w:val="0"/>
                            <w:szCs w:val="21"/>
                          </w:rPr>
                        </w:pPr>
                        <w:r>
                          <w:rPr>
                            <w:rFonts w:hint="eastAsia" w:ascii="仿宋" w:hAnsi="仿宋" w:eastAsia="仿宋" w:cs="仿宋"/>
                            <w:b/>
                            <w:bCs/>
                            <w:kern w:val="0"/>
                            <w:sz w:val="21"/>
                            <w:szCs w:val="21"/>
                          </w:rPr>
                          <w:t>江西省突发环境事件应急指挥中心</w:t>
                        </w:r>
                      </w:p>
                    </w:txbxContent>
                  </v:textbox>
                </v:shape>
                <v:line id="直线 98" o:spid="_x0000_s1026" o:spt="20" style="position:absolute;left:1031875;top:991234;flip:x;height:1905;width:393065;"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dw8Vm1AAAAAYBAAAPAAAAAAAA&#10;AAEAIAAAACIAAABkcnMvZG93bnJldi54bWxQSwECFAAUAAAACACHTuJAOsZjIN0BAAClAwAADgAA&#10;AAAAAAABACAAAAAjAQAAZHJzL2Uyb0RvYy54bWxQSwUGAAAAAAYABgBZAQAAcgUAAAAA&#10;">
                  <v:fill on="f" focussize="0,0"/>
                  <v:stroke weight="1.5pt" color="#000000" miterlimit="8" joinstyle="miter"/>
                  <v:imagedata o:title=""/>
                  <o:lock v:ext="edit" aspectratio="f"/>
                </v:line>
                <v:line id="直线 98" o:spid="_x0000_s1026" o:spt="20" style="position:absolute;left:1043940;top:328930;flip:x y;height:2540;width:388620;" filled="f" stroked="t" coordsize="21600,21600" o:gfxdata="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43ZP3tYAAAAGAQAA&#10;DwAAAAAAAAABACAAAAAiAAAAZHJzL2Rvd25yZXYueG1sUEsBAhQAFAAAAAgAh07iQFFx7jDiAQAA&#10;rwMAAA4AAAAAAAAAAQAgAAAAJQEAAGRycy9lMm9Eb2MueG1sUEsFBgAAAAAGAAYAWQEAAHkFAAAA&#10;AA==&#10;">
                  <v:fill on="f" focussize="0,0"/>
                  <v:stroke weight="1.5pt" color="#000000" miterlimit="8" joinstyle="miter"/>
                  <v:imagedata o:title=""/>
                  <o:lock v:ext="edit" aspectratio="f"/>
                </v:line>
                <v:shape id="文本框 143" o:spid="_x0000_s1026" o:spt="202" type="#_x0000_t202" style="position:absolute;left:3043801;top:4001942;height:3088972;width:193103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lvI9YAAAAGAQAADwAAAAAAAAABACAAAAAiAAAAZHJzL2Rvd25yZXYu&#10;eG1sUEsBAhQAFAAAAAgAh07iQEE3F1Q2AgAAZwQAAA4AAAAAAAAAAQAgAAAAJQEAAGRycy9lMm9E&#10;b2MueG1sUEsFBgAAAAAGAAYAWQEAAM0FAAAAAA==&#10;">
                  <v:fill on="t" focussize="0,0"/>
                  <v:stroke weight="1.5pt" color="#000000 [3213]" miterlimit="8" joinstyle="miter"/>
                  <v:imagedata o:title=""/>
                  <o:lock v:ext="edit" aspectratio="f"/>
                  <v:textbox inset="0mm,0mm,0mm,0mm">
                    <w:txbxContent>
                      <w:p w14:paraId="0B4AE5A1">
                        <w:pPr>
                          <w:widowControl/>
                          <w:adjustRightInd w:val="0"/>
                          <w:snapToGrid w:val="0"/>
                          <w:ind w:firstLine="0" w:firstLineChars="0"/>
                          <w:jc w:val="center"/>
                          <w:rPr>
                            <w:rFonts w:ascii="宋体" w:hAnsi="宋体" w:cs="宋体"/>
                            <w:kern w:val="0"/>
                            <w:szCs w:val="21"/>
                          </w:rPr>
                        </w:pPr>
                        <w:r>
                          <w:rPr>
                            <w:rFonts w:hint="eastAsia" w:ascii="宋体" w:hAnsi="宋体" w:cs="宋体"/>
                            <w:kern w:val="0"/>
                            <w:szCs w:val="21"/>
                          </w:rPr>
                          <w:t xml:space="preserve"> </w:t>
                        </w:r>
                      </w:p>
                      <w:p w14:paraId="33DF6483">
                        <w:pPr>
                          <w:widowControl/>
                          <w:adjustRightInd w:val="0"/>
                          <w:snapToGrid w:val="0"/>
                          <w:ind w:firstLine="0" w:firstLineChars="0"/>
                          <w:jc w:val="center"/>
                          <w:rPr>
                            <w:rFonts w:ascii="宋体" w:hAnsi="宋体" w:cs="宋体"/>
                            <w:kern w:val="0"/>
                            <w:szCs w:val="21"/>
                          </w:rPr>
                        </w:pPr>
                      </w:p>
                      <w:p w14:paraId="5781955B">
                        <w:pPr>
                          <w:widowControl/>
                          <w:adjustRightInd w:val="0"/>
                          <w:snapToGrid w:val="0"/>
                          <w:ind w:firstLine="0" w:firstLineChars="0"/>
                          <w:jc w:val="center"/>
                          <w:rPr>
                            <w:rFonts w:ascii="仿宋" w:hAnsi="仿宋" w:eastAsia="仿宋" w:cs="仿宋"/>
                            <w:b/>
                            <w:bCs/>
                            <w:kern w:val="0"/>
                            <w:sz w:val="21"/>
                            <w:szCs w:val="21"/>
                          </w:rPr>
                        </w:pPr>
                      </w:p>
                      <w:p w14:paraId="3DE3EC15">
                        <w:pPr>
                          <w:pStyle w:val="2"/>
                        </w:pPr>
                      </w:p>
                      <w:p w14:paraId="4D7352FE">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应急指挥组</w:t>
                        </w:r>
                      </w:p>
                      <w:p w14:paraId="1F55008D">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应急工作组</w:t>
                        </w:r>
                      </w:p>
                      <w:p w14:paraId="0A503DE6">
                        <w:pPr>
                          <w:widowControl/>
                          <w:adjustRightInd w:val="0"/>
                          <w:snapToGrid w:val="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应急专家组</w:t>
                        </w:r>
                      </w:p>
                    </w:txbxContent>
                  </v:textbox>
                </v:shape>
                <v:shape id="自选图形 104" o:spid="_x0000_s1026" o:spt="32" type="#_x0000_t32" style="position:absolute;left:2178685;top:3079750;flip:x y;height:302260;width:2540;" filled="f" stroked="t" coordsize="21600,21600" o:gfxdata="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IVDdfWAAAABgEAAA8AAAAAAAAAAQAg&#10;AAAAIgAAAGRycy9kb3ducmV2LnhtbFBLAQIUABQAAAAIAIdO4kArp4GNEAIAAOYDAAAOAAAAAAAA&#10;AAEAIAAAACUBAABkcnMvZTJvRG9jLnhtbFBLBQYAAAAABgAGAFkBAACnBQAAAAA=&#10;">
                  <v:fill on="f" focussize="0,0"/>
                  <v:stroke weight="1.5pt" color="#000000" joinstyle="round" endarrow="block"/>
                  <v:imagedata o:title=""/>
                  <o:lock v:ext="edit" aspectratio="f"/>
                </v:shape>
                <v:shape id="自选图形 104" o:spid="_x0000_s1026" o:spt="32" type="#_x0000_t32" style="position:absolute;left:1731010;top:3524885;height:0;width:285750;" filled="f" stroked="t" coordsize="21600,21600" o:gfxdata="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hwRst1gAAAAYBAAAPAAAAAAAAAAEAIAAAACIAAABkcnMv&#10;ZG93bnJldi54bWxQSwECFAAUAAAACACHTuJA51LsEgUCAADOAwAADgAAAAAAAAABACAAAAAlAQAA&#10;ZHJzL2Uyb0RvYy54bWxQSwUGAAAAAAYABgBZAQAAnAUAAAAA&#10;">
                  <v:fill on="f" focussize="0,0"/>
                  <v:stroke color="#000000" joinstyle="round" endarrow="block"/>
                  <v:imagedata o:title=""/>
                  <o:lock v:ext="edit" aspectratio="f"/>
                </v:shape>
                <v:shape id="文本框 117" o:spid="_x0000_s1026" o:spt="202" type="#_x0000_t202" style="position:absolute;left:690244;top:3947631;height:3169162;width:1986281;"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npbyPWAAAABgEAAA8AAAAAAAAAAQAgAAAAIgAAAGRycy9kb3ducmV2Lnht&#10;bFBLAQIUABQAAAAIAIdO4kBkBCdxNAIAAGYEAAAOAAAAAAAAAAEAIAAAACUBAABkcnMvZTJvRG9j&#10;LnhtbFBLBQYAAAAABgAGAFkBAADLBQAAAAA=&#10;">
                  <v:fill on="t" focussize="0,0"/>
                  <v:stroke weight="1.5pt" color="#000000" miterlimit="8" joinstyle="miter"/>
                  <v:imagedata o:title=""/>
                  <o:lock v:ext="edit" aspectratio="f"/>
                  <v:textbox inset="0mm,0mm,0mm,0mm">
                    <w:txbxContent>
                      <w:p w14:paraId="0C19EEFC">
                        <w:pPr>
                          <w:adjustRightInd w:val="0"/>
                          <w:snapToGrid w:val="0"/>
                          <w:spacing w:line="240" w:lineRule="auto"/>
                          <w:ind w:firstLine="0" w:firstLineChars="0"/>
                          <w:jc w:val="center"/>
                          <w:rPr>
                            <w:rFonts w:ascii="仿宋" w:hAnsi="仿宋" w:eastAsia="仿宋" w:cs="仿宋"/>
                            <w:b/>
                            <w:bCs/>
                            <w:kern w:val="0"/>
                            <w:sz w:val="21"/>
                            <w:szCs w:val="21"/>
                          </w:rPr>
                        </w:pPr>
                      </w:p>
                      <w:p w14:paraId="606B121F">
                        <w:pPr>
                          <w:adjustRightInd w:val="0"/>
                          <w:snapToGrid w:val="0"/>
                          <w:spacing w:line="240" w:lineRule="auto"/>
                          <w:ind w:firstLine="0" w:firstLineChars="0"/>
                          <w:jc w:val="center"/>
                          <w:rPr>
                            <w:rFonts w:ascii="仿宋" w:hAnsi="仿宋" w:eastAsia="仿宋" w:cs="仿宋"/>
                            <w:b/>
                            <w:bCs/>
                            <w:kern w:val="0"/>
                            <w:sz w:val="21"/>
                            <w:szCs w:val="21"/>
                          </w:rPr>
                        </w:pPr>
                      </w:p>
                      <w:p w14:paraId="5D5A85F9">
                        <w:pPr>
                          <w:adjustRightInd w:val="0"/>
                          <w:snapToGrid w:val="0"/>
                          <w:spacing w:line="240" w:lineRule="auto"/>
                          <w:ind w:firstLine="0" w:firstLineChars="0"/>
                          <w:jc w:val="center"/>
                          <w:rPr>
                            <w:rFonts w:ascii="仿宋" w:hAnsi="仿宋" w:eastAsia="仿宋" w:cs="仿宋"/>
                            <w:b/>
                            <w:bCs/>
                            <w:kern w:val="0"/>
                            <w:sz w:val="21"/>
                            <w:szCs w:val="21"/>
                          </w:rPr>
                        </w:pPr>
                      </w:p>
                      <w:p w14:paraId="34131EB3">
                        <w:pPr>
                          <w:adjustRightInd w:val="0"/>
                          <w:snapToGrid w:val="0"/>
                          <w:spacing w:line="240" w:lineRule="auto"/>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生态环境局、</w:t>
                        </w:r>
                        <w:r>
                          <w:rPr>
                            <w:rFonts w:hint="eastAsia" w:ascii="仿宋" w:hAnsi="仿宋" w:eastAsia="仿宋" w:cs="仿宋"/>
                            <w:b/>
                            <w:bCs/>
                            <w:kern w:val="0"/>
                            <w:sz w:val="21"/>
                            <w:szCs w:val="21"/>
                            <w:lang w:val="en-US" w:eastAsia="zh-CN"/>
                          </w:rPr>
                          <w:t>区委</w:t>
                        </w:r>
                        <w:r>
                          <w:rPr>
                            <w:rFonts w:hint="eastAsia" w:ascii="仿宋" w:hAnsi="仿宋" w:eastAsia="仿宋" w:cs="仿宋"/>
                            <w:b/>
                            <w:bCs/>
                            <w:kern w:val="0"/>
                            <w:sz w:val="21"/>
                            <w:szCs w:val="21"/>
                          </w:rPr>
                          <w:t>宣传部、应急管理局、发改委、教体局、公安局、民政局、财政局、人社局、住建局、城市管理局、农业农村水利局、卫健委、文化广电新闻出版旅游局、消防救援大队、人武部、司法局、气象局、各街道办事处、乡镇政府、</w:t>
                        </w:r>
                        <w:r>
                          <w:rPr>
                            <w:rFonts w:hint="eastAsia" w:ascii="仿宋" w:hAnsi="仿宋" w:eastAsia="仿宋" w:cs="仿宋"/>
                            <w:b/>
                            <w:bCs/>
                            <w:kern w:val="0"/>
                            <w:sz w:val="21"/>
                            <w:szCs w:val="21"/>
                            <w:lang w:val="en-US" w:eastAsia="zh-CN"/>
                          </w:rPr>
                          <w:t>区</w:t>
                        </w:r>
                        <w:r>
                          <w:rPr>
                            <w:rFonts w:hint="eastAsia" w:ascii="仿宋" w:hAnsi="仿宋" w:eastAsia="仿宋" w:cs="仿宋"/>
                            <w:b/>
                            <w:bCs/>
                            <w:kern w:val="0"/>
                            <w:sz w:val="21"/>
                            <w:szCs w:val="21"/>
                          </w:rPr>
                          <w:t>供电公司、燃气公司、水务公司、通</w:t>
                        </w:r>
                        <w:r>
                          <w:rPr>
                            <w:rFonts w:hint="eastAsia" w:ascii="仿宋" w:hAnsi="仿宋" w:eastAsia="仿宋" w:cs="仿宋"/>
                            <w:b/>
                            <w:bCs/>
                            <w:kern w:val="0"/>
                            <w:sz w:val="21"/>
                            <w:szCs w:val="21"/>
                            <w:lang w:val="en-US" w:eastAsia="zh-CN"/>
                          </w:rPr>
                          <w:t>信</w:t>
                        </w:r>
                        <w:r>
                          <w:rPr>
                            <w:rFonts w:hint="eastAsia" w:ascii="仿宋" w:hAnsi="仿宋" w:eastAsia="仿宋" w:cs="仿宋"/>
                            <w:b/>
                            <w:bCs/>
                            <w:kern w:val="0"/>
                            <w:sz w:val="21"/>
                            <w:szCs w:val="21"/>
                          </w:rPr>
                          <w:t>保障部门（包括移动公司、电信公司、联通公司等）</w:t>
                        </w:r>
                      </w:p>
                    </w:txbxContent>
                  </v:textbox>
                </v:shape>
                <v:line id="直线 98" o:spid="_x0000_s1026" o:spt="20" style="position:absolute;left:4589145;top:2185670;flip:x;height:1181735;width:1270;" filled="f" stroked="t" coordsize="21600,21600" o:gfxdata="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3rqZx9MAAAAGAQAADwAAAAAAAAABACAAAAAiAAAAZHJzL2Rvd25yZXYueG1sUEsBAhQA&#10;FAAAAAgAh07iQD9Ap4/3AQAAyAMAAA4AAAAAAAAAAQAgAAAAIgEAAGRycy9lMm9Eb2MueG1sUEsF&#10;BgAAAAAGAAYAWQEAAIsFAAAAAA==&#10;">
                  <v:fill on="f" focussize="0,0"/>
                  <v:stroke weight="1.5pt" color="#000000" joinstyle="round" endarrow="block"/>
                  <v:imagedata o:title=""/>
                  <o:lock v:ext="edit" aspectratio="f"/>
                </v:line>
                <v:shape id="文本框 45" o:spid="_x0000_s1026" o:spt="202" type="#_x0000_t202" style="position:absolute;left:697865;top:3378200;height:382270;width:1978660;"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npbyPWAAAABgEAAA8AAAAAAAAAAQAgAAAAIgAAAGRycy9kb3ducmV2LnhtbFBL&#10;AQIUABQAAAAIAIdO4kD5jhI1MQIAAGQEAAAOAAAAAAAAAAEAIAAAACUBAABkcnMvZTJvRG9jLnht&#10;bFBLBQYAAAAABgAGAFkBAADIBQAAAAA=&#10;">
                  <v:fill on="t" focussize="0,0"/>
                  <v:stroke weight="1.5pt" color="#000000" miterlimit="8" joinstyle="miter"/>
                  <v:imagedata o:title=""/>
                  <o:lock v:ext="edit" aspectratio="f"/>
                  <v:textbox inset="0mm,0mm,0mm,0mm">
                    <w:txbxContent>
                      <w:p w14:paraId="39DF3EA9">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应急成员</w:t>
                        </w:r>
                      </w:p>
                    </w:txbxContent>
                  </v:textbox>
                </v:shape>
                <v:shape id="文本框 45" o:spid="_x0000_s1026" o:spt="202" type="#_x0000_t202" style="position:absolute;left:3025775;top:3380105;height:382270;width:196913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56W8j1gAAAAYBAAAPAAAAAAAAAAEAIAAAACIAAABkcnMvZG93bnJldi54bWxQ&#10;SwECFAAUAAAACACHTuJA5Ny0QjICAABlBAAADgAAAAAAAAABACAAAAAlAQAAZHJzL2Uyb0RvYy54&#10;bWxQSwUGAAAAAAYABgBZAQAAyQUAAAAA&#10;">
                  <v:fill on="t" focussize="0,0"/>
                  <v:stroke weight="1.5pt" color="#000000" miterlimit="8" joinstyle="miter"/>
                  <v:imagedata o:title=""/>
                  <o:lock v:ext="edit" aspectratio="f"/>
                  <v:textbox inset="0mm,0mm,0mm,0mm">
                    <w:txbxContent>
                      <w:p w14:paraId="0E1C617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应急小组</w:t>
                        </w:r>
                      </w:p>
                    </w:txbxContent>
                  </v:textbox>
                </v:shape>
                <v:line id="直接连接符 18" o:spid="_x0000_s1026" o:spt="20" style="position:absolute;left:4092575;top:2178685;flip:x;height:3810;width:497840;"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3DxWbUAAAABgEAAA8AAAAAAAAAAQAgAAAAIgAAAGRycy9kb3ducmV2LnhtbFBLAQIUABQAAAAI&#10;AIdO4kCxHdYv8QEAAK8DAAAOAAAAAAAAAAEAIAAAACMBAABkcnMvZTJvRG9jLnhtbFBLBQYAAAAA&#10;BgAGAFkBAACGBQAAAAA=&#10;">
                  <v:fill on="f" focussize="0,0"/>
                  <v:stroke weight="1.5pt" color="#000000" miterlimit="8" joinstyle="miter"/>
                  <v:imagedata o:title=""/>
                  <o:lock v:ext="edit" aspectratio="f"/>
                </v:line>
                <v:shape id="文本框 45" o:spid="_x0000_s1026" o:spt="202" type="#_x0000_t202" style="position:absolute;left:1424939;top:810260;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npbyPWAAAABgEAAA8AAAAAAAAAAQAgAAAAIgAAAGRycy9kb3ducmV2Lnht&#10;bFBLAQIUABQAAAAIAIdO4kBldTyONAIAAGQEAAAOAAAAAAAAAAEAIAAAACUBAABkcnMvZTJvRG9j&#10;LnhtbFBLBQYAAAAABgAGAFkBAADLBQAAAAA=&#10;">
                  <v:fill on="t" focussize="0,0"/>
                  <v:stroke weight="1.5pt" color="#000000" miterlimit="8" joinstyle="miter"/>
                  <v:imagedata o:title=""/>
                  <o:lock v:ext="edit" aspectratio="f"/>
                  <v:textbox inset="0mm,0mm,0mm,0mm">
                    <w:txbxContent>
                      <w:p w14:paraId="37094F6F">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景德镇</w:t>
                        </w:r>
                        <w:r>
                          <w:rPr>
                            <w:rFonts w:hint="eastAsia" w:ascii="仿宋" w:hAnsi="仿宋" w:eastAsia="仿宋" w:cs="仿宋"/>
                            <w:b/>
                            <w:bCs/>
                            <w:kern w:val="0"/>
                            <w:sz w:val="21"/>
                            <w:szCs w:val="21"/>
                          </w:rPr>
                          <w:t>市突发环境事件应急指挥中心</w:t>
                        </w:r>
                      </w:p>
                    </w:txbxContent>
                  </v:textbox>
                </v:shape>
                <v:shape id="文本框 45" o:spid="_x0000_s1026" o:spt="202" type="#_x0000_t202" style="position:absolute;left:1439544;top:2036445;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npbyPWAAAABgEAAA8AAAAAAAAAAQAgAAAAIgAAAGRycy9kb3ducmV2&#10;LnhtbFBLAQIUABQAAAAIAIdO4kDOXv6DNwIAAGUEAAAOAAAAAAAAAAEAIAAAACUBAABkcnMvZTJv&#10;RG9jLnhtbFBLBQYAAAAABgAGAFkBAADOBQAAAAA=&#10;">
                  <v:fill on="t" focussize="0,0"/>
                  <v:stroke weight="1.5pt" color="#000000" miterlimit="8" joinstyle="miter"/>
                  <v:imagedata o:title=""/>
                  <o:lock v:ext="edit" aspectratio="f"/>
                  <v:textbox inset="0mm,0mm,0mm,0mm">
                    <w:txbxContent>
                      <w:p w14:paraId="75296725">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rPr>
                          <w:t>突发环境事件应急办公室</w:t>
                        </w:r>
                      </w:p>
                    </w:txbxContent>
                  </v:textbox>
                </v:shape>
                <v:shape id="文本框 45" o:spid="_x0000_s1026" o:spt="202" type="#_x0000_t202" style="position:absolute;left:1431290;top:1416685;height:361315;width:2651125;" fillcolor="#FFFFFF" filled="t" stroked="t" coordsize="21600,21600" o:gfxdata="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elvI9YAAAAGAQAADwAAAAAAAAABACAAAAAiAAAAZHJzL2Rvd25yZXYueG1s&#10;UEsBAhQAFAAAAAgAh07iQAOOo0kzAgAAZQQAAA4AAAAAAAAAAQAgAAAAJQEAAGRycy9lMm9Eb2Mu&#10;eG1sUEsFBgAAAAAGAAYAWQEAAMoFAAAAAA==&#10;">
                  <v:fill on="t" focussize="0,0"/>
                  <v:stroke weight="1.5pt" color="#000000" miterlimit="8" joinstyle="miter"/>
                  <v:imagedata o:title=""/>
                  <o:lock v:ext="edit" aspectratio="f"/>
                  <v:textbox inset="0mm,0mm,0mm,0mm">
                    <w:txbxContent>
                      <w:p w14:paraId="407CCE71">
                        <w:pPr>
                          <w:adjustRightInd w:val="0"/>
                          <w:snapToGrid w:val="0"/>
                          <w:spacing w:before="156" w:beforeLines="50"/>
                          <w:ind w:firstLine="0" w:firstLineChars="0"/>
                          <w:jc w:val="center"/>
                          <w:rPr>
                            <w:rFonts w:ascii="仿宋" w:hAnsi="仿宋" w:eastAsia="仿宋" w:cs="仿宋"/>
                            <w:b/>
                            <w:bCs/>
                            <w:kern w:val="0"/>
                            <w:sz w:val="21"/>
                            <w:szCs w:val="21"/>
                          </w:rPr>
                        </w:pPr>
                        <w:r>
                          <w:rPr>
                            <w:rFonts w:hint="eastAsia" w:ascii="仿宋" w:hAnsi="仿宋" w:eastAsia="仿宋" w:cs="仿宋"/>
                            <w:b/>
                            <w:bCs/>
                            <w:kern w:val="0"/>
                            <w:sz w:val="21"/>
                            <w:szCs w:val="21"/>
                            <w:lang w:val="en-US" w:eastAsia="zh-CN"/>
                          </w:rPr>
                          <w:t>昌江区</w:t>
                        </w:r>
                        <w:r>
                          <w:rPr>
                            <w:rFonts w:hint="eastAsia" w:ascii="仿宋" w:hAnsi="仿宋" w:eastAsia="仿宋" w:cs="仿宋"/>
                            <w:b/>
                            <w:bCs/>
                            <w:kern w:val="0"/>
                            <w:sz w:val="21"/>
                            <w:szCs w:val="21"/>
                          </w:rPr>
                          <w:t>突发环境事件应急指挥部</w:t>
                        </w:r>
                      </w:p>
                    </w:txbxContent>
                  </v:textbox>
                </v:shape>
                <v:line id="直线 98" o:spid="_x0000_s1026" o:spt="20" style="position:absolute;left:1044575;top:2172970;flip:x;height:635;width:395605;"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3DxWbUAAAABgEAAA8AAAAA&#10;AAAAAQAgAAAAIgAAAGRycy9kb3ducmV2LnhtbFBLAQIUABQAAAAIAIdO4kAuIlCb3wEAAKUDAAAO&#10;AAAAAAAAAAEAIAAAACMBAABkcnMvZTJvRG9jLnhtbFBLBQYAAAAABgAGAFkBAAB0BQAAAAA=&#10;">
                  <v:fill on="f" focussize="0,0"/>
                  <v:stroke weight="1.5pt" color="#000000" miterlimit="8" joinstyle="miter"/>
                  <v:imagedata o:title=""/>
                  <o:lock v:ext="edit" aspectratio="f"/>
                </v:line>
                <v:line id="直线 98" o:spid="_x0000_s1026" o:spt="20" style="position:absolute;left:1035685;top:1592580;flip:x;height:635;width:395605;" filled="f" stroked="t" coordsize="21600,21600" o:gfxdata="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dw8Vm1AAAAAYBAAAPAAAAAAAA&#10;AAEAIAAAACIAAABkcnMvZG93bnJldi54bWxQSwECFAAUAAAACACHTuJALGyLVd0BAAClAwAADgAA&#10;AAAAAAABACAAAAAjAQAAZHJzL2Uyb0RvYy54bWxQSwUGAAAAAAYABgBZAQAAcgUAAAAA&#10;">
                  <v:fill on="f" focussize="0,0"/>
                  <v:stroke weight="1.5pt" color="#000000" miterlimit="8" joinstyle="miter"/>
                  <v:imagedata o:title=""/>
                  <o:lock v:ext="edit" aspectratio="f"/>
                </v:line>
                <v:shape id="自选图形 104" o:spid="_x0000_s1026" o:spt="32" type="#_x0000_t32" style="position:absolute;left:3498850;top:3072130;flip:y;height:318135;width:0;"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MChzH1AAAAAYBAAAPAAAAAAAAAAEAIAAAACIAAABkcnMv&#10;ZG93bnJldi54bWxQSwECFAAUAAAACACHTuJAMdpqjgcCAADZAwAADgAAAAAAAAABACAAAAAjAQAA&#10;ZHJzL2Uyb0RvYy54bWxQSwUGAAAAAAYABgBZAQAAnAUAAAAA&#10;">
                  <v:fill on="f" focussize="0,0"/>
                  <v:stroke weight="1.5pt" color="#000000" joinstyle="round" endarrow="block"/>
                  <v:imagedata o:title=""/>
                  <o:lock v:ext="edit" aspectratio="f"/>
                </v:shape>
                <v:shape id="自选图形 104" o:spid="_x0000_s1026" o:spt="32" type="#_x0000_t32" style="position:absolute;left:2185035;top:532765;flip:x;height:279400;width:635;" filled="f" stroked="t" coordsize="21600,21600" o:gfxdata="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wKHMfUAAAABgEAAA8AAAAAAAAAAQAgAAAAIgAA&#10;AGRycy9kb3ducmV2LnhtbFBLAQIUABQAAAAIAIdO4kAkvo4gDAIAANoDAAAOAAAAAAAAAAEAIAAA&#10;ACMBAABkcnMvZTJvRG9jLnhtbFBLBQYAAAAABgAGAFkBAAChBQAAAAA=&#10;">
                  <v:fill on="f" focussize="0,0"/>
                  <v:stroke weight="1.5pt" color="#000000" joinstyle="round" endarrow="block"/>
                  <v:imagedata o:title=""/>
                  <o:lock v:ext="edit" aspectratio="f"/>
                </v:shape>
                <w10:wrap type="none"/>
                <w10:anchorlock/>
              </v:group>
            </w:pict>
          </mc:Fallback>
        </mc:AlternateContent>
      </w:r>
    </w:p>
    <w:p w14:paraId="49CCE4E9">
      <w:pPr>
        <w:widowControl/>
        <w:spacing w:before="156" w:beforeLines="50" w:line="240" w:lineRule="auto"/>
        <w:ind w:firstLine="0" w:firstLineChars="0"/>
        <w:jc w:val="center"/>
        <w:rPr>
          <w:rFonts w:hint="default" w:ascii="Times New Roman" w:hAnsi="Times New Roman" w:eastAsia="宋体" w:cs="Times New Roman"/>
          <w:b/>
          <w:bCs/>
          <w:color w:val="auto"/>
          <w:sz w:val="28"/>
          <w:szCs w:val="20"/>
        </w:rPr>
      </w:pPr>
      <w:r>
        <w:rPr>
          <w:rFonts w:hint="default" w:ascii="Times New Roman" w:hAnsi="Times New Roman" w:cs="Times New Roman"/>
          <w:b/>
          <w:color w:val="auto"/>
          <w:kern w:val="0"/>
          <w:sz w:val="21"/>
          <w:szCs w:val="21"/>
        </w:rPr>
        <w:t>图1.</w:t>
      </w:r>
      <w:r>
        <w:rPr>
          <w:rFonts w:hint="default" w:ascii="Times New Roman" w:hAnsi="Times New Roman" w:cs="Times New Roman"/>
          <w:b/>
          <w:color w:val="auto"/>
          <w:kern w:val="0"/>
          <w:sz w:val="21"/>
          <w:szCs w:val="21"/>
          <w:lang w:val="en-US" w:eastAsia="zh-CN"/>
        </w:rPr>
        <w:t>8</w:t>
      </w:r>
      <w:r>
        <w:rPr>
          <w:rFonts w:hint="default" w:ascii="Times New Roman" w:hAnsi="Times New Roman" w:cs="Times New Roman"/>
          <w:b/>
          <w:color w:val="auto"/>
          <w:kern w:val="0"/>
          <w:sz w:val="21"/>
          <w:szCs w:val="21"/>
        </w:rPr>
        <w:t xml:space="preserve">-1 </w:t>
      </w:r>
      <w:r>
        <w:rPr>
          <w:rFonts w:hint="default" w:ascii="Times New Roman" w:hAnsi="Times New Roman" w:cs="Times New Roman"/>
          <w:b/>
          <w:color w:val="auto"/>
          <w:kern w:val="0"/>
          <w:sz w:val="21"/>
          <w:szCs w:val="21"/>
          <w:lang w:val="en-US" w:eastAsia="zh-CN"/>
        </w:rPr>
        <w:t xml:space="preserve"> </w:t>
      </w:r>
      <w:r>
        <w:rPr>
          <w:rFonts w:hint="default" w:ascii="Times New Roman" w:hAnsi="Times New Roman" w:cs="Times New Roman"/>
          <w:b/>
          <w:color w:val="auto"/>
          <w:kern w:val="0"/>
          <w:sz w:val="21"/>
          <w:szCs w:val="21"/>
        </w:rPr>
        <w:t>应急机构的衔接体系</w:t>
      </w:r>
    </w:p>
    <w:p w14:paraId="5446AA95">
      <w:pPr>
        <w:pStyle w:val="29"/>
        <w:ind w:firstLine="422"/>
        <w:rPr>
          <w:rFonts w:hint="default" w:ascii="Times New Roman" w:hAnsi="Times New Roman" w:eastAsia="宋体" w:cs="Times New Roman"/>
          <w:b/>
          <w:bCs/>
          <w:color w:val="auto"/>
        </w:rPr>
      </w:pPr>
    </w:p>
    <w:p w14:paraId="5E886155">
      <w:pPr>
        <w:pStyle w:val="29"/>
        <w:ind w:left="0" w:leftChars="0" w:firstLine="0" w:firstLineChars="0"/>
        <w:rPr>
          <w:rFonts w:hint="default" w:ascii="Times New Roman" w:hAnsi="Times New Roman" w:eastAsia="宋体" w:cs="Times New Roman"/>
          <w:b/>
          <w:bCs/>
          <w:color w:val="auto"/>
        </w:rPr>
        <w:sectPr>
          <w:footerReference r:id="rId6" w:type="default"/>
          <w:pgSz w:w="11906" w:h="16838"/>
          <w:pgMar w:top="2098" w:right="1474" w:bottom="1984" w:left="1587" w:header="851" w:footer="992" w:gutter="0"/>
          <w:pgNumType w:fmt="decimal" w:start="1"/>
          <w:cols w:space="425" w:num="1"/>
          <w:docGrid w:type="lines" w:linePitch="312" w:charSpace="0"/>
        </w:sectPr>
      </w:pPr>
    </w:p>
    <w:p w14:paraId="2BFEE04E">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rPr>
      </w:pPr>
      <w:bookmarkStart w:id="45" w:name="_Toc31713"/>
      <w:bookmarkStart w:id="46" w:name="_Toc22428"/>
      <w:bookmarkStart w:id="47" w:name="_Toc27320"/>
      <w:bookmarkStart w:id="48" w:name="_Toc19110"/>
      <w:r>
        <w:rPr>
          <w:rFonts w:hint="eastAsia" w:ascii="方正小标宋简体" w:hAnsi="方正小标宋简体" w:eastAsia="方正小标宋简体" w:cs="方正小标宋简体"/>
          <w:b w:val="0"/>
          <w:bCs/>
          <w:color w:val="auto"/>
        </w:rPr>
        <w:t>组织机构及职责</w:t>
      </w:r>
      <w:bookmarkEnd w:id="45"/>
      <w:bookmarkEnd w:id="46"/>
      <w:bookmarkEnd w:id="47"/>
      <w:bookmarkEnd w:id="48"/>
    </w:p>
    <w:p w14:paraId="156C40A9">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color w:val="auto"/>
          <w:sz w:val="32"/>
          <w:szCs w:val="21"/>
        </w:rPr>
      </w:pPr>
      <w:bookmarkStart w:id="49" w:name="_Toc20067"/>
      <w:bookmarkStart w:id="50" w:name="_Toc16876"/>
      <w:bookmarkStart w:id="51" w:name="_Toc24685"/>
      <w:r>
        <w:rPr>
          <w:rFonts w:hint="eastAsia" w:ascii="黑体" w:hAnsi="黑体" w:eastAsia="黑体" w:cs="黑体"/>
          <w:b w:val="0"/>
          <w:bCs w:val="0"/>
          <w:color w:val="auto"/>
          <w:sz w:val="32"/>
          <w:szCs w:val="21"/>
        </w:rPr>
        <w:t>机构设置</w:t>
      </w:r>
      <w:bookmarkEnd w:id="49"/>
      <w:bookmarkEnd w:id="50"/>
      <w:bookmarkEnd w:id="51"/>
    </w:p>
    <w:p w14:paraId="7AD2C71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昌江区</w:t>
      </w:r>
      <w:r>
        <w:rPr>
          <w:rFonts w:hint="eastAsia" w:ascii="仿宋_GB2312" w:hAnsi="仿宋_GB2312" w:eastAsia="仿宋_GB2312" w:cs="仿宋_GB2312"/>
          <w:color w:val="auto"/>
          <w:sz w:val="32"/>
          <w:szCs w:val="32"/>
        </w:rPr>
        <w:t>政府环境应急组织体系，由突发环境事件应急指挥部（领导小组）、现场应急指挥部、现场应急工作组（污染处置组、应急监测组、医疗救援组、应急保障组、新闻发布组、社会维稳组、调查评估组、应急专家组）等三级体系组成。</w:t>
      </w:r>
    </w:p>
    <w:p w14:paraId="049A793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根据突发环境事件影响程度和应急处置工作需求，还包括可能的外部应急救援力量，如上级或周边地区的市、县（区）级人民政府及有关部门、专业应急组织、应急咨询或支援机构。</w:t>
      </w:r>
    </w:p>
    <w:p w14:paraId="13BB805B">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环境应急组织机构见图2.1-1：</w:t>
      </w:r>
    </w:p>
    <w:p w14:paraId="59227130">
      <w:pPr>
        <w:pStyle w:val="29"/>
        <w:ind w:firstLine="0" w:firstLineChars="0"/>
        <w:rPr>
          <w:rFonts w:hint="default" w:ascii="Times New Roman" w:hAnsi="Times New Roman" w:cs="Times New Roman"/>
          <w:color w:val="auto"/>
        </w:rPr>
      </w:pPr>
      <w:r>
        <w:rPr>
          <w:rFonts w:hint="default" w:ascii="Times New Roman" w:hAnsi="Times New Roman" w:eastAsia="宋体" w:cs="Times New Roman"/>
          <w:color w:val="auto"/>
        </w:rPr>
        <w:drawing>
          <wp:inline distT="0" distB="0" distL="114300" distR="114300">
            <wp:extent cx="5006340" cy="2994025"/>
            <wp:effectExtent l="0" t="0" r="3810" b="15875"/>
            <wp:docPr id="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
                    <pic:cNvPicPr>
                      <a:picLocks noChangeAspect="1"/>
                    </pic:cNvPicPr>
                  </pic:nvPicPr>
                  <pic:blipFill>
                    <a:blip r:embed="rId11"/>
                    <a:stretch>
                      <a:fillRect/>
                    </a:stretch>
                  </pic:blipFill>
                  <pic:spPr>
                    <a:xfrm>
                      <a:off x="0" y="0"/>
                      <a:ext cx="5006340" cy="2994025"/>
                    </a:xfrm>
                    <a:prstGeom prst="rect">
                      <a:avLst/>
                    </a:prstGeom>
                    <a:noFill/>
                    <a:ln>
                      <a:noFill/>
                    </a:ln>
                  </pic:spPr>
                </pic:pic>
              </a:graphicData>
            </a:graphic>
          </wp:inline>
        </w:drawing>
      </w:r>
    </w:p>
    <w:p w14:paraId="0A211A30">
      <w:pPr>
        <w:pStyle w:val="29"/>
        <w:ind w:firstLine="422"/>
        <w:jc w:val="center"/>
        <w:rPr>
          <w:rFonts w:hint="default" w:ascii="Times New Roman" w:hAnsi="Times New Roman" w:cs="Times New Roman"/>
          <w:b/>
          <w:bCs/>
          <w:color w:val="auto"/>
        </w:rPr>
      </w:pPr>
      <w:r>
        <w:rPr>
          <w:rFonts w:hint="default" w:ascii="Times New Roman" w:hAnsi="Times New Roman" w:cs="Times New Roman"/>
          <w:b/>
          <w:bCs/>
          <w:color w:val="auto"/>
        </w:rPr>
        <w:t>图2.1-1 应急组织机构图</w:t>
      </w:r>
    </w:p>
    <w:p w14:paraId="61462947">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21"/>
        </w:rPr>
      </w:pPr>
      <w:bookmarkStart w:id="52" w:name="_Toc8408"/>
      <w:bookmarkStart w:id="53" w:name="_Toc14001"/>
      <w:bookmarkStart w:id="54" w:name="_Toc10059"/>
      <w:r>
        <w:rPr>
          <w:rFonts w:hint="default" w:ascii="黑体" w:hAnsi="黑体" w:eastAsia="黑体" w:cs="黑体"/>
          <w:b w:val="0"/>
          <w:bCs w:val="0"/>
          <w:snapToGrid w:val="0"/>
          <w:color w:val="auto"/>
          <w:spacing w:val="0"/>
          <w:kern w:val="0"/>
          <w:sz w:val="32"/>
          <w:szCs w:val="21"/>
        </w:rPr>
        <w:t>机构组成及职责</w:t>
      </w:r>
      <w:bookmarkEnd w:id="52"/>
      <w:bookmarkEnd w:id="53"/>
      <w:bookmarkEnd w:id="54"/>
    </w:p>
    <w:p w14:paraId="7FFC5A75">
      <w:pPr>
        <w:pStyle w:val="36"/>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宋体" w:cs="Times New Roman"/>
          <w:bCs/>
          <w:snapToGrid w:val="0"/>
          <w:color w:val="auto"/>
          <w:spacing w:val="0"/>
          <w:kern w:val="0"/>
        </w:rPr>
      </w:pPr>
      <w:r>
        <w:rPr>
          <w:rFonts w:hint="eastAsia" w:ascii="楷体_GB2312" w:hAnsi="楷体_GB2312" w:eastAsia="楷体_GB2312" w:cs="楷体_GB2312"/>
          <w:bCs/>
          <w:snapToGrid w:val="0"/>
          <w:color w:val="auto"/>
          <w:spacing w:val="0"/>
          <w:kern w:val="0"/>
          <w:sz w:val="32"/>
          <w:szCs w:val="22"/>
        </w:rPr>
        <w:t>突发环境事件应急指挥部</w:t>
      </w:r>
    </w:p>
    <w:p w14:paraId="53CAF4FE">
      <w:pPr>
        <w:pStyle w:val="31"/>
        <w:pageBreakBefore w:val="0"/>
        <w:kinsoku/>
        <w:wordWrap/>
        <w:overflowPunct/>
        <w:topLinePunct w:val="0"/>
        <w:autoSpaceDE/>
        <w:autoSpaceDN/>
        <w:bidi w:val="0"/>
        <w:adjustRightInd/>
        <w:snapToGrid/>
        <w:spacing w:line="600" w:lineRule="exact"/>
        <w:ind w:firstLine="482"/>
        <w:jc w:val="both"/>
        <w:textAlignment w:val="auto"/>
        <w:rPr>
          <w:rFonts w:hint="eastAsia" w:ascii="仿宋_GB2312" w:hAnsi="仿宋_GB2312" w:eastAsia="仿宋_GB2312" w:cs="仿宋_GB2312"/>
          <w:b/>
          <w:bCs/>
          <w:snapToGrid w:val="0"/>
          <w:color w:val="auto"/>
          <w:spacing w:val="0"/>
          <w:kern w:val="0"/>
          <w:sz w:val="32"/>
          <w:szCs w:val="22"/>
          <w:lang w:val="en-US"/>
        </w:rPr>
      </w:pPr>
      <w:r>
        <w:rPr>
          <w:rFonts w:hint="eastAsia" w:ascii="仿宋_GB2312" w:hAnsi="仿宋_GB2312" w:eastAsia="仿宋_GB2312" w:cs="仿宋_GB2312"/>
          <w:b/>
          <w:bCs/>
          <w:snapToGrid w:val="0"/>
          <w:color w:val="auto"/>
          <w:spacing w:val="0"/>
          <w:kern w:val="0"/>
          <w:sz w:val="32"/>
          <w:szCs w:val="22"/>
          <w:lang w:val="en-US"/>
        </w:rPr>
        <w:t>（1）突发环境事件应急指挥部组成</w:t>
      </w:r>
    </w:p>
    <w:p w14:paraId="07DF5131">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突发环境事件应急指挥部（以下简称“应急指挥部”），是</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突发环境事件应急管理工作的最高领导机构，是应对突发事件的责任主体，对管辖范围内的各类突发环境事件负有直接指挥权、处置权。</w:t>
      </w:r>
    </w:p>
    <w:p w14:paraId="377CFB24">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总指挥：</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人民政府负责分管生态环境保护工作的副</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lang w:val="en-US"/>
        </w:rPr>
        <w:t>长</w:t>
      </w:r>
    </w:p>
    <w:p w14:paraId="5304BE7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副总指挥：</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lang w:val="en-US"/>
        </w:rPr>
        <w:t>生态环境局局长、</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应急管理局局长</w:t>
      </w:r>
    </w:p>
    <w:p w14:paraId="5FD6508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协调办公室：设在</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lang w:val="en-US"/>
        </w:rPr>
        <w:t>生态环境局，办公室主任由</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lang w:val="en-US"/>
        </w:rPr>
        <w:t>生态环境局局长担任，副主任由</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lang w:val="en-US"/>
        </w:rPr>
        <w:t>生态环境局分管应急工作领导担任。</w:t>
      </w:r>
    </w:p>
    <w:p w14:paraId="5B58BBD1">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成员单位：包括生态环境局、</w:t>
      </w:r>
      <w:r>
        <w:rPr>
          <w:rFonts w:hint="eastAsia" w:ascii="仿宋_GB2312" w:hAnsi="仿宋_GB2312" w:eastAsia="仿宋_GB2312" w:cs="仿宋_GB2312"/>
          <w:snapToGrid w:val="0"/>
          <w:color w:val="auto"/>
          <w:spacing w:val="0"/>
          <w:kern w:val="0"/>
          <w:sz w:val="32"/>
          <w:szCs w:val="32"/>
          <w:lang w:val="en-US" w:eastAsia="zh-CN"/>
        </w:rPr>
        <w:t>区委</w:t>
      </w:r>
      <w:r>
        <w:rPr>
          <w:rFonts w:hint="default" w:ascii="仿宋_GB2312" w:hAnsi="仿宋_GB2312" w:eastAsia="仿宋_GB2312" w:cs="仿宋_GB2312"/>
          <w:snapToGrid w:val="0"/>
          <w:color w:val="auto"/>
          <w:spacing w:val="0"/>
          <w:kern w:val="0"/>
          <w:sz w:val="32"/>
          <w:szCs w:val="32"/>
          <w:lang w:val="en-US"/>
        </w:rPr>
        <w:t>宣传部、应急管理局、发改委、教体局、公安局、民政局、财政局、人社局、住建局、</w:t>
      </w:r>
      <w:r>
        <w:rPr>
          <w:rFonts w:hint="eastAsia" w:ascii="仿宋_GB2312" w:hAnsi="仿宋_GB2312" w:eastAsia="仿宋_GB2312" w:cs="仿宋_GB2312"/>
          <w:snapToGrid w:val="0"/>
          <w:color w:val="auto"/>
          <w:spacing w:val="0"/>
          <w:kern w:val="0"/>
          <w:sz w:val="32"/>
          <w:szCs w:val="32"/>
          <w:lang w:val="en-US" w:eastAsia="zh-CN"/>
        </w:rPr>
        <w:t>城市管理</w:t>
      </w:r>
      <w:r>
        <w:rPr>
          <w:rFonts w:hint="default" w:ascii="仿宋_GB2312" w:hAnsi="仿宋_GB2312" w:eastAsia="仿宋_GB2312" w:cs="仿宋_GB2312"/>
          <w:snapToGrid w:val="0"/>
          <w:color w:val="auto"/>
          <w:spacing w:val="0"/>
          <w:kern w:val="0"/>
          <w:sz w:val="32"/>
          <w:szCs w:val="32"/>
          <w:lang w:val="en-US"/>
        </w:rPr>
        <w:t>局、农业农村水利局、卫健委、文化广电新闻出版旅游局、消防救援大队、人武部、司法局、气象局、各街道办事处、乡镇政府、</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lang w:val="en-US"/>
        </w:rPr>
        <w:t>供电公司、燃气公司、水务公司、通</w:t>
      </w:r>
      <w:r>
        <w:rPr>
          <w:rFonts w:hint="eastAsia" w:ascii="仿宋_GB2312" w:hAnsi="仿宋_GB2312" w:eastAsia="仿宋_GB2312" w:cs="仿宋_GB2312"/>
          <w:snapToGrid w:val="0"/>
          <w:color w:val="auto"/>
          <w:spacing w:val="0"/>
          <w:kern w:val="0"/>
          <w:sz w:val="32"/>
          <w:szCs w:val="32"/>
          <w:lang w:val="en-US" w:eastAsia="zh-CN"/>
        </w:rPr>
        <w:t>信</w:t>
      </w:r>
      <w:r>
        <w:rPr>
          <w:rFonts w:hint="default" w:ascii="仿宋_GB2312" w:hAnsi="仿宋_GB2312" w:eastAsia="仿宋_GB2312" w:cs="仿宋_GB2312"/>
          <w:snapToGrid w:val="0"/>
          <w:color w:val="auto"/>
          <w:spacing w:val="0"/>
          <w:kern w:val="0"/>
          <w:sz w:val="32"/>
          <w:szCs w:val="32"/>
          <w:lang w:val="en-US"/>
        </w:rPr>
        <w:t>保障部门（包括移动公司、电信公司、联通公司等）等。</w:t>
      </w:r>
    </w:p>
    <w:p w14:paraId="3E99752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本预案未列出的</w:t>
      </w:r>
      <w:r>
        <w:rPr>
          <w:rFonts w:hint="eastAsia" w:ascii="仿宋_GB2312" w:hAnsi="仿宋_GB2312" w:eastAsia="仿宋_GB2312" w:cs="仿宋_GB2312"/>
          <w:snapToGrid w:val="0"/>
          <w:color w:val="auto"/>
          <w:spacing w:val="0"/>
          <w:kern w:val="0"/>
          <w:sz w:val="32"/>
          <w:szCs w:val="32"/>
          <w:lang w:val="en-US" w:eastAsia="zh-CN"/>
        </w:rPr>
        <w:t>其他</w:t>
      </w:r>
      <w:r>
        <w:rPr>
          <w:rFonts w:hint="default" w:ascii="仿宋_GB2312" w:hAnsi="仿宋_GB2312" w:eastAsia="仿宋_GB2312" w:cs="仿宋_GB2312"/>
          <w:snapToGrid w:val="0"/>
          <w:color w:val="auto"/>
          <w:spacing w:val="0"/>
          <w:kern w:val="0"/>
          <w:sz w:val="32"/>
          <w:szCs w:val="32"/>
          <w:lang w:val="en-US"/>
        </w:rPr>
        <w:t>部门和单位根据应急指挥部指令，按照本部门、本单位职责和应急处置需要，依法做好突发环境事件应急处置的相关工作。</w:t>
      </w:r>
    </w:p>
    <w:p w14:paraId="60F97CE7">
      <w:pPr>
        <w:pStyle w:val="31"/>
        <w:keepNext w:val="0"/>
        <w:keepLines w:val="0"/>
        <w:pageBreakBefore w:val="0"/>
        <w:kinsoku/>
        <w:wordWrap/>
        <w:overflowPunct/>
        <w:topLinePunct w:val="0"/>
        <w:autoSpaceDE/>
        <w:autoSpaceDN/>
        <w:bidi w:val="0"/>
        <w:adjustRightInd/>
        <w:snapToGrid/>
        <w:spacing w:line="600" w:lineRule="exact"/>
        <w:ind w:firstLine="482"/>
        <w:jc w:val="both"/>
        <w:textAlignment w:val="auto"/>
        <w:rPr>
          <w:rFonts w:hint="eastAsia" w:ascii="仿宋_GB2312" w:hAnsi="仿宋_GB2312" w:eastAsia="仿宋_GB2312" w:cs="仿宋_GB2312"/>
          <w:b/>
          <w:bCs/>
          <w:snapToGrid w:val="0"/>
          <w:color w:val="auto"/>
          <w:spacing w:val="0"/>
          <w:kern w:val="0"/>
          <w:sz w:val="32"/>
          <w:szCs w:val="32"/>
          <w:lang w:val="en-US"/>
        </w:rPr>
      </w:pPr>
      <w:r>
        <w:rPr>
          <w:rFonts w:hint="eastAsia" w:ascii="仿宋_GB2312" w:hAnsi="仿宋_GB2312" w:eastAsia="仿宋_GB2312" w:cs="仿宋_GB2312"/>
          <w:b/>
          <w:bCs/>
          <w:snapToGrid w:val="0"/>
          <w:color w:val="auto"/>
          <w:spacing w:val="0"/>
          <w:kern w:val="0"/>
          <w:sz w:val="32"/>
          <w:szCs w:val="32"/>
          <w:lang w:val="en-US"/>
        </w:rPr>
        <w:t>（2）突发环境事件应急指挥部职责</w:t>
      </w:r>
    </w:p>
    <w:p w14:paraId="10DF913D">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val="en-US" w:eastAsia="zh-CN"/>
        </w:rPr>
      </w:pPr>
      <w:r>
        <w:rPr>
          <w:rFonts w:hint="default" w:ascii="仿宋_GB2312" w:hAnsi="仿宋_GB2312" w:eastAsia="仿宋_GB2312" w:cs="仿宋_GB2312"/>
          <w:snapToGrid w:val="0"/>
          <w:color w:val="auto"/>
          <w:spacing w:val="0"/>
          <w:kern w:val="0"/>
          <w:sz w:val="32"/>
          <w:szCs w:val="32"/>
          <w:lang w:val="en-US"/>
        </w:rPr>
        <w:t>贯彻执行江西</w:t>
      </w:r>
      <w:r>
        <w:rPr>
          <w:rFonts w:hint="eastAsia" w:ascii="仿宋_GB2312" w:hAnsi="仿宋_GB2312" w:eastAsia="仿宋_GB2312" w:cs="仿宋_GB2312"/>
          <w:snapToGrid w:val="0"/>
          <w:color w:val="auto"/>
          <w:spacing w:val="0"/>
          <w:kern w:val="0"/>
          <w:sz w:val="32"/>
          <w:szCs w:val="32"/>
          <w:lang w:val="en-US" w:eastAsia="zh-CN"/>
        </w:rPr>
        <w:t>省委、省政府</w:t>
      </w:r>
      <w:r>
        <w:rPr>
          <w:rFonts w:hint="default" w:ascii="仿宋_GB2312" w:hAnsi="仿宋_GB2312" w:eastAsia="仿宋_GB2312" w:cs="仿宋_GB2312"/>
          <w:snapToGrid w:val="0"/>
          <w:color w:val="auto"/>
          <w:spacing w:val="0"/>
          <w:kern w:val="0"/>
          <w:sz w:val="32"/>
          <w:szCs w:val="32"/>
          <w:lang w:val="en-US"/>
        </w:rPr>
        <w:t>和</w:t>
      </w:r>
      <w:r>
        <w:rPr>
          <w:rFonts w:hint="eastAsia" w:ascii="仿宋_GB2312" w:hAnsi="仿宋_GB2312" w:eastAsia="仿宋_GB2312" w:cs="仿宋_GB2312"/>
          <w:snapToGrid w:val="0"/>
          <w:color w:val="auto"/>
          <w:spacing w:val="0"/>
          <w:kern w:val="0"/>
          <w:sz w:val="32"/>
          <w:szCs w:val="32"/>
          <w:lang w:val="en-US" w:eastAsia="zh-CN"/>
        </w:rPr>
        <w:t>景德镇市委、市政府</w:t>
      </w:r>
      <w:r>
        <w:rPr>
          <w:rFonts w:hint="default" w:ascii="仿宋_GB2312" w:hAnsi="仿宋_GB2312" w:eastAsia="仿宋_GB2312" w:cs="仿宋_GB2312"/>
          <w:snapToGrid w:val="0"/>
          <w:color w:val="auto"/>
          <w:spacing w:val="0"/>
          <w:kern w:val="0"/>
          <w:sz w:val="32"/>
          <w:szCs w:val="32"/>
          <w:lang w:val="en-US"/>
        </w:rPr>
        <w:t>有关应急工作的方针、政策，认真落实</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政府有关环境应急工作任务；负责制定、修改和完善、启动突发环境事件应急预案；负责现场组织、指挥、处置和应急救援工作，及时制定突发事件应急处置决策和控制措施；做好事件调查处置，协调重点防控单位，督促、指导相关单位做好应急防范和应急准备；开展监督、检查及宣传、演练活动；负责与上、下级和其他相关部门的报告、指示和协调工作；统一对外发布环境污染事故所造成环境污染的信息；协助恢复生产生活秩序等善后工作，完成</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政府下达的应急救援任务。</w:t>
      </w:r>
    </w:p>
    <w:p w14:paraId="74B0502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eastAsia" w:ascii="仿宋_GB2312" w:hAnsi="仿宋_GB2312" w:eastAsia="仿宋_GB2312" w:cs="仿宋_GB2312"/>
          <w:snapToGrid w:val="0"/>
          <w:color w:val="auto"/>
          <w:spacing w:val="0"/>
          <w:kern w:val="0"/>
          <w:sz w:val="32"/>
          <w:szCs w:val="32"/>
          <w:lang w:val="en-US" w:eastAsia="zh-CN"/>
        </w:rPr>
        <w:t>应急指挥部</w:t>
      </w:r>
      <w:r>
        <w:rPr>
          <w:rFonts w:hint="default" w:ascii="仿宋_GB2312" w:hAnsi="仿宋_GB2312" w:eastAsia="仿宋_GB2312" w:cs="仿宋_GB2312"/>
          <w:snapToGrid w:val="0"/>
          <w:color w:val="auto"/>
          <w:spacing w:val="0"/>
          <w:kern w:val="0"/>
          <w:sz w:val="32"/>
          <w:szCs w:val="32"/>
          <w:lang w:val="en-US"/>
        </w:rPr>
        <w:t>制定A/B岗制度</w:t>
      </w:r>
      <w:r>
        <w:rPr>
          <w:rFonts w:hint="eastAsia" w:ascii="仿宋_GB2312" w:hAnsi="仿宋_GB2312" w:eastAsia="仿宋_GB2312" w:cs="仿宋_GB2312"/>
          <w:snapToGrid w:val="0"/>
          <w:color w:val="auto"/>
          <w:spacing w:val="0"/>
          <w:kern w:val="0"/>
          <w:sz w:val="32"/>
          <w:szCs w:val="32"/>
          <w:lang w:val="en-US" w:eastAsia="zh-CN"/>
        </w:rPr>
        <w:t>，A岗为主责岗位，承担该岗位日常及应急状态下的主要职责；B岗为备岗岗位，协助A岗开展工作，在A岗缺位时，无缝承接其全部职责，确保岗位工作不中断、不脱节</w:t>
      </w:r>
      <w:r>
        <w:rPr>
          <w:rFonts w:hint="default" w:ascii="仿宋_GB2312" w:hAnsi="仿宋_GB2312" w:eastAsia="仿宋_GB2312" w:cs="仿宋_GB2312"/>
          <w:snapToGrid w:val="0"/>
          <w:color w:val="auto"/>
          <w:spacing w:val="0"/>
          <w:kern w:val="0"/>
          <w:sz w:val="32"/>
          <w:szCs w:val="32"/>
          <w:lang w:val="en-US"/>
        </w:rPr>
        <w:t>。</w:t>
      </w:r>
    </w:p>
    <w:p w14:paraId="780F4DE6">
      <w:pPr>
        <w:pStyle w:val="31"/>
        <w:keepNext w:val="0"/>
        <w:keepLines w:val="0"/>
        <w:pageBreakBefore w:val="0"/>
        <w:kinsoku/>
        <w:wordWrap/>
        <w:overflowPunct/>
        <w:topLinePunct w:val="0"/>
        <w:autoSpaceDE/>
        <w:autoSpaceDN/>
        <w:bidi w:val="0"/>
        <w:adjustRightInd/>
        <w:snapToGrid/>
        <w:spacing w:line="600" w:lineRule="exact"/>
        <w:ind w:firstLine="482"/>
        <w:jc w:val="both"/>
        <w:textAlignment w:val="auto"/>
        <w:rPr>
          <w:rFonts w:hint="default" w:ascii="仿宋_GB2312" w:hAnsi="仿宋_GB2312" w:eastAsia="仿宋_GB2312" w:cs="仿宋_GB2312"/>
          <w:b/>
          <w:bCs/>
          <w:snapToGrid w:val="0"/>
          <w:color w:val="auto"/>
          <w:spacing w:val="0"/>
          <w:kern w:val="0"/>
          <w:sz w:val="32"/>
          <w:szCs w:val="32"/>
          <w:lang w:val="en-US"/>
        </w:rPr>
      </w:pPr>
      <w:r>
        <w:rPr>
          <w:rFonts w:hint="default" w:ascii="仿宋_GB2312" w:hAnsi="仿宋_GB2312" w:eastAsia="仿宋_GB2312" w:cs="仿宋_GB2312"/>
          <w:b/>
          <w:bCs/>
          <w:snapToGrid w:val="0"/>
          <w:color w:val="auto"/>
          <w:spacing w:val="0"/>
          <w:kern w:val="0"/>
          <w:sz w:val="32"/>
          <w:szCs w:val="32"/>
          <w:lang w:val="en-US"/>
        </w:rPr>
        <w:t>（3）协调办公室职责</w:t>
      </w:r>
    </w:p>
    <w:p w14:paraId="528B54E9">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负责突发环境事件应急指挥部日常工作；掌握全</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lang w:val="en-US"/>
        </w:rPr>
        <w:t>突发环境事件动态，接收各有关部门的预测预警信息，分析突发环境事件情况，研判突发环境事件发展趋势，核定突发环境事件级别，向</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突发环境事件应急指挥部提出启动应急预案和采取应急措施的建议，执行</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突发环境事件应急指挥部决定；按照应急指挥部的指示，召集应急指挥部成员单位研究提出应急处置方案，组织开展应急处置工作；按照有关规定和程序向</w:t>
      </w:r>
      <w:r>
        <w:rPr>
          <w:rFonts w:hint="eastAsia" w:ascii="仿宋_GB2312" w:hAnsi="仿宋_GB2312" w:eastAsia="仿宋_GB2312" w:cs="仿宋_GB2312"/>
          <w:snapToGrid w:val="0"/>
          <w:color w:val="auto"/>
          <w:spacing w:val="0"/>
          <w:kern w:val="0"/>
          <w:sz w:val="32"/>
          <w:szCs w:val="32"/>
          <w:lang w:val="en-US" w:eastAsia="zh-CN"/>
        </w:rPr>
        <w:t>昌江区委、区政府</w:t>
      </w:r>
      <w:r>
        <w:rPr>
          <w:rFonts w:hint="default" w:ascii="仿宋_GB2312" w:hAnsi="仿宋_GB2312" w:eastAsia="仿宋_GB2312" w:cs="仿宋_GB2312"/>
          <w:snapToGrid w:val="0"/>
          <w:color w:val="auto"/>
          <w:spacing w:val="0"/>
          <w:kern w:val="0"/>
          <w:sz w:val="32"/>
          <w:szCs w:val="32"/>
          <w:lang w:val="en-US"/>
        </w:rPr>
        <w:t>和上级主管部门报告突发环境事件相关情况，负责</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突发环境事件应急预案的编</w:t>
      </w:r>
      <w:r>
        <w:rPr>
          <w:rFonts w:hint="eastAsia" w:ascii="仿宋_GB2312" w:hAnsi="仿宋_GB2312" w:eastAsia="仿宋_GB2312" w:cs="仿宋_GB2312"/>
          <w:snapToGrid w:val="0"/>
          <w:color w:val="auto"/>
          <w:spacing w:val="0"/>
          <w:kern w:val="0"/>
          <w:sz w:val="32"/>
          <w:szCs w:val="32"/>
          <w:lang w:val="en-US" w:eastAsia="zh-CN"/>
        </w:rPr>
        <w:t>制和</w:t>
      </w:r>
      <w:r>
        <w:rPr>
          <w:rFonts w:hint="default" w:ascii="仿宋_GB2312" w:hAnsi="仿宋_GB2312" w:eastAsia="仿宋_GB2312" w:cs="仿宋_GB2312"/>
          <w:snapToGrid w:val="0"/>
          <w:color w:val="auto"/>
          <w:spacing w:val="0"/>
          <w:kern w:val="0"/>
          <w:sz w:val="32"/>
          <w:szCs w:val="32"/>
          <w:lang w:val="en-US"/>
        </w:rPr>
        <w:t>修订工作，负责制定突发环境事件应急人员培训和应急演练计划并组织实施；完成</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政府和应急指挥部交办的其他工作。</w:t>
      </w:r>
    </w:p>
    <w:p w14:paraId="4AC56F55">
      <w:pPr>
        <w:pStyle w:val="31"/>
        <w:keepNext w:val="0"/>
        <w:keepLines w:val="0"/>
        <w:pageBreakBefore w:val="0"/>
        <w:kinsoku/>
        <w:wordWrap/>
        <w:overflowPunct/>
        <w:topLinePunct w:val="0"/>
        <w:autoSpaceDE/>
        <w:autoSpaceDN/>
        <w:bidi w:val="0"/>
        <w:adjustRightInd/>
        <w:snapToGrid/>
        <w:spacing w:line="600" w:lineRule="exact"/>
        <w:ind w:firstLine="482"/>
        <w:jc w:val="both"/>
        <w:textAlignment w:val="auto"/>
        <w:rPr>
          <w:rFonts w:hint="default" w:ascii="仿宋_GB2312" w:hAnsi="仿宋_GB2312" w:eastAsia="仿宋_GB2312" w:cs="仿宋_GB2312"/>
          <w:b/>
          <w:bCs/>
          <w:snapToGrid w:val="0"/>
          <w:color w:val="auto"/>
          <w:spacing w:val="0"/>
          <w:kern w:val="0"/>
          <w:sz w:val="32"/>
          <w:szCs w:val="32"/>
          <w:lang w:val="en-US"/>
        </w:rPr>
      </w:pPr>
      <w:r>
        <w:rPr>
          <w:rFonts w:hint="default" w:ascii="仿宋_GB2312" w:hAnsi="仿宋_GB2312" w:eastAsia="仿宋_GB2312" w:cs="仿宋_GB2312"/>
          <w:b/>
          <w:bCs/>
          <w:snapToGrid w:val="0"/>
          <w:color w:val="auto"/>
          <w:spacing w:val="0"/>
          <w:kern w:val="0"/>
          <w:sz w:val="32"/>
          <w:szCs w:val="32"/>
          <w:lang w:val="en-US"/>
        </w:rPr>
        <w:t>（4）突发环境事件应急指挥部各成员单位职责</w:t>
      </w:r>
    </w:p>
    <w:p w14:paraId="56BB7F62">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lang w:val="en-US"/>
        </w:rPr>
        <w:t>应急指挥部各成员单位按本部门职责负责各自专业领域的应急协调、保障工作，制定本部门突发环境事件应急救援和保障应急预案，需要其他部门增援时，应急指挥部向有关部门发出增援指令。各成员单位之间应建立应急联系工作机制，保证信息通畅和信息共享。</w:t>
      </w:r>
    </w:p>
    <w:p w14:paraId="7E1FA40F">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应急指挥部相关成员单位组成、职责分工见表2.2-1。</w:t>
      </w:r>
    </w:p>
    <w:p w14:paraId="7BA6E187">
      <w:pPr>
        <w:pStyle w:val="36"/>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宋体" w:cs="Times New Roman"/>
          <w:bCs/>
          <w:snapToGrid w:val="0"/>
          <w:color w:val="auto"/>
          <w:spacing w:val="0"/>
          <w:kern w:val="0"/>
        </w:rPr>
      </w:pPr>
      <w:bookmarkStart w:id="55" w:name="_Toc532541956"/>
      <w:bookmarkStart w:id="56" w:name="_Toc31289"/>
      <w:r>
        <w:rPr>
          <w:rFonts w:hint="eastAsia" w:ascii="楷体_GB2312" w:hAnsi="楷体_GB2312" w:eastAsia="楷体_GB2312" w:cs="楷体_GB2312"/>
          <w:bCs/>
          <w:snapToGrid w:val="0"/>
          <w:color w:val="auto"/>
          <w:spacing w:val="0"/>
          <w:kern w:val="0"/>
          <w:sz w:val="32"/>
          <w:szCs w:val="22"/>
        </w:rPr>
        <w:t>现场应急指挥部</w:t>
      </w:r>
      <w:bookmarkEnd w:id="55"/>
      <w:bookmarkEnd w:id="56"/>
    </w:p>
    <w:p w14:paraId="7F12081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当通过信息研判和会商判断可能发生或已发生突发环境事件时，应立即成立现场应急指挥部，现场应急指挥部由应急指挥部选择与突发环境事件有直接关系的部门、单位成立。</w:t>
      </w:r>
    </w:p>
    <w:p w14:paraId="74ABB9C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主要职责：</w:t>
      </w:r>
    </w:p>
    <w:p w14:paraId="51718AF8">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（1）全面负责指挥、组织和协调突发环境事件的应急响应工作，调度人员、设备、</w:t>
      </w:r>
      <w:r>
        <w:rPr>
          <w:rFonts w:hint="eastAsia" w:ascii="仿宋_GB2312" w:hAnsi="仿宋_GB2312" w:eastAsia="仿宋_GB2312" w:cs="仿宋_GB2312"/>
          <w:snapToGrid w:val="0"/>
          <w:color w:val="auto"/>
          <w:spacing w:val="0"/>
          <w:kern w:val="0"/>
          <w:sz w:val="32"/>
          <w:szCs w:val="32"/>
          <w:lang w:eastAsia="zh-CN"/>
        </w:rPr>
        <w:t>物资</w:t>
      </w:r>
      <w:r>
        <w:rPr>
          <w:rFonts w:hint="default" w:ascii="仿宋_GB2312" w:hAnsi="仿宋_GB2312" w:eastAsia="仿宋_GB2312" w:cs="仿宋_GB2312"/>
          <w:snapToGrid w:val="0"/>
          <w:color w:val="auto"/>
          <w:spacing w:val="0"/>
          <w:kern w:val="0"/>
          <w:sz w:val="32"/>
          <w:szCs w:val="32"/>
        </w:rPr>
        <w:t>等，组建现场应急工作组赶赴现场开展具体工作。</w:t>
      </w:r>
    </w:p>
    <w:p w14:paraId="5A3932B1">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按照应急监测预案组织进行监测分析，确定污染程度；根据现场调查结果和专家意见，确定事故处置的技术措施；指挥各部门指定人员进行现场调查、取证和评估工作；协调各级应急力量划定建立现场警戒区和交通管制区域，确定重点防护区域；</w:t>
      </w:r>
    </w:p>
    <w:p w14:paraId="34590013">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指挥现场应急工作组开展具体行动。负责医疗救护指挥工作；负责对中毒、受伤人员分类抢救和护送转院组织工作；负责指挥事故的报警、情况通报、事故处理工作；负责指挥抢修、恢复救援物资的供应调配工作；负责对事故后道路交通管制工作，协调道路人员紧急撤离的安全疏散工作。保证人员的安全撤离；负责备用水源的启用工作；负责被污染环境的恢复工作。</w:t>
      </w:r>
    </w:p>
    <w:p w14:paraId="14F17B1C">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（4）代表指挥部负责对外协调沟通、事故分析、信息上报工作。</w:t>
      </w:r>
    </w:p>
    <w:p w14:paraId="40509A0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（5）负责受影响区域群众安抚工作。</w:t>
      </w:r>
    </w:p>
    <w:p w14:paraId="452E5810">
      <w:pPr>
        <w:keepNext w:val="0"/>
        <w:keepLines w:val="0"/>
        <w:pageBreakBefore w:val="0"/>
        <w:widowControl w:val="0"/>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sectPr>
          <w:pgSz w:w="11906" w:h="16838"/>
          <w:pgMar w:top="2098" w:right="1474" w:bottom="1984" w:left="1587" w:header="851" w:footer="992" w:gutter="0"/>
          <w:pgNumType w:fmt="decimal"/>
          <w:cols w:space="425" w:num="1"/>
          <w:docGrid w:type="lines" w:linePitch="312" w:charSpace="0"/>
        </w:sectPr>
      </w:pPr>
    </w:p>
    <w:p w14:paraId="55D99299">
      <w:pPr>
        <w:widowControl/>
        <w:spacing w:line="240" w:lineRule="auto"/>
        <w:ind w:firstLine="0" w:firstLineChars="0"/>
        <w:jc w:val="center"/>
        <w:rPr>
          <w:rFonts w:hint="eastAsia" w:ascii="方正小标宋简体" w:hAnsi="方正小标宋简体" w:eastAsia="方正小标宋简体" w:cs="方正小标宋简体"/>
          <w:b w:val="0"/>
          <w:bCs/>
          <w:color w:val="auto"/>
          <w:kern w:val="0"/>
          <w:sz w:val="32"/>
          <w:szCs w:val="32"/>
        </w:rPr>
      </w:pPr>
      <w:r>
        <w:rPr>
          <w:rFonts w:hint="eastAsia" w:ascii="方正小标宋简体" w:hAnsi="方正小标宋简体" w:eastAsia="方正小标宋简体" w:cs="方正小标宋简体"/>
          <w:b w:val="0"/>
          <w:bCs/>
          <w:color w:val="auto"/>
          <w:kern w:val="0"/>
          <w:sz w:val="32"/>
          <w:szCs w:val="32"/>
        </w:rPr>
        <w:t xml:space="preserve">表2.2-1 </w:t>
      </w:r>
      <w:bookmarkStart w:id="57" w:name="OLE_LINK3"/>
      <w:bookmarkStart w:id="58" w:name="OLE_LINK4"/>
      <w:r>
        <w:rPr>
          <w:rFonts w:hint="eastAsia" w:ascii="方正小标宋简体" w:hAnsi="方正小标宋简体" w:eastAsia="方正小标宋简体" w:cs="方正小标宋简体"/>
          <w:b w:val="0"/>
          <w:bCs/>
          <w:color w:val="auto"/>
          <w:kern w:val="0"/>
          <w:sz w:val="32"/>
          <w:szCs w:val="32"/>
        </w:rPr>
        <w:t>应急指挥部成员单位</w:t>
      </w:r>
      <w:bookmarkEnd w:id="57"/>
      <w:bookmarkEnd w:id="58"/>
      <w:r>
        <w:rPr>
          <w:rFonts w:hint="eastAsia" w:ascii="方正小标宋简体" w:hAnsi="方正小标宋简体" w:eastAsia="方正小标宋简体" w:cs="方正小标宋简体"/>
          <w:b w:val="0"/>
          <w:bCs/>
          <w:color w:val="auto"/>
          <w:kern w:val="0"/>
          <w:sz w:val="32"/>
          <w:szCs w:val="32"/>
        </w:rPr>
        <w:t>组成、职责分工表</w:t>
      </w:r>
    </w:p>
    <w:tbl>
      <w:tblPr>
        <w:tblStyle w:val="22"/>
        <w:tblW w:w="501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2321"/>
        <w:gridCol w:w="11692"/>
      </w:tblGrid>
      <w:tr w14:paraId="23C6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8D86F10">
            <w:pPr>
              <w:widowControl/>
              <w:adjustRightInd w:val="0"/>
              <w:snapToGrid w:val="0"/>
              <w:spacing w:line="240" w:lineRule="auto"/>
              <w:ind w:firstLine="0" w:firstLineChars="0"/>
              <w:jc w:val="center"/>
              <w:rPr>
                <w:rFonts w:hint="eastAsia" w:ascii="黑体" w:hAnsi="黑体" w:eastAsia="黑体" w:cs="黑体"/>
                <w:b w:val="0"/>
                <w:bCs w:val="0"/>
                <w:color w:val="auto"/>
                <w:kern w:val="0"/>
                <w:sz w:val="21"/>
                <w:szCs w:val="21"/>
              </w:rPr>
            </w:pPr>
            <w:r>
              <w:rPr>
                <w:rFonts w:hint="eastAsia" w:ascii="黑体" w:hAnsi="黑体" w:eastAsia="黑体" w:cs="黑体"/>
                <w:b w:val="0"/>
                <w:bCs w:val="0"/>
                <w:color w:val="auto"/>
                <w:kern w:val="0"/>
                <w:sz w:val="21"/>
                <w:szCs w:val="21"/>
              </w:rPr>
              <w:t>应急指挥部</w:t>
            </w:r>
          </w:p>
          <w:p w14:paraId="65B37873">
            <w:pPr>
              <w:widowControl/>
              <w:adjustRightInd w:val="0"/>
              <w:snapToGrid w:val="0"/>
              <w:spacing w:line="240" w:lineRule="auto"/>
              <w:ind w:firstLine="0" w:firstLineChars="0"/>
              <w:jc w:val="center"/>
              <w:rPr>
                <w:rFonts w:hint="eastAsia" w:ascii="黑体" w:hAnsi="黑体" w:eastAsia="黑体" w:cs="黑体"/>
                <w:b w:val="0"/>
                <w:bCs w:val="0"/>
                <w:color w:val="auto"/>
                <w:kern w:val="0"/>
                <w:sz w:val="21"/>
                <w:szCs w:val="21"/>
              </w:rPr>
            </w:pPr>
            <w:r>
              <w:rPr>
                <w:rFonts w:hint="eastAsia" w:ascii="黑体" w:hAnsi="黑体" w:eastAsia="黑体" w:cs="黑体"/>
                <w:b w:val="0"/>
                <w:bCs w:val="0"/>
                <w:color w:val="auto"/>
                <w:kern w:val="0"/>
                <w:sz w:val="21"/>
                <w:szCs w:val="21"/>
              </w:rPr>
              <w:t>成员单位</w:t>
            </w:r>
          </w:p>
        </w:tc>
        <w:tc>
          <w:tcPr>
            <w:tcW w:w="4171" w:type="pct"/>
            <w:vAlign w:val="center"/>
          </w:tcPr>
          <w:p w14:paraId="72D4F086">
            <w:pPr>
              <w:widowControl/>
              <w:adjustRightInd w:val="0"/>
              <w:snapToGrid w:val="0"/>
              <w:spacing w:line="240" w:lineRule="auto"/>
              <w:ind w:firstLine="0" w:firstLineChars="0"/>
              <w:jc w:val="center"/>
              <w:rPr>
                <w:rFonts w:hint="eastAsia" w:ascii="黑体" w:hAnsi="黑体" w:eastAsia="黑体" w:cs="黑体"/>
                <w:b w:val="0"/>
                <w:bCs w:val="0"/>
                <w:color w:val="auto"/>
                <w:kern w:val="0"/>
                <w:sz w:val="21"/>
                <w:szCs w:val="21"/>
              </w:rPr>
            </w:pPr>
            <w:r>
              <w:rPr>
                <w:rFonts w:hint="eastAsia" w:ascii="黑体" w:hAnsi="黑体" w:eastAsia="黑体" w:cs="黑体"/>
                <w:b w:val="0"/>
                <w:bCs w:val="0"/>
                <w:color w:val="auto"/>
                <w:kern w:val="0"/>
                <w:sz w:val="21"/>
                <w:szCs w:val="21"/>
              </w:rPr>
              <w:t>应急职责</w:t>
            </w:r>
          </w:p>
        </w:tc>
      </w:tr>
      <w:tr w14:paraId="7E465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802" w:hRule="atLeast"/>
          <w:jc w:val="center"/>
        </w:trPr>
        <w:tc>
          <w:tcPr>
            <w:tcW w:w="828" w:type="pct"/>
            <w:vAlign w:val="center"/>
          </w:tcPr>
          <w:p w14:paraId="061056F5">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应急管理局</w:t>
            </w:r>
          </w:p>
        </w:tc>
        <w:tc>
          <w:tcPr>
            <w:tcW w:w="4171" w:type="pct"/>
            <w:vAlign w:val="center"/>
          </w:tcPr>
          <w:p w14:paraId="3CE40F04">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协助生态环境局负责事件控制、消除环境污染的应急处置工作；协助生态环境局对突发环境事件现场及可能受影响的区域进行污染损害评估；协助生态环境局对突发环境事件处置进行调查处理；负责危险化学品安全监督管理综合工作，防范企业生产安全事故次生突发环境事件，及时上报并通报事故信息；协助参与因企业生产安全事故、违法排污等导致的突发环境事件的应急处置和调查；提供可能发生突发环境事件的生产经营单位的相关信息。</w:t>
            </w:r>
          </w:p>
        </w:tc>
      </w:tr>
      <w:tr w14:paraId="732FF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36F8F441">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气象局</w:t>
            </w:r>
          </w:p>
        </w:tc>
        <w:tc>
          <w:tcPr>
            <w:tcW w:w="4171" w:type="pct"/>
            <w:vAlign w:val="center"/>
          </w:tcPr>
          <w:p w14:paraId="26F5BDB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负责重大灾害性天气监测、预报、预警工作，及时发布天气预警、预报信息；负责事故灾难应急救援过程中的气象监测和气象预报工作；负责为突发环境事件预防控制和事故应急救援提供气象服务保障。</w:t>
            </w:r>
          </w:p>
        </w:tc>
      </w:tr>
      <w:tr w14:paraId="4FA4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302" w:hRule="atLeast"/>
          <w:jc w:val="center"/>
        </w:trPr>
        <w:tc>
          <w:tcPr>
            <w:tcW w:w="828" w:type="pct"/>
            <w:vAlign w:val="center"/>
          </w:tcPr>
          <w:p w14:paraId="281EA61A">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生态环境局</w:t>
            </w:r>
          </w:p>
        </w:tc>
        <w:tc>
          <w:tcPr>
            <w:tcW w:w="4171" w:type="pct"/>
            <w:vAlign w:val="center"/>
          </w:tcPr>
          <w:p w14:paraId="38A67CFF">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甄别突发环境事件等级，提出预警级别建议并对突发环境事件进行环境应急监测、分析并及时提供监测数据，跟踪环境污染动态情况；提出控制、消除环境污染的应急处置建议；提出对现场泄漏污染物的处置和环境修复建议；组织对突发环境事件现场及可能受影响的区域进行污染损害评估；组织对突发环境事件处置进行调查处理；向上级环保部门报告事件相关信息；牵头</w:t>
            </w:r>
            <w:r>
              <w:rPr>
                <w:rFonts w:hint="eastAsia" w:ascii="仿宋_GB2312" w:hAnsi="仿宋_GB2312" w:eastAsia="仿宋_GB2312" w:cs="仿宋_GB2312"/>
                <w:color w:val="auto"/>
                <w:kern w:val="0"/>
                <w:sz w:val="24"/>
                <w:szCs w:val="24"/>
                <w:lang w:val="en-US" w:eastAsia="zh-CN"/>
              </w:rPr>
              <w:t>昌江区</w:t>
            </w:r>
            <w:r>
              <w:rPr>
                <w:rFonts w:hint="eastAsia" w:ascii="仿宋_GB2312" w:hAnsi="仿宋_GB2312" w:eastAsia="仿宋_GB2312" w:cs="仿宋_GB2312"/>
                <w:color w:val="auto"/>
                <w:kern w:val="0"/>
                <w:sz w:val="24"/>
                <w:szCs w:val="24"/>
              </w:rPr>
              <w:t>突发环境事件应急预案的制订、修订，建立和完善突发环境事件预防和预警体系；建立环境应急专家组，加强环境应急能力与机制建设；指导和协助街道、乡镇、企事业单位做好突发环境事件应对工作，会同有关部门共同编制修订突发环境事件应急预案；负责12369接入的信息报告处理工作。</w:t>
            </w:r>
          </w:p>
        </w:tc>
      </w:tr>
      <w:tr w14:paraId="39E5F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50277E4F">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lang w:val="en-US" w:eastAsia="zh-CN"/>
              </w:rPr>
              <w:t>区委</w:t>
            </w:r>
            <w:r>
              <w:rPr>
                <w:rFonts w:hint="eastAsia" w:ascii="仿宋_GB2312" w:hAnsi="仿宋_GB2312" w:eastAsia="仿宋_GB2312" w:cs="仿宋_GB2312"/>
                <w:snapToGrid w:val="0"/>
                <w:color w:val="auto"/>
                <w:kern w:val="0"/>
                <w:sz w:val="21"/>
                <w:szCs w:val="21"/>
              </w:rPr>
              <w:t>宣传部</w:t>
            </w:r>
          </w:p>
        </w:tc>
        <w:tc>
          <w:tcPr>
            <w:tcW w:w="4171" w:type="pct"/>
            <w:vAlign w:val="center"/>
          </w:tcPr>
          <w:p w14:paraId="57E15089">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将生态环境保护作为实施社会宣传教育的重要内容；负责组织协调突发环境事件的新闻发布，收集分析各界舆情和社会公众动态，加强媒体、电信和互联网管理，正确引导舆论，协调相关部门对事件现场媒体活动进行管理、指导；</w:t>
            </w:r>
          </w:p>
        </w:tc>
      </w:tr>
      <w:tr w14:paraId="482CD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41DA599F">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人武部</w:t>
            </w:r>
          </w:p>
        </w:tc>
        <w:tc>
          <w:tcPr>
            <w:tcW w:w="4171" w:type="pct"/>
            <w:vAlign w:val="center"/>
          </w:tcPr>
          <w:p w14:paraId="09965952">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对影响范围大或严重的突发环境事件的应急响应工作进行支援支持；协助公安局维护应急期间的社会治安秩序。</w:t>
            </w:r>
          </w:p>
        </w:tc>
      </w:tr>
      <w:tr w14:paraId="3DD99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7D26993">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公安局</w:t>
            </w:r>
          </w:p>
        </w:tc>
        <w:tc>
          <w:tcPr>
            <w:tcW w:w="4171" w:type="pct"/>
            <w:vAlign w:val="center"/>
          </w:tcPr>
          <w:p w14:paraId="39D88924">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突发环境事件的抢险救援，落实应急处置的治安、保卫、交通管制和其他措施；负责查处导致突发环境事件的违法犯罪行为；负责严厉打击借机传播谣言制造社会恐慌、哄抢物资等违法犯罪行为；协助有关部门做好受影响人员与涉事单位矛盾纠纷化解工作，防止出现群体性事件，维护社会稳定；对发生的群体性事件，组织专业力量稳妥处置；参与突发环境事件的应急处置和调查；负责110指挥中心接入的信息报告处理工作。</w:t>
            </w:r>
          </w:p>
        </w:tc>
      </w:tr>
      <w:tr w14:paraId="61A78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CADB417">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消防救援大队</w:t>
            </w:r>
          </w:p>
        </w:tc>
        <w:tc>
          <w:tcPr>
            <w:tcW w:w="4171" w:type="pct"/>
            <w:vAlign w:val="center"/>
          </w:tcPr>
          <w:p w14:paraId="6AE9096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负责突发环境事件的抢险救援；负责组织或参与火灾事故调查处理工作；负责119指挥中心接入的信息报告处理工作。</w:t>
            </w:r>
          </w:p>
        </w:tc>
      </w:tr>
      <w:tr w14:paraId="0C744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370" w:hRule="atLeast"/>
          <w:jc w:val="center"/>
        </w:trPr>
        <w:tc>
          <w:tcPr>
            <w:tcW w:w="828" w:type="pct"/>
            <w:vAlign w:val="center"/>
          </w:tcPr>
          <w:p w14:paraId="7CA1496E">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农业农村</w:t>
            </w:r>
            <w:r>
              <w:rPr>
                <w:rFonts w:hint="eastAsia" w:ascii="仿宋_GB2312" w:hAnsi="仿宋_GB2312" w:eastAsia="仿宋_GB2312" w:cs="仿宋_GB2312"/>
                <w:snapToGrid w:val="0"/>
                <w:color w:val="auto"/>
                <w:kern w:val="0"/>
                <w:sz w:val="21"/>
                <w:szCs w:val="21"/>
                <w:lang w:val="en-US" w:eastAsia="zh-CN"/>
              </w:rPr>
              <w:t>水利</w:t>
            </w:r>
            <w:r>
              <w:rPr>
                <w:rFonts w:hint="eastAsia" w:ascii="仿宋_GB2312" w:hAnsi="仿宋_GB2312" w:eastAsia="仿宋_GB2312" w:cs="仿宋_GB2312"/>
                <w:snapToGrid w:val="0"/>
                <w:color w:val="auto"/>
                <w:kern w:val="0"/>
                <w:sz w:val="21"/>
                <w:szCs w:val="21"/>
              </w:rPr>
              <w:t>局</w:t>
            </w:r>
          </w:p>
        </w:tc>
        <w:tc>
          <w:tcPr>
            <w:tcW w:w="4171" w:type="pct"/>
            <w:vAlign w:val="center"/>
          </w:tcPr>
          <w:p w14:paraId="272974A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畜禽养殖、农药、化肥以及农村面源造成突发环境事件的应急处置和调查。负责监督和指导饮用水供水安全保障工作；参与江河湖库水体污染突发环境事件应急处置和调查，会同生态环境局制定受污染水体疏导或截流方案；负责所辖江河、湖塘水体污染事件的水量监测、水功能区水质监测，协助提供水体污染事件应急处置所需的水利、水文等有关信息资料；负责制定饮用水紧急供水方案并协调实施。会同水务公司负责相关饮用水突发环境事件时城市供水供气系统应急处置及应急供水方案的制定并组织实施，确保群众用水安全供给。负责指导供水单位的应急处置工作，组织供水单位进行应急监测，落实停止取水、启动深度处理设施和切换备用水源等应急工作安排。</w:t>
            </w:r>
          </w:p>
        </w:tc>
      </w:tr>
      <w:tr w14:paraId="431BC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818" w:hRule="atLeast"/>
          <w:jc w:val="center"/>
        </w:trPr>
        <w:tc>
          <w:tcPr>
            <w:tcW w:w="828" w:type="pct"/>
            <w:vAlign w:val="center"/>
          </w:tcPr>
          <w:p w14:paraId="6A54EF92">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卫健委</w:t>
            </w:r>
          </w:p>
        </w:tc>
        <w:tc>
          <w:tcPr>
            <w:tcW w:w="4171" w:type="pct"/>
            <w:vAlign w:val="center"/>
          </w:tcPr>
          <w:p w14:paraId="014BCA39">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参与医疗污水、医疗废物造成突发环境事件的应急处置和调查；负责协调做好全</w:t>
            </w:r>
            <w:r>
              <w:rPr>
                <w:rFonts w:hint="eastAsia" w:ascii="仿宋_GB2312" w:hAnsi="仿宋_GB2312" w:eastAsia="仿宋_GB2312" w:cs="仿宋_GB2312"/>
                <w:color w:val="auto"/>
                <w:kern w:val="0"/>
                <w:sz w:val="24"/>
                <w:szCs w:val="24"/>
                <w:lang w:val="en-US" w:eastAsia="zh-CN"/>
              </w:rPr>
              <w:t>区</w:t>
            </w:r>
            <w:r>
              <w:rPr>
                <w:rFonts w:hint="eastAsia" w:ascii="仿宋_GB2312" w:hAnsi="仿宋_GB2312" w:eastAsia="仿宋_GB2312" w:cs="仿宋_GB2312"/>
                <w:color w:val="auto"/>
                <w:kern w:val="0"/>
                <w:sz w:val="24"/>
                <w:szCs w:val="24"/>
              </w:rPr>
              <w:t>自来水管网末梢水水质卫生日常管理；组织医疗机构实施医疗救护和卫生监测、防疫工作，并及时为全</w:t>
            </w:r>
            <w:r>
              <w:rPr>
                <w:rFonts w:hint="eastAsia" w:ascii="仿宋_GB2312" w:hAnsi="仿宋_GB2312" w:eastAsia="仿宋_GB2312" w:cs="仿宋_GB2312"/>
                <w:color w:val="auto"/>
                <w:kern w:val="0"/>
                <w:sz w:val="24"/>
                <w:szCs w:val="24"/>
                <w:lang w:val="en-US" w:eastAsia="zh-CN"/>
              </w:rPr>
              <w:t>区</w:t>
            </w:r>
            <w:r>
              <w:rPr>
                <w:rFonts w:hint="eastAsia" w:ascii="仿宋_GB2312" w:hAnsi="仿宋_GB2312" w:eastAsia="仿宋_GB2312" w:cs="仿宋_GB2312"/>
                <w:color w:val="auto"/>
                <w:kern w:val="0"/>
                <w:sz w:val="24"/>
                <w:szCs w:val="24"/>
              </w:rPr>
              <w:t>医疗机构提供技术支持；参与突发环境事件应急医疗卫生救援工作；配合做好事故可能危及区域内饮用水水源的卫生监测；根据实际需要，组织专业人员开展心理疏导和心理危机干预工作；负责协调对接</w:t>
            </w:r>
            <w:r>
              <w:rPr>
                <w:rFonts w:hint="eastAsia" w:ascii="仿宋_GB2312" w:hAnsi="仿宋_GB2312" w:eastAsia="仿宋_GB2312" w:cs="仿宋_GB2312"/>
                <w:color w:val="auto"/>
                <w:kern w:val="0"/>
                <w:sz w:val="24"/>
                <w:szCs w:val="24"/>
                <w:lang w:val="en-US" w:eastAsia="zh-CN"/>
              </w:rPr>
              <w:t>景德镇</w:t>
            </w:r>
            <w:r>
              <w:rPr>
                <w:rFonts w:hint="eastAsia" w:ascii="仿宋_GB2312" w:hAnsi="仿宋_GB2312" w:eastAsia="仿宋_GB2312" w:cs="仿宋_GB2312"/>
                <w:color w:val="auto"/>
                <w:kern w:val="0"/>
                <w:sz w:val="24"/>
                <w:szCs w:val="24"/>
              </w:rPr>
              <w:t>市120急救中心。</w:t>
            </w:r>
          </w:p>
        </w:tc>
      </w:tr>
      <w:tr w14:paraId="4EFDA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819" w:hRule="atLeast"/>
          <w:jc w:val="center"/>
        </w:trPr>
        <w:tc>
          <w:tcPr>
            <w:tcW w:w="828" w:type="pct"/>
            <w:vAlign w:val="center"/>
          </w:tcPr>
          <w:p w14:paraId="62FF603D">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住建局</w:t>
            </w:r>
          </w:p>
        </w:tc>
        <w:tc>
          <w:tcPr>
            <w:tcW w:w="4171" w:type="pct"/>
            <w:vAlign w:val="center"/>
          </w:tcPr>
          <w:p w14:paraId="2581A1FA">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指导涉及城市燃气设施的应急救援并提供技术支持；会同燃气公司负责相关燃气突发环境事件时城市供气系统应急处置及应急供气方案的制定并组织实施，确保群众用气安全供给。负责指导燃气公司的应急处置工作，组织燃气公司进行应急监测，落实停止供气、启动深度处理设施和切换备用气源等应急工作安排。</w:t>
            </w:r>
          </w:p>
        </w:tc>
      </w:tr>
      <w:tr w14:paraId="1921A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0166380">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交警大队</w:t>
            </w:r>
          </w:p>
        </w:tc>
        <w:tc>
          <w:tcPr>
            <w:tcW w:w="4171" w:type="pct"/>
            <w:vAlign w:val="center"/>
          </w:tcPr>
          <w:p w14:paraId="27B39771">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参与交通事故次生的突发环境事件的应急处置工作及事后调查；事故发生后及时启用道路桥梁应急工程设施，并负责保障应急物资运输车辆快速通行。</w:t>
            </w:r>
          </w:p>
        </w:tc>
      </w:tr>
      <w:tr w14:paraId="5E58D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898EAD4">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工信局</w:t>
            </w:r>
          </w:p>
        </w:tc>
        <w:tc>
          <w:tcPr>
            <w:tcW w:w="4171" w:type="pct"/>
            <w:vAlign w:val="center"/>
          </w:tcPr>
          <w:p w14:paraId="67885D5E">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负责组织协调突发环境事件救援防护装备、监测设备和应急处置物资的生产供应保障工作；协调应急救援药品的组织供应。</w:t>
            </w:r>
          </w:p>
        </w:tc>
      </w:tr>
      <w:tr w14:paraId="75719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1EB5083">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发改委</w:t>
            </w:r>
          </w:p>
        </w:tc>
        <w:tc>
          <w:tcPr>
            <w:tcW w:w="4171" w:type="pct"/>
            <w:vAlign w:val="center"/>
          </w:tcPr>
          <w:p w14:paraId="6965CDB0">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负责突发环境事件应急物资收储、轮换和日常管理。参与突发环境事件善后恢复重建工作。</w:t>
            </w:r>
          </w:p>
        </w:tc>
      </w:tr>
      <w:tr w14:paraId="3AFD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A18E47D">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财政局</w:t>
            </w:r>
          </w:p>
        </w:tc>
        <w:tc>
          <w:tcPr>
            <w:tcW w:w="4171" w:type="pct"/>
            <w:vAlign w:val="center"/>
          </w:tcPr>
          <w:p w14:paraId="0D4AEAA0">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在财政预算中统筹安排资金，保障突发环境事件应急处置所需经费。根据有关部门申报、审核的材料并经</w:t>
            </w:r>
            <w:r>
              <w:rPr>
                <w:rFonts w:hint="eastAsia" w:ascii="仿宋_GB2312" w:hAnsi="仿宋_GB2312" w:eastAsia="仿宋_GB2312" w:cs="仿宋_GB2312"/>
                <w:color w:val="auto"/>
                <w:kern w:val="0"/>
                <w:sz w:val="24"/>
                <w:szCs w:val="24"/>
                <w:lang w:val="en-US" w:eastAsia="zh-CN"/>
              </w:rPr>
              <w:t>昌江区人民</w:t>
            </w:r>
            <w:r>
              <w:rPr>
                <w:rFonts w:hint="eastAsia" w:ascii="仿宋_GB2312" w:hAnsi="仿宋_GB2312" w:eastAsia="仿宋_GB2312" w:cs="仿宋_GB2312"/>
                <w:color w:val="auto"/>
                <w:kern w:val="0"/>
                <w:sz w:val="24"/>
                <w:szCs w:val="24"/>
              </w:rPr>
              <w:t>政府同意后，及时筹集和拨付突发环境事件应急处置有关资金。</w:t>
            </w:r>
          </w:p>
        </w:tc>
      </w:tr>
      <w:tr w14:paraId="52C39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125062E">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lang w:val="en-US" w:eastAsia="zh-CN"/>
              </w:rPr>
              <w:t>城市管理</w:t>
            </w:r>
            <w:r>
              <w:rPr>
                <w:rFonts w:hint="eastAsia" w:ascii="仿宋_GB2312" w:hAnsi="仿宋_GB2312" w:eastAsia="仿宋_GB2312" w:cs="仿宋_GB2312"/>
                <w:snapToGrid w:val="0"/>
                <w:color w:val="auto"/>
                <w:kern w:val="0"/>
                <w:sz w:val="21"/>
                <w:szCs w:val="21"/>
              </w:rPr>
              <w:t>局</w:t>
            </w:r>
          </w:p>
        </w:tc>
        <w:tc>
          <w:tcPr>
            <w:tcW w:w="4171" w:type="pct"/>
            <w:vAlign w:val="center"/>
          </w:tcPr>
          <w:p w14:paraId="006A5A94">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负责城市环境基础设施的正常运行，为环境应急救援提供支持；负</w:t>
            </w:r>
            <w:r>
              <w:rPr>
                <w:rFonts w:hint="eastAsia" w:ascii="仿宋_GB2312" w:hAnsi="仿宋_GB2312" w:eastAsia="仿宋_GB2312" w:cs="仿宋_GB2312"/>
                <w:color w:val="auto"/>
                <w:kern w:val="0"/>
                <w:sz w:val="24"/>
                <w:szCs w:val="24"/>
                <w:lang w:eastAsia="zh-CN"/>
              </w:rPr>
              <w:t>责区</w:t>
            </w:r>
            <w:r>
              <w:rPr>
                <w:rFonts w:hint="eastAsia" w:ascii="仿宋_GB2312" w:hAnsi="仿宋_GB2312" w:eastAsia="仿宋_GB2312" w:cs="仿宋_GB2312"/>
                <w:color w:val="auto"/>
                <w:kern w:val="0"/>
                <w:sz w:val="24"/>
                <w:szCs w:val="24"/>
              </w:rPr>
              <w:t>域内垃圾集中处理设施事故的应急处置和调查，参与由此导致的突发环境事件的应急处置和调查；负责组织垃圾集中处理单位制定应急预案，并监督实施；负责自身职责范围内的行政执法工作，保障突发环境事件的应急处置。</w:t>
            </w:r>
          </w:p>
        </w:tc>
      </w:tr>
      <w:tr w14:paraId="69E5C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C941F2D">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民政局</w:t>
            </w:r>
          </w:p>
        </w:tc>
        <w:tc>
          <w:tcPr>
            <w:tcW w:w="4171" w:type="pct"/>
            <w:vAlign w:val="center"/>
          </w:tcPr>
          <w:p w14:paraId="245E2F75">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参与突发环境事件的灾后恢复重建工作；负责协调做好突发环境事件中死亡人员的遗体火化处理工作。</w:t>
            </w:r>
          </w:p>
        </w:tc>
      </w:tr>
      <w:tr w14:paraId="5159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C1321DF">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lang w:val="en-US" w:eastAsia="zh-CN"/>
              </w:rPr>
            </w:pPr>
            <w:r>
              <w:rPr>
                <w:rFonts w:hint="eastAsia" w:ascii="仿宋_GB2312" w:hAnsi="仿宋_GB2312" w:eastAsia="仿宋_GB2312" w:cs="仿宋_GB2312"/>
                <w:snapToGrid w:val="0"/>
                <w:color w:val="auto"/>
                <w:kern w:val="0"/>
                <w:sz w:val="21"/>
                <w:szCs w:val="21"/>
                <w:lang w:val="en-US" w:eastAsia="zh-CN"/>
              </w:rPr>
              <w:t>景德镇市</w:t>
            </w:r>
            <w:r>
              <w:rPr>
                <w:rFonts w:hint="eastAsia" w:ascii="仿宋_GB2312" w:hAnsi="仿宋_GB2312" w:eastAsia="仿宋_GB2312" w:cs="仿宋_GB2312"/>
                <w:snapToGrid w:val="0"/>
                <w:color w:val="auto"/>
                <w:kern w:val="0"/>
                <w:sz w:val="21"/>
                <w:szCs w:val="21"/>
              </w:rPr>
              <w:t>自然资源</w:t>
            </w:r>
            <w:r>
              <w:rPr>
                <w:rFonts w:hint="eastAsia" w:ascii="仿宋_GB2312" w:hAnsi="仿宋_GB2312" w:eastAsia="仿宋_GB2312" w:cs="仿宋_GB2312"/>
                <w:snapToGrid w:val="0"/>
                <w:color w:val="auto"/>
                <w:kern w:val="0"/>
                <w:sz w:val="21"/>
                <w:szCs w:val="21"/>
                <w:lang w:val="en-US" w:eastAsia="zh-CN"/>
              </w:rPr>
              <w:t>和规划</w:t>
            </w:r>
            <w:r>
              <w:rPr>
                <w:rFonts w:hint="eastAsia" w:ascii="仿宋_GB2312" w:hAnsi="仿宋_GB2312" w:eastAsia="仿宋_GB2312" w:cs="仿宋_GB2312"/>
                <w:snapToGrid w:val="0"/>
                <w:color w:val="auto"/>
                <w:kern w:val="0"/>
                <w:sz w:val="21"/>
                <w:szCs w:val="21"/>
              </w:rPr>
              <w:t>局</w:t>
            </w:r>
            <w:r>
              <w:rPr>
                <w:rFonts w:hint="eastAsia" w:ascii="仿宋_GB2312" w:hAnsi="仿宋_GB2312" w:eastAsia="仿宋_GB2312" w:cs="仿宋_GB2312"/>
                <w:snapToGrid w:val="0"/>
                <w:color w:val="auto"/>
                <w:kern w:val="0"/>
                <w:sz w:val="21"/>
                <w:szCs w:val="21"/>
                <w:lang w:val="en-US" w:eastAsia="zh-CN"/>
              </w:rPr>
              <w:t>昌江分局</w:t>
            </w:r>
          </w:p>
        </w:tc>
        <w:tc>
          <w:tcPr>
            <w:tcW w:w="4171" w:type="pct"/>
            <w:vAlign w:val="center"/>
          </w:tcPr>
          <w:p w14:paraId="560FB1FC">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参与矿山生产安全事故次生的突发环境事件的应急处置工作及事后调查；规划、建设和管理适用于突发环境事件应急处置的场地</w:t>
            </w:r>
          </w:p>
        </w:tc>
      </w:tr>
      <w:tr w14:paraId="3B748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BC87350">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市场监督管理局</w:t>
            </w:r>
          </w:p>
        </w:tc>
        <w:tc>
          <w:tcPr>
            <w:tcW w:w="4171" w:type="pct"/>
            <w:vAlign w:val="center"/>
          </w:tcPr>
          <w:p w14:paraId="7B29610E">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对商品流通领域突发环境事件的应急处置和调查；依法参与维护突发环境事件应急期间市场秩序；负责抢险、救援过程中食品及相关产品的安全综合监督，禁止受污染的食品、饮用水等的生产、加工、流通和食用，防范因突发环境事件造成集体中毒等；参与涉及特种设备突发环境事件的应急处置和调查。</w:t>
            </w:r>
          </w:p>
        </w:tc>
      </w:tr>
      <w:tr w14:paraId="0311F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07FEE337">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文化广电新闻出版旅游局和政府新闻办</w:t>
            </w:r>
          </w:p>
        </w:tc>
        <w:tc>
          <w:tcPr>
            <w:tcW w:w="4171" w:type="pct"/>
            <w:vAlign w:val="center"/>
          </w:tcPr>
          <w:p w14:paraId="5AB66133">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加强广播、电视和报纸、期刊等出版物管理，做好突发环境事件新闻报道和舆论引导；负责突发环境事件发生时协调旅游团队的疏导工作；负责星级酒店的应急动员工作；协助做好相关宣传及后勤保障工作。</w:t>
            </w:r>
          </w:p>
        </w:tc>
      </w:tr>
      <w:tr w14:paraId="508CB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1F6E84D3">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lang w:val="en-US" w:eastAsia="zh-CN"/>
              </w:rPr>
              <w:t>昌江区</w:t>
            </w:r>
            <w:r>
              <w:rPr>
                <w:rFonts w:hint="eastAsia" w:ascii="仿宋_GB2312" w:hAnsi="仿宋_GB2312" w:eastAsia="仿宋_GB2312" w:cs="仿宋_GB2312"/>
                <w:snapToGrid w:val="0"/>
                <w:color w:val="auto"/>
                <w:kern w:val="0"/>
                <w:sz w:val="21"/>
                <w:szCs w:val="21"/>
              </w:rPr>
              <w:t>供水公司</w:t>
            </w:r>
          </w:p>
        </w:tc>
        <w:tc>
          <w:tcPr>
            <w:tcW w:w="4171" w:type="pct"/>
            <w:vAlign w:val="center"/>
          </w:tcPr>
          <w:p w14:paraId="0789DDB4">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负责组织协调在供水领域突发环境事件的应急处置；负责饮用水源取水口水质监测工作；负责具体的应急供水保障及事后用水恢复工作。</w:t>
            </w:r>
          </w:p>
        </w:tc>
      </w:tr>
      <w:tr w14:paraId="1DC01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73C40955">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各街道办事处、乡镇政府、园区管委会</w:t>
            </w:r>
          </w:p>
        </w:tc>
        <w:tc>
          <w:tcPr>
            <w:tcW w:w="4171" w:type="pct"/>
            <w:vAlign w:val="center"/>
          </w:tcPr>
          <w:p w14:paraId="3F865A7F">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按照应急指挥部统一领导，及时开展辖区内突发环境事件应急工作。负责先期收集当地各种突发事件信息，汇总后传送至协调办公室；负责先期现场应急处置工作，待环境应急指挥部介入后移交处置权，并汇总先期处置情况；参与事发地及周边地区群众的疏散与安置，安排好食宿，稳定好情绪，组织周边企业共同参与应急处置和救援工作；参与突发环境事件应急处置和调查工作、善后恢复重建工作。</w:t>
            </w:r>
          </w:p>
        </w:tc>
      </w:tr>
      <w:tr w14:paraId="5840F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8AFBE29">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通</w:t>
            </w:r>
            <w:r>
              <w:rPr>
                <w:rFonts w:hint="eastAsia" w:ascii="仿宋_GB2312" w:hAnsi="仿宋_GB2312" w:eastAsia="仿宋_GB2312" w:cs="仿宋_GB2312"/>
                <w:snapToGrid w:val="0"/>
                <w:color w:val="auto"/>
                <w:kern w:val="0"/>
                <w:sz w:val="21"/>
                <w:szCs w:val="21"/>
                <w:lang w:val="en-US" w:eastAsia="zh-CN"/>
              </w:rPr>
              <w:t>信</w:t>
            </w:r>
            <w:r>
              <w:rPr>
                <w:rFonts w:hint="eastAsia" w:ascii="仿宋_GB2312" w:hAnsi="仿宋_GB2312" w:eastAsia="仿宋_GB2312" w:cs="仿宋_GB2312"/>
                <w:snapToGrid w:val="0"/>
                <w:color w:val="auto"/>
                <w:kern w:val="0"/>
                <w:sz w:val="21"/>
                <w:szCs w:val="21"/>
              </w:rPr>
              <w:t>保障部门（包括移动、电信、联通等）</w:t>
            </w:r>
          </w:p>
        </w:tc>
        <w:tc>
          <w:tcPr>
            <w:tcW w:w="4171" w:type="pct"/>
            <w:vAlign w:val="center"/>
          </w:tcPr>
          <w:p w14:paraId="5332E9FF">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负责应急期间的通信保障。</w:t>
            </w:r>
          </w:p>
        </w:tc>
      </w:tr>
      <w:tr w14:paraId="231E6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6E61B636">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供电公司</w:t>
            </w:r>
          </w:p>
        </w:tc>
        <w:tc>
          <w:tcPr>
            <w:tcW w:w="4171" w:type="pct"/>
            <w:vAlign w:val="center"/>
          </w:tcPr>
          <w:p w14:paraId="1A57791E">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负责做好应急处置供电保障调度工作。</w:t>
            </w:r>
          </w:p>
        </w:tc>
      </w:tr>
      <w:tr w14:paraId="42985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39A974A8">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燃气公司</w:t>
            </w:r>
          </w:p>
        </w:tc>
        <w:tc>
          <w:tcPr>
            <w:tcW w:w="4171" w:type="pct"/>
            <w:vAlign w:val="center"/>
          </w:tcPr>
          <w:p w14:paraId="22623D4D">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与辖区内城市燃气设施事故的应急处置和调查，参与由此导致的突发环境事件的应急处置和调查；负责组织编制城市燃气设施管理相关应急预案；协调燃气设施应急处置所需的工程机械设备、人员及相关工程技术支持。</w:t>
            </w:r>
          </w:p>
        </w:tc>
      </w:tr>
      <w:tr w14:paraId="17F73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jc w:val="center"/>
        </w:trPr>
        <w:tc>
          <w:tcPr>
            <w:tcW w:w="828" w:type="pct"/>
            <w:vAlign w:val="center"/>
          </w:tcPr>
          <w:p w14:paraId="21C87EBD">
            <w:pPr>
              <w:widowControl/>
              <w:adjustRightInd w:val="0"/>
              <w:snapToGrid w:val="0"/>
              <w:spacing w:line="240" w:lineRule="auto"/>
              <w:ind w:firstLine="0" w:firstLineChars="0"/>
              <w:jc w:val="center"/>
              <w:rPr>
                <w:rFonts w:hint="eastAsia" w:ascii="仿宋_GB2312" w:hAnsi="仿宋_GB2312" w:eastAsia="仿宋_GB2312" w:cs="仿宋_GB2312"/>
                <w:snapToGrid w:val="0"/>
                <w:color w:val="auto"/>
                <w:kern w:val="0"/>
                <w:sz w:val="21"/>
                <w:szCs w:val="21"/>
              </w:rPr>
            </w:pPr>
            <w:r>
              <w:rPr>
                <w:rFonts w:hint="eastAsia" w:ascii="仿宋_GB2312" w:hAnsi="仿宋_GB2312" w:eastAsia="仿宋_GB2312" w:cs="仿宋_GB2312"/>
                <w:snapToGrid w:val="0"/>
                <w:color w:val="auto"/>
                <w:kern w:val="0"/>
                <w:sz w:val="21"/>
                <w:szCs w:val="21"/>
              </w:rPr>
              <w:t>其他成员单位</w:t>
            </w:r>
          </w:p>
        </w:tc>
        <w:tc>
          <w:tcPr>
            <w:tcW w:w="4171" w:type="pct"/>
            <w:vAlign w:val="center"/>
          </w:tcPr>
          <w:p w14:paraId="1C9E764E">
            <w:pPr>
              <w:keepNext w:val="0"/>
              <w:keepLines w:val="0"/>
              <w:pageBreakBefore w:val="0"/>
              <w:widowControl/>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按照应急处置的需要，依据《</w:t>
            </w:r>
            <w:r>
              <w:rPr>
                <w:rFonts w:hint="eastAsia" w:ascii="仿宋_GB2312" w:hAnsi="仿宋_GB2312" w:eastAsia="仿宋_GB2312" w:cs="仿宋_GB2312"/>
                <w:color w:val="auto"/>
                <w:kern w:val="0"/>
                <w:sz w:val="24"/>
                <w:szCs w:val="24"/>
                <w:lang w:val="en-US" w:eastAsia="zh-CN"/>
              </w:rPr>
              <w:t>昌江区</w:t>
            </w:r>
            <w:r>
              <w:rPr>
                <w:rFonts w:hint="eastAsia" w:ascii="仿宋_GB2312" w:hAnsi="仿宋_GB2312" w:eastAsia="仿宋_GB2312" w:cs="仿宋_GB2312"/>
                <w:color w:val="auto"/>
                <w:kern w:val="0"/>
                <w:sz w:val="24"/>
                <w:szCs w:val="24"/>
              </w:rPr>
              <w:t>突发环境事件应急预案》规定和部门职责履行各自责任。</w:t>
            </w:r>
          </w:p>
        </w:tc>
      </w:tr>
    </w:tbl>
    <w:p w14:paraId="68E2DDCD">
      <w:pPr>
        <w:widowControl/>
        <w:ind w:firstLine="0" w:firstLineChars="0"/>
        <w:rPr>
          <w:rFonts w:hint="default" w:ascii="Times New Roman" w:hAnsi="Times New Roman" w:cs="Times New Roman"/>
          <w:bCs/>
          <w:color w:val="auto"/>
          <w:kern w:val="0"/>
        </w:rPr>
      </w:pPr>
    </w:p>
    <w:p w14:paraId="27FAA29D">
      <w:pPr>
        <w:ind w:firstLine="480"/>
        <w:rPr>
          <w:rFonts w:hint="default" w:ascii="Times New Roman" w:hAnsi="Times New Roman" w:cs="Times New Roman"/>
          <w:bCs/>
          <w:color w:val="auto"/>
        </w:rPr>
        <w:sectPr>
          <w:pgSz w:w="16838" w:h="11906" w:orient="landscape"/>
          <w:pgMar w:top="1803" w:right="1440" w:bottom="1800" w:left="1440" w:header="858" w:footer="992" w:gutter="0"/>
          <w:pgNumType w:fmt="decimal"/>
          <w:cols w:space="425" w:num="1"/>
          <w:docGrid w:type="lines" w:linePitch="326" w:charSpace="0"/>
        </w:sectPr>
      </w:pPr>
    </w:p>
    <w:p w14:paraId="2E4C3112">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Cs/>
          <w:snapToGrid w:val="0"/>
          <w:color w:val="auto"/>
          <w:spacing w:val="0"/>
          <w:kern w:val="0"/>
          <w:sz w:val="32"/>
          <w:szCs w:val="22"/>
        </w:rPr>
      </w:pPr>
      <w:bookmarkStart w:id="59" w:name="_Toc17789"/>
      <w:r>
        <w:rPr>
          <w:rFonts w:hint="default" w:ascii="楷体_GB2312" w:hAnsi="楷体_GB2312" w:eastAsia="楷体_GB2312" w:cs="楷体_GB2312"/>
          <w:bCs/>
          <w:snapToGrid w:val="0"/>
          <w:color w:val="auto"/>
          <w:spacing w:val="0"/>
          <w:kern w:val="0"/>
          <w:sz w:val="32"/>
          <w:szCs w:val="22"/>
        </w:rPr>
        <w:t>现场应急工作组</w:t>
      </w:r>
      <w:bookmarkEnd w:id="59"/>
    </w:p>
    <w:p w14:paraId="5A2F84C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现场应急指挥部负责突发环境事件现场应急处置与救援工作，确保发生突发环境事件以后，快速集结出动，科学合理应对，强化环保专业性。</w:t>
      </w:r>
    </w:p>
    <w:p w14:paraId="279E75D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指挥部下设专业应急救援队伍，由8个应急工作组：污染处置组、应急监测组、医疗救援组、应急保障组、新闻发布组、社会维稳组、调查评估组、应急专家组。各组均设置了组长及副组长，当组长不在时，由副组长自动接替相关工作，预案同时列明现场应急工作组职责及人员名单、专业方向和具体工作。</w:t>
      </w:r>
    </w:p>
    <w:p w14:paraId="012E4051">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eastAsia" w:ascii="仿宋_GB2312" w:hAnsi="仿宋_GB2312" w:eastAsia="仿宋_GB2312" w:cs="仿宋_GB2312"/>
          <w:b/>
          <w:color w:val="auto"/>
          <w:kern w:val="0"/>
          <w:sz w:val="32"/>
          <w:szCs w:val="32"/>
        </w:rPr>
      </w:pPr>
      <w:r>
        <w:rPr>
          <w:rFonts w:hint="eastAsia" w:ascii="仿宋_GB2312" w:hAnsi="仿宋_GB2312" w:eastAsia="仿宋_GB2312" w:cs="仿宋_GB2312"/>
          <w:b/>
          <w:color w:val="auto"/>
          <w:kern w:val="0"/>
          <w:sz w:val="32"/>
          <w:szCs w:val="32"/>
        </w:rPr>
        <w:t>（1）污染处置组</w:t>
      </w:r>
    </w:p>
    <w:p w14:paraId="5418203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牵头单位：生态环境局</w:t>
      </w:r>
    </w:p>
    <w:p w14:paraId="2414595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协助单位：应急管理局、公安局、自然资源</w:t>
      </w:r>
      <w:r>
        <w:rPr>
          <w:rFonts w:hint="eastAsia" w:ascii="仿宋_GB2312" w:hAnsi="仿宋_GB2312" w:eastAsia="仿宋_GB2312" w:cs="仿宋_GB2312"/>
          <w:color w:val="auto"/>
          <w:kern w:val="0"/>
          <w:sz w:val="32"/>
          <w:szCs w:val="32"/>
          <w:lang w:val="en-US" w:eastAsia="zh-CN"/>
        </w:rPr>
        <w:t>和规划</w:t>
      </w:r>
      <w:r>
        <w:rPr>
          <w:rFonts w:hint="default" w:ascii="仿宋_GB2312" w:hAnsi="仿宋_GB2312" w:eastAsia="仿宋_GB2312" w:cs="仿宋_GB2312"/>
          <w:color w:val="auto"/>
          <w:kern w:val="0"/>
          <w:sz w:val="32"/>
          <w:szCs w:val="32"/>
        </w:rPr>
        <w:t>局、消防大队、交警大队、农业农村水利局、</w:t>
      </w:r>
      <w:r>
        <w:rPr>
          <w:rFonts w:hint="eastAsia" w:ascii="仿宋_GB2312" w:hAnsi="仿宋_GB2312" w:eastAsia="仿宋_GB2312" w:cs="仿宋_GB2312"/>
          <w:color w:val="auto"/>
          <w:kern w:val="0"/>
          <w:sz w:val="32"/>
          <w:szCs w:val="32"/>
          <w:lang w:val="en-US" w:eastAsia="zh-CN"/>
        </w:rPr>
        <w:t>城市管理</w:t>
      </w:r>
      <w:r>
        <w:rPr>
          <w:rFonts w:hint="default" w:ascii="仿宋_GB2312" w:hAnsi="仿宋_GB2312" w:eastAsia="仿宋_GB2312" w:cs="仿宋_GB2312"/>
          <w:color w:val="auto"/>
          <w:kern w:val="0"/>
          <w:sz w:val="32"/>
          <w:szCs w:val="32"/>
        </w:rPr>
        <w:t>局、人武部、气象局、各街道办事处、各乡镇政府等部门相关人员。</w:t>
      </w:r>
    </w:p>
    <w:p w14:paraId="0459BC4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4F555B0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①到达现场后，根据现场情况，协调配合有关单位、部门救援队伍合理控制污染源，切断污染扩散通道，清除污染物，防止和减轻污染事态恶化。</w:t>
      </w:r>
    </w:p>
    <w:p w14:paraId="302B39C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②根据现场调查和处置情况及污染事故发展的动态，决定是否需要调救援的人员、设备，及时将现场情况向应急指挥部报告。</w:t>
      </w:r>
    </w:p>
    <w:p w14:paraId="60DC845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③结合风险物质的危害性，判定环境污染的危害范围，提出区域隔离、人员撤离及其他防护建议，协助有关责任单位做好人员撤离、隔离和警戒工作。</w:t>
      </w:r>
    </w:p>
    <w:p w14:paraId="34627CC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④对污染源展开现场勘查，依法进行取证，初步确定污染情况及事故责任人。</w:t>
      </w:r>
    </w:p>
    <w:p w14:paraId="7EE6324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⑤对污染状况进行跟踪调查，及时向应急指挥部报告污染扩散情况和事故处理情况，并根据事故现场发展情况和应急指挥部指示及时调整对策，直至污染事故警报解除。</w:t>
      </w:r>
    </w:p>
    <w:p w14:paraId="429B453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⑥组织落实相关企业停、限产措施；</w:t>
      </w:r>
    </w:p>
    <w:p w14:paraId="1E1DC2E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⑦协调部队等有关力量参与应急处置。</w:t>
      </w:r>
    </w:p>
    <w:p w14:paraId="781ABC40">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（2）应急监测组</w:t>
      </w:r>
    </w:p>
    <w:p w14:paraId="5CA0866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牵头单位：生态环境局</w:t>
      </w:r>
    </w:p>
    <w:p w14:paraId="1031829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协助单位：卫健委、农业农村</w:t>
      </w:r>
      <w:r>
        <w:rPr>
          <w:rFonts w:hint="eastAsia" w:ascii="仿宋_GB2312" w:hAnsi="仿宋_GB2312" w:eastAsia="仿宋_GB2312" w:cs="仿宋_GB2312"/>
          <w:color w:val="auto"/>
          <w:kern w:val="0"/>
          <w:sz w:val="32"/>
          <w:szCs w:val="32"/>
          <w:lang w:val="en-US" w:eastAsia="zh-CN"/>
        </w:rPr>
        <w:t>水利</w:t>
      </w:r>
      <w:r>
        <w:rPr>
          <w:rFonts w:hint="default" w:ascii="仿宋_GB2312" w:hAnsi="仿宋_GB2312" w:eastAsia="仿宋_GB2312" w:cs="仿宋_GB2312"/>
          <w:color w:val="auto"/>
          <w:kern w:val="0"/>
          <w:sz w:val="32"/>
          <w:szCs w:val="32"/>
        </w:rPr>
        <w:t>局、气象局、自然资源</w:t>
      </w:r>
      <w:r>
        <w:rPr>
          <w:rFonts w:hint="eastAsia" w:ascii="仿宋_GB2312" w:hAnsi="仿宋_GB2312" w:eastAsia="仿宋_GB2312" w:cs="仿宋_GB2312"/>
          <w:color w:val="auto"/>
          <w:kern w:val="0"/>
          <w:sz w:val="32"/>
          <w:szCs w:val="32"/>
          <w:lang w:val="en-US" w:eastAsia="zh-CN"/>
        </w:rPr>
        <w:t>和规划</w:t>
      </w:r>
      <w:r>
        <w:rPr>
          <w:rFonts w:hint="default" w:ascii="仿宋_GB2312" w:hAnsi="仿宋_GB2312" w:eastAsia="仿宋_GB2312" w:cs="仿宋_GB2312"/>
          <w:color w:val="auto"/>
          <w:kern w:val="0"/>
          <w:sz w:val="32"/>
          <w:szCs w:val="32"/>
        </w:rPr>
        <w:t>局、应急管理局、住建局、燃气公司、水务公司等部门相关人员。</w:t>
      </w:r>
    </w:p>
    <w:p w14:paraId="208903D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2763D32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①负责组织区域内突发环境事件应急监测。负责制定应急监测工作计划；建立应急监测技术支持系统；组织业务培训。组织开展对突发环境事件的污染物种类、性质以及当地气象、自然、社会环境状况等的调查。</w:t>
      </w:r>
    </w:p>
    <w:p w14:paraId="08D52C5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接到突发性环境污染事故通知后，组织实施应急监测，根据现场情况明确相应的应急监测方案及监测方法，确定污染物扩散范围，明确监测的布点和频次；做好大气、水体、土壤等应急监测及数据汇总分析，为突发环境事件应急决策提供依据。</w:t>
      </w:r>
    </w:p>
    <w:p w14:paraId="45CD7A8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③配合有关部门对污染状况进行跟踪调查，指导和监督污染物的收集、清理与处理以及受污染和破坏生态环境的恢复等。</w:t>
      </w:r>
    </w:p>
    <w:p w14:paraId="27A927C5">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（3）医疗救援组</w:t>
      </w:r>
    </w:p>
    <w:p w14:paraId="59683E0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牵头单位：卫健委</w:t>
      </w:r>
    </w:p>
    <w:p w14:paraId="618F07D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协助单位：公安局、</w:t>
      </w:r>
      <w:r>
        <w:rPr>
          <w:rFonts w:hint="eastAsia" w:ascii="仿宋_GB2312" w:hAnsi="仿宋_GB2312" w:eastAsia="仿宋_GB2312" w:cs="仿宋_GB2312"/>
          <w:color w:val="auto"/>
          <w:kern w:val="0"/>
          <w:sz w:val="32"/>
          <w:szCs w:val="32"/>
          <w:lang w:val="en-US" w:eastAsia="zh-CN"/>
        </w:rPr>
        <w:t>农业农村</w:t>
      </w:r>
      <w:r>
        <w:rPr>
          <w:rFonts w:hint="default" w:ascii="仿宋_GB2312" w:hAnsi="仿宋_GB2312" w:eastAsia="仿宋_GB2312" w:cs="仿宋_GB2312"/>
          <w:color w:val="auto"/>
          <w:kern w:val="0"/>
          <w:sz w:val="32"/>
          <w:szCs w:val="32"/>
        </w:rPr>
        <w:t>水利局、市场监管局、事发地的办事处或者政府等部门相关人员。</w:t>
      </w:r>
    </w:p>
    <w:p w14:paraId="365C9D8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65C678B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①负责组织、协调、指导开展在突发环境事件中受伤（中毒）人员现场应急医疗救援、转诊救治、洗消、卫生防疫、心理援助等紧急医学救援工作。</w:t>
      </w:r>
    </w:p>
    <w:p w14:paraId="3D51467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②负责协调、组派医疗卫生救援专家与应急队伍，调集医疗、防疫器械、药品，并提供医疗救助。</w:t>
      </w:r>
    </w:p>
    <w:p w14:paraId="3CE8AE1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③禁止受污染的食品、饮用水等的生产、加工、流通和食用，防范因突发环境事件造成集体中毒等。</w:t>
      </w:r>
    </w:p>
    <w:p w14:paraId="7A26230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④配合有关部门确定突发环境事件导致健康危害的性质及范围。</w:t>
      </w:r>
    </w:p>
    <w:p w14:paraId="40F0AB69">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（4）应急保障组</w:t>
      </w:r>
    </w:p>
    <w:p w14:paraId="49F1918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牵头单位：应急管理局</w:t>
      </w:r>
    </w:p>
    <w:p w14:paraId="42BD9F3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协助单位：工信局、发改委、住建局、财政局、自然资源</w:t>
      </w:r>
      <w:r>
        <w:rPr>
          <w:rFonts w:hint="eastAsia" w:ascii="仿宋_GB2312" w:hAnsi="仿宋_GB2312" w:eastAsia="仿宋_GB2312" w:cs="仿宋_GB2312"/>
          <w:color w:val="auto"/>
          <w:kern w:val="0"/>
          <w:sz w:val="32"/>
          <w:szCs w:val="32"/>
          <w:lang w:val="en-US" w:eastAsia="zh-CN"/>
        </w:rPr>
        <w:t>和规划</w:t>
      </w:r>
      <w:r>
        <w:rPr>
          <w:rFonts w:hint="default" w:ascii="仿宋_GB2312" w:hAnsi="仿宋_GB2312" w:eastAsia="仿宋_GB2312" w:cs="仿宋_GB2312"/>
          <w:color w:val="auto"/>
          <w:kern w:val="0"/>
          <w:sz w:val="32"/>
          <w:szCs w:val="32"/>
        </w:rPr>
        <w:t>局、生态环境局、卫健委、农业农村水利局、民政局、市场监管局、</w:t>
      </w:r>
      <w:r>
        <w:rPr>
          <w:rFonts w:hint="eastAsia" w:ascii="仿宋_GB2312" w:hAnsi="仿宋_GB2312" w:eastAsia="仿宋_GB2312" w:cs="仿宋_GB2312"/>
          <w:color w:val="auto"/>
          <w:kern w:val="0"/>
          <w:sz w:val="32"/>
          <w:szCs w:val="32"/>
          <w:lang w:val="en-US" w:eastAsia="zh-CN"/>
        </w:rPr>
        <w:t>城市管理</w:t>
      </w:r>
      <w:r>
        <w:rPr>
          <w:rFonts w:hint="default" w:ascii="仿宋_GB2312" w:hAnsi="仿宋_GB2312" w:eastAsia="仿宋_GB2312" w:cs="仿宋_GB2312"/>
          <w:color w:val="auto"/>
          <w:kern w:val="0"/>
          <w:sz w:val="32"/>
          <w:szCs w:val="32"/>
        </w:rPr>
        <w:t>局、水务公司、供电公司、电信公司、移动公司、联通公司、燃气公司，事发地的办事处或者政府等部门相关人员。</w:t>
      </w:r>
    </w:p>
    <w:p w14:paraId="140CCBD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6380570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①组织做好环境应急救援物资及临时安置重要物资的紧急生产、储备调拨和紧急配送工作，实施交通调度，提供电力、通信、燃气、饮用水保障，提供应急救援资金。</w:t>
      </w:r>
    </w:p>
    <w:p w14:paraId="4FBAF99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②及时组织调运重要生活必需品，组织受突发环境事件影响人员的转移、安置，以及临时基本生活救助，保障群众基本生活和市场供应。</w:t>
      </w:r>
    </w:p>
    <w:p w14:paraId="52465DB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③负责现场应急处置工作人员食宿等基本生活保障。</w:t>
      </w:r>
    </w:p>
    <w:p w14:paraId="5209DBB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④统筹规划应急物资储备点和应急避灾场所。</w:t>
      </w:r>
    </w:p>
    <w:p w14:paraId="3BFC7A0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⑤开展应急测绘。</w:t>
      </w:r>
    </w:p>
    <w:p w14:paraId="75D1ED59">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（5）新闻发布组</w:t>
      </w:r>
    </w:p>
    <w:p w14:paraId="3D40532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w:t>
      </w:r>
      <w:r>
        <w:rPr>
          <w:rFonts w:hint="eastAsia" w:ascii="仿宋_GB2312" w:hAnsi="仿宋_GB2312" w:eastAsia="仿宋_GB2312" w:cs="仿宋_GB2312"/>
          <w:color w:val="auto"/>
          <w:kern w:val="0"/>
          <w:sz w:val="32"/>
          <w:szCs w:val="32"/>
          <w:lang w:val="en-US" w:eastAsia="zh-CN"/>
        </w:rPr>
        <w:t>区</w:t>
      </w:r>
      <w:r>
        <w:rPr>
          <w:rFonts w:hint="default" w:ascii="仿宋_GB2312" w:hAnsi="仿宋_GB2312" w:eastAsia="仿宋_GB2312" w:cs="仿宋_GB2312"/>
          <w:color w:val="auto"/>
          <w:kern w:val="0"/>
          <w:sz w:val="32"/>
          <w:szCs w:val="32"/>
        </w:rPr>
        <w:t>政府宣传部</w:t>
      </w:r>
    </w:p>
    <w:p w14:paraId="354B74D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协助单位：工信局、公安局、生态环境局、卫健委、文化广电新闻出版旅游局、事发地的办事处或者政府等部门相关人员。</w:t>
      </w:r>
    </w:p>
    <w:p w14:paraId="5AF6A5C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408B2FC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①组织开展事件进展、应急工作情况等权威信息发布，加强新闻宣传报道；</w:t>
      </w:r>
    </w:p>
    <w:p w14:paraId="6C79ACE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②收集分析各界舆情和社会公众动态，加强媒体、电信和互联网管理，正确引导舆论；</w:t>
      </w:r>
    </w:p>
    <w:p w14:paraId="620291A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③通过多种方式，通俗、权威、全面、前瞻地做好相关知识普及；</w:t>
      </w:r>
    </w:p>
    <w:p w14:paraId="36DD1EB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④及时澄清不实信息，回应社会关切。</w:t>
      </w:r>
    </w:p>
    <w:p w14:paraId="2DCA6A50">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（6）社会维稳组</w:t>
      </w:r>
    </w:p>
    <w:p w14:paraId="5D71601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牵头单位：公安局</w:t>
      </w:r>
    </w:p>
    <w:p w14:paraId="2BE626D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协助单位：工信局、应急管理局、交警大队、市场监管局、</w:t>
      </w:r>
      <w:r>
        <w:rPr>
          <w:rFonts w:hint="eastAsia" w:ascii="仿宋_GB2312" w:hAnsi="仿宋_GB2312" w:eastAsia="仿宋_GB2312" w:cs="仿宋_GB2312"/>
          <w:color w:val="auto"/>
          <w:kern w:val="0"/>
          <w:sz w:val="32"/>
          <w:szCs w:val="32"/>
          <w:lang w:val="en-US" w:eastAsia="zh-CN"/>
        </w:rPr>
        <w:t>城市管理</w:t>
      </w:r>
      <w:r>
        <w:rPr>
          <w:rFonts w:hint="default" w:ascii="仿宋_GB2312" w:hAnsi="仿宋_GB2312" w:eastAsia="仿宋_GB2312" w:cs="仿宋_GB2312"/>
          <w:color w:val="auto"/>
          <w:kern w:val="0"/>
          <w:sz w:val="32"/>
          <w:szCs w:val="32"/>
        </w:rPr>
        <w:t>局、文化广电新闻出版旅游局、人武部、事发地的办事处或者政府等部门相关人员。</w:t>
      </w:r>
    </w:p>
    <w:p w14:paraId="074FEEF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0C1DF7D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①负责应急响应时的治安、保卫、交通管制和其他措施的落实；实施交通管制和交通疏导，保障救援道路畅通，保护现场，维护现场秩序；加强转移人员安置点、救灾物资存放点等重点地区治安管控；</w:t>
      </w:r>
    </w:p>
    <w:p w14:paraId="1655F91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②加强受影响地区社会治安管理，严厉打击借机传播谣言制造社会恐慌、哄抢物资等违法犯罪行为；加强对重要生活必需品等商品的市场监管和调控，打击囤积居奇行为。</w:t>
      </w:r>
    </w:p>
    <w:p w14:paraId="10951CC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③负责事发地周边安全警戒，组织突发事件发生区域的人员疏散、撤离。</w:t>
      </w:r>
    </w:p>
    <w:p w14:paraId="3947014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④做好受影响人员与涉事单位、地方政府及有关部门矛盾纠纷化解和法律服务工作，防止出现群体性事件，维护社会稳定，对发生的群体性事件，组织专业力量稳妥处置。</w:t>
      </w:r>
    </w:p>
    <w:p w14:paraId="2162DC5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⑤负责事故直接责任人的监控和逃逸人员的追捕；负责环境污染刑事案件的立案侦查。</w:t>
      </w:r>
    </w:p>
    <w:p w14:paraId="36011510">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（7）调查评估组</w:t>
      </w:r>
    </w:p>
    <w:p w14:paraId="1FB1B28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牵头单位：</w:t>
      </w:r>
      <w:r>
        <w:rPr>
          <w:rFonts w:hint="eastAsia" w:ascii="仿宋_GB2312" w:hAnsi="仿宋_GB2312" w:eastAsia="仿宋_GB2312" w:cs="仿宋_GB2312"/>
          <w:color w:val="auto"/>
          <w:kern w:val="0"/>
          <w:sz w:val="32"/>
          <w:szCs w:val="32"/>
          <w:lang w:val="en-US" w:eastAsia="zh-CN"/>
        </w:rPr>
        <w:t>昌江区</w:t>
      </w:r>
      <w:r>
        <w:rPr>
          <w:rFonts w:hint="default" w:ascii="仿宋_GB2312" w:hAnsi="仿宋_GB2312" w:eastAsia="仿宋_GB2312" w:cs="仿宋_GB2312"/>
          <w:color w:val="auto"/>
          <w:kern w:val="0"/>
          <w:sz w:val="32"/>
          <w:szCs w:val="32"/>
        </w:rPr>
        <w:t>人民政府</w:t>
      </w:r>
    </w:p>
    <w:p w14:paraId="70AFC3C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协助单位：生态环境局、应急管理局、卫健委、公安局、自然资源</w:t>
      </w:r>
      <w:r>
        <w:rPr>
          <w:rFonts w:hint="eastAsia" w:ascii="仿宋_GB2312" w:hAnsi="仿宋_GB2312" w:eastAsia="仿宋_GB2312" w:cs="仿宋_GB2312"/>
          <w:color w:val="auto"/>
          <w:kern w:val="0"/>
          <w:sz w:val="32"/>
          <w:szCs w:val="32"/>
          <w:lang w:val="en-US" w:eastAsia="zh-CN"/>
        </w:rPr>
        <w:t>和规划</w:t>
      </w:r>
      <w:r>
        <w:rPr>
          <w:rFonts w:hint="default" w:ascii="仿宋_GB2312" w:hAnsi="仿宋_GB2312" w:eastAsia="仿宋_GB2312" w:cs="仿宋_GB2312"/>
          <w:color w:val="auto"/>
          <w:kern w:val="0"/>
          <w:sz w:val="32"/>
          <w:szCs w:val="32"/>
        </w:rPr>
        <w:t>局、农业农村水利局、市场监管局、事发地的办事处或者政府等部门相关人员。</w:t>
      </w:r>
    </w:p>
    <w:p w14:paraId="7B546F7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主要职责：</w:t>
      </w:r>
    </w:p>
    <w:p w14:paraId="71F0D65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①开展突发环境事件环境污染损害调查，委托开展评估、核实事件造成的损失情况。</w:t>
      </w:r>
    </w:p>
    <w:p w14:paraId="22346F6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②对特别重大、重大、较大环境事件的起因、性质、影响、责任、经验教训和恢复重建等问题进行调查评估，提出事件防范意见。</w:t>
      </w:r>
    </w:p>
    <w:p w14:paraId="7AB9981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③对应急处置过程、有关人员的责任、应急处置工作的经验、存在的问题等情况进行分析，及时形成总结上报应急指挥部，并存档。</w:t>
      </w:r>
    </w:p>
    <w:p w14:paraId="128E1E36">
      <w:pPr>
        <w:pageBreakBefore w:val="0"/>
        <w:widowControl/>
        <w:kinsoku/>
        <w:wordWrap/>
        <w:overflowPunct/>
        <w:topLinePunct w:val="0"/>
        <w:autoSpaceDE/>
        <w:autoSpaceDN/>
        <w:bidi w:val="0"/>
        <w:adjustRightInd/>
        <w:snapToGrid/>
        <w:spacing w:line="600" w:lineRule="exact"/>
        <w:ind w:left="420" w:firstLine="161" w:firstLineChars="50"/>
        <w:jc w:val="both"/>
        <w:textAlignment w:val="auto"/>
        <w:rPr>
          <w:rFonts w:hint="default" w:ascii="仿宋_GB2312" w:hAnsi="仿宋_GB2312" w:eastAsia="仿宋_GB2312" w:cs="仿宋_GB2312"/>
          <w:b/>
          <w:color w:val="auto"/>
          <w:kern w:val="0"/>
          <w:sz w:val="32"/>
          <w:szCs w:val="32"/>
        </w:rPr>
      </w:pPr>
      <w:r>
        <w:rPr>
          <w:rFonts w:hint="default" w:ascii="仿宋_GB2312" w:hAnsi="仿宋_GB2312" w:eastAsia="仿宋_GB2312" w:cs="仿宋_GB2312"/>
          <w:b/>
          <w:color w:val="auto"/>
          <w:kern w:val="0"/>
          <w:sz w:val="32"/>
          <w:szCs w:val="32"/>
        </w:rPr>
        <w:t>（8）应急专家组</w:t>
      </w:r>
    </w:p>
    <w:p w14:paraId="62B3E3E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应急专家组以生态环境局为召集单位，由应急指挥部办公室负责组建和管理。</w:t>
      </w:r>
    </w:p>
    <w:p w14:paraId="1719367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专家组成：由突发环境事件应急指挥部各成员单位推荐本专业及相关专业专家组成，主要包括环境应急管理、环境监测、危险化学品、安全生产、生态环境与生物安全、环境评估、防化、农林水利、卫生、治安、消防等方面的专家。具体专家名单由环境应急协调办公室动态更新。</w:t>
      </w:r>
    </w:p>
    <w:p w14:paraId="467E0FF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应急专家组职责：</w:t>
      </w:r>
    </w:p>
    <w:p w14:paraId="3F942B2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①应急预案启动后，根据突发环境事件的类型，组织相关专家参与突发环境事件调查、原因分析，对事件的信息进行综合分析和研究；协助判别事件类型和预警等级；</w:t>
      </w:r>
    </w:p>
    <w:p w14:paraId="76F4E96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②对事故危害进行预测，为应对突发环境事件提供决策建议、专业咨询、理论指导和技术支持；向应急领导小组提出正确、科学、安全、快速处置事件的技术方案及建议；</w:t>
      </w:r>
    </w:p>
    <w:p w14:paraId="7DE85F9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③对应急处理、污染控制和事件后期评估与总结等提供咨询。</w:t>
      </w:r>
    </w:p>
    <w:p w14:paraId="0D08AD5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lang w:val="en-US" w:eastAsia="zh-CN"/>
        </w:rPr>
      </w:pPr>
      <w:r>
        <w:rPr>
          <w:rFonts w:hint="default" w:ascii="仿宋_GB2312" w:hAnsi="仿宋_GB2312" w:eastAsia="仿宋_GB2312" w:cs="仿宋_GB2312"/>
          <w:color w:val="auto"/>
          <w:kern w:val="0"/>
          <w:sz w:val="32"/>
          <w:szCs w:val="32"/>
        </w:rPr>
        <w:t>④</w:t>
      </w:r>
      <w:r>
        <w:rPr>
          <w:rFonts w:hint="default" w:ascii="仿宋_GB2312" w:hAnsi="仿宋_GB2312" w:eastAsia="仿宋_GB2312" w:cs="仿宋_GB2312"/>
          <w:color w:val="auto"/>
          <w:kern w:val="0"/>
          <w:sz w:val="32"/>
          <w:szCs w:val="32"/>
          <w:lang w:eastAsia="zh-CN"/>
        </w:rPr>
        <w:t>建议，发生一般环境事件（Ⅳ级）时邀请</w:t>
      </w:r>
      <w:r>
        <w:rPr>
          <w:rFonts w:hint="default" w:ascii="仿宋_GB2312" w:hAnsi="仿宋_GB2312" w:eastAsia="仿宋_GB2312" w:cs="仿宋_GB2312"/>
          <w:color w:val="auto"/>
          <w:kern w:val="0"/>
          <w:sz w:val="32"/>
          <w:szCs w:val="32"/>
          <w:lang w:val="en-US" w:eastAsia="zh-CN"/>
        </w:rPr>
        <w:t>2名专家，发生较大环境事件（Ⅲ级）时邀请4名专家，发生重大环境事件（Ⅱ级）时邀请6名专家，发生特别重大环境事件（Ⅰ级）时邀请4名专家。</w:t>
      </w:r>
    </w:p>
    <w:p w14:paraId="449746A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sectPr>
          <w:pgSz w:w="11906" w:h="16838"/>
          <w:pgMar w:top="2154" w:right="1474" w:bottom="1984" w:left="1587" w:header="851" w:footer="992" w:gutter="0"/>
          <w:pgNumType w:fmt="decimal"/>
          <w:cols w:space="425" w:num="1"/>
          <w:docGrid w:type="lines" w:linePitch="312" w:charSpace="0"/>
        </w:sectPr>
      </w:pPr>
      <w:r>
        <w:rPr>
          <w:rFonts w:hint="default" w:ascii="仿宋_GB2312" w:hAnsi="仿宋_GB2312" w:eastAsia="仿宋_GB2312" w:cs="仿宋_GB2312"/>
          <w:color w:val="auto"/>
          <w:kern w:val="0"/>
          <w:sz w:val="32"/>
          <w:szCs w:val="32"/>
        </w:rPr>
        <w:t>具体的现场应急工作组组成及职责分工见表2.2-2。</w:t>
      </w:r>
    </w:p>
    <w:p w14:paraId="330EF77B">
      <w:pPr>
        <w:widowControl/>
        <w:ind w:firstLine="0" w:firstLineChars="0"/>
        <w:jc w:val="center"/>
        <w:rPr>
          <w:rFonts w:hint="eastAsia" w:ascii="方正小标宋简体" w:hAnsi="方正小标宋简体" w:eastAsia="方正小标宋简体" w:cs="方正小标宋简体"/>
          <w:b w:val="0"/>
          <w:bCs/>
          <w:color w:val="auto"/>
          <w:kern w:val="0"/>
          <w:sz w:val="32"/>
          <w:szCs w:val="32"/>
        </w:rPr>
      </w:pPr>
      <w:r>
        <w:rPr>
          <w:rFonts w:hint="eastAsia" w:ascii="方正小标宋简体" w:hAnsi="方正小标宋简体" w:eastAsia="方正小标宋简体" w:cs="方正小标宋简体"/>
          <w:b w:val="0"/>
          <w:bCs/>
          <w:color w:val="auto"/>
          <w:kern w:val="0"/>
          <w:sz w:val="32"/>
          <w:szCs w:val="32"/>
        </w:rPr>
        <w:t>表2.2-2 现场应急工作组组成及职责分工</w:t>
      </w:r>
    </w:p>
    <w:tbl>
      <w:tblPr>
        <w:tblStyle w:val="22"/>
        <w:tblW w:w="5320" w:type="pct"/>
        <w:tblInd w:w="-393" w:type="dxa"/>
        <w:tblLayout w:type="autofit"/>
        <w:tblCellMar>
          <w:top w:w="0" w:type="dxa"/>
          <w:left w:w="0" w:type="dxa"/>
          <w:bottom w:w="0" w:type="dxa"/>
          <w:right w:w="0" w:type="dxa"/>
        </w:tblCellMar>
      </w:tblPr>
      <w:tblGrid>
        <w:gridCol w:w="1672"/>
        <w:gridCol w:w="1261"/>
        <w:gridCol w:w="3899"/>
        <w:gridCol w:w="8036"/>
      </w:tblGrid>
      <w:tr w14:paraId="1F5ACF9E">
        <w:tc>
          <w:tcPr>
            <w:tcW w:w="562" w:type="pct"/>
            <w:tcBorders>
              <w:top w:val="single" w:color="000000" w:sz="6" w:space="0"/>
              <w:left w:val="single" w:color="000000" w:sz="6" w:space="0"/>
              <w:bottom w:val="single" w:color="000000" w:sz="4" w:space="0"/>
              <w:right w:val="single" w:color="000000" w:sz="4" w:space="0"/>
            </w:tcBorders>
            <w:vAlign w:val="center"/>
          </w:tcPr>
          <w:p w14:paraId="7C4940B0">
            <w:pPr>
              <w:widowControl/>
              <w:kinsoku w:val="0"/>
              <w:overflowPunct w:val="0"/>
              <w:snapToGrid w:val="0"/>
              <w:spacing w:line="240" w:lineRule="auto"/>
              <w:ind w:firstLine="0" w:firstLineChars="0"/>
              <w:jc w:val="center"/>
              <w:rPr>
                <w:rFonts w:hint="eastAsia" w:ascii="黑体" w:hAnsi="黑体" w:eastAsia="黑体" w:cs="黑体"/>
                <w:b w:val="0"/>
                <w:bCs w:val="0"/>
                <w:color w:val="auto"/>
                <w:spacing w:val="-1"/>
                <w:kern w:val="0"/>
                <w:sz w:val="32"/>
                <w:szCs w:val="32"/>
              </w:rPr>
            </w:pPr>
            <w:r>
              <w:rPr>
                <w:rFonts w:hint="eastAsia" w:ascii="黑体" w:hAnsi="黑体" w:eastAsia="黑体" w:cs="黑体"/>
                <w:b w:val="0"/>
                <w:bCs w:val="0"/>
                <w:color w:val="auto"/>
                <w:spacing w:val="-1"/>
                <w:kern w:val="0"/>
                <w:sz w:val="32"/>
                <w:szCs w:val="32"/>
              </w:rPr>
              <w:t>应急工作组组成</w:t>
            </w:r>
          </w:p>
        </w:tc>
        <w:tc>
          <w:tcPr>
            <w:tcW w:w="424" w:type="pct"/>
            <w:tcBorders>
              <w:top w:val="single" w:color="000000" w:sz="6" w:space="0"/>
              <w:left w:val="single" w:color="000000" w:sz="6" w:space="0"/>
              <w:bottom w:val="single" w:color="000000" w:sz="4" w:space="0"/>
              <w:right w:val="single" w:color="000000" w:sz="4" w:space="0"/>
            </w:tcBorders>
            <w:vAlign w:val="center"/>
          </w:tcPr>
          <w:p w14:paraId="688590F8">
            <w:pPr>
              <w:widowControl/>
              <w:kinsoku w:val="0"/>
              <w:overflowPunct w:val="0"/>
              <w:snapToGrid w:val="0"/>
              <w:spacing w:line="240" w:lineRule="auto"/>
              <w:ind w:firstLine="0" w:firstLineChars="0"/>
              <w:jc w:val="center"/>
              <w:rPr>
                <w:rFonts w:hint="eastAsia" w:ascii="黑体" w:hAnsi="黑体" w:eastAsia="黑体" w:cs="黑体"/>
                <w:b w:val="0"/>
                <w:bCs w:val="0"/>
                <w:color w:val="auto"/>
                <w:spacing w:val="-1"/>
                <w:kern w:val="0"/>
                <w:sz w:val="32"/>
                <w:szCs w:val="32"/>
              </w:rPr>
            </w:pPr>
            <w:r>
              <w:rPr>
                <w:rFonts w:hint="eastAsia" w:ascii="黑体" w:hAnsi="黑体" w:eastAsia="黑体" w:cs="黑体"/>
                <w:b w:val="0"/>
                <w:bCs w:val="0"/>
                <w:color w:val="auto"/>
                <w:spacing w:val="-1"/>
                <w:kern w:val="0"/>
                <w:sz w:val="32"/>
                <w:szCs w:val="32"/>
              </w:rPr>
              <w:t>牵头单位</w:t>
            </w:r>
          </w:p>
        </w:tc>
        <w:tc>
          <w:tcPr>
            <w:tcW w:w="1311" w:type="pct"/>
            <w:tcBorders>
              <w:top w:val="single" w:color="000000" w:sz="6" w:space="0"/>
              <w:left w:val="single" w:color="000000" w:sz="4" w:space="0"/>
              <w:bottom w:val="single" w:color="000000" w:sz="4" w:space="0"/>
              <w:right w:val="single" w:color="000000" w:sz="4" w:space="0"/>
            </w:tcBorders>
            <w:vAlign w:val="center"/>
          </w:tcPr>
          <w:p w14:paraId="20BDCB2E">
            <w:pPr>
              <w:widowControl/>
              <w:kinsoku w:val="0"/>
              <w:overflowPunct w:val="0"/>
              <w:snapToGrid w:val="0"/>
              <w:spacing w:line="240" w:lineRule="auto"/>
              <w:ind w:firstLine="0" w:firstLineChars="0"/>
              <w:jc w:val="center"/>
              <w:rPr>
                <w:rFonts w:hint="eastAsia" w:ascii="黑体" w:hAnsi="黑体" w:eastAsia="黑体" w:cs="黑体"/>
                <w:b w:val="0"/>
                <w:bCs w:val="0"/>
                <w:color w:val="auto"/>
                <w:spacing w:val="-1"/>
                <w:kern w:val="0"/>
                <w:sz w:val="32"/>
                <w:szCs w:val="32"/>
              </w:rPr>
            </w:pPr>
            <w:r>
              <w:rPr>
                <w:rFonts w:hint="eastAsia" w:ascii="黑体" w:hAnsi="黑体" w:eastAsia="黑体" w:cs="黑体"/>
                <w:b w:val="0"/>
                <w:bCs w:val="0"/>
                <w:color w:val="auto"/>
                <w:spacing w:val="-1"/>
                <w:kern w:val="0"/>
                <w:sz w:val="32"/>
                <w:szCs w:val="32"/>
              </w:rPr>
              <w:t>协助单位</w:t>
            </w:r>
          </w:p>
        </w:tc>
        <w:tc>
          <w:tcPr>
            <w:tcW w:w="2702" w:type="pct"/>
            <w:tcBorders>
              <w:top w:val="single" w:color="000000" w:sz="6" w:space="0"/>
              <w:left w:val="single" w:color="000000" w:sz="4" w:space="0"/>
              <w:bottom w:val="single" w:color="000000" w:sz="4" w:space="0"/>
              <w:right w:val="single" w:color="000000" w:sz="6" w:space="0"/>
            </w:tcBorders>
            <w:vAlign w:val="center"/>
          </w:tcPr>
          <w:p w14:paraId="69580AC7">
            <w:pPr>
              <w:widowControl/>
              <w:tabs>
                <w:tab w:val="left" w:pos="2193"/>
                <w:tab w:val="left" w:pos="2821"/>
                <w:tab w:val="left" w:pos="3453"/>
              </w:tabs>
              <w:kinsoku w:val="0"/>
              <w:overflowPunct w:val="0"/>
              <w:snapToGrid w:val="0"/>
              <w:spacing w:line="240" w:lineRule="auto"/>
              <w:ind w:firstLine="0" w:firstLineChars="0"/>
              <w:jc w:val="center"/>
              <w:rPr>
                <w:rFonts w:hint="eastAsia" w:ascii="黑体" w:hAnsi="黑体" w:eastAsia="黑体" w:cs="黑体"/>
                <w:b w:val="0"/>
                <w:bCs w:val="0"/>
                <w:color w:val="auto"/>
                <w:spacing w:val="-1"/>
                <w:kern w:val="0"/>
                <w:sz w:val="32"/>
                <w:szCs w:val="32"/>
              </w:rPr>
            </w:pPr>
            <w:r>
              <w:rPr>
                <w:rFonts w:hint="eastAsia" w:ascii="黑体" w:hAnsi="黑体" w:eastAsia="黑体" w:cs="黑体"/>
                <w:b w:val="0"/>
                <w:bCs w:val="0"/>
                <w:color w:val="auto"/>
                <w:spacing w:val="-1"/>
                <w:kern w:val="0"/>
                <w:sz w:val="32"/>
                <w:szCs w:val="32"/>
              </w:rPr>
              <w:t>应急职责</w:t>
            </w:r>
          </w:p>
        </w:tc>
      </w:tr>
      <w:tr w14:paraId="5EA390B0">
        <w:tblPrEx>
          <w:tblCellMar>
            <w:top w:w="0" w:type="dxa"/>
            <w:left w:w="0" w:type="dxa"/>
            <w:bottom w:w="0" w:type="dxa"/>
            <w:right w:w="0" w:type="dxa"/>
          </w:tblCellMar>
        </w:tblPrEx>
        <w:trPr>
          <w:trHeight w:val="3042" w:hRule="atLeast"/>
        </w:trPr>
        <w:tc>
          <w:tcPr>
            <w:tcW w:w="562" w:type="pct"/>
            <w:tcBorders>
              <w:top w:val="single" w:color="000000" w:sz="4" w:space="0"/>
              <w:left w:val="single" w:color="000000" w:sz="6" w:space="0"/>
              <w:bottom w:val="single" w:color="000000" w:sz="4" w:space="0"/>
              <w:right w:val="single" w:color="000000" w:sz="4" w:space="0"/>
            </w:tcBorders>
            <w:vAlign w:val="center"/>
          </w:tcPr>
          <w:p w14:paraId="6AB51B36">
            <w:pPr>
              <w:keepNext w:val="0"/>
              <w:keepLines w:val="0"/>
              <w:pageBreakBefore w:val="0"/>
              <w:widowControl/>
              <w:kinsoku w:val="0"/>
              <w:wordWrap/>
              <w:overflowPunct w:val="0"/>
              <w:topLinePunct w:val="0"/>
              <w:autoSpaceDE/>
              <w:autoSpaceDN/>
              <w:bidi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污染处置组</w:t>
            </w:r>
          </w:p>
        </w:tc>
        <w:tc>
          <w:tcPr>
            <w:tcW w:w="424" w:type="pct"/>
            <w:tcBorders>
              <w:top w:val="single" w:color="000000" w:sz="4" w:space="0"/>
              <w:left w:val="single" w:color="000000" w:sz="4" w:space="0"/>
              <w:bottom w:val="single" w:color="000000" w:sz="4" w:space="0"/>
              <w:right w:val="single" w:color="000000" w:sz="4" w:space="0"/>
            </w:tcBorders>
            <w:vAlign w:val="center"/>
          </w:tcPr>
          <w:p w14:paraId="70A8FF6A">
            <w:pPr>
              <w:keepNext w:val="0"/>
              <w:keepLines w:val="0"/>
              <w:pageBreakBefore w:val="0"/>
              <w:widowControl/>
              <w:kinsoku w:val="0"/>
              <w:wordWrap/>
              <w:overflowPunct w:val="0"/>
              <w:topLinePunct w:val="0"/>
              <w:autoSpaceDE/>
              <w:autoSpaceDN/>
              <w:bidi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生态环境局</w:t>
            </w:r>
          </w:p>
        </w:tc>
        <w:tc>
          <w:tcPr>
            <w:tcW w:w="1311" w:type="pct"/>
            <w:tcBorders>
              <w:top w:val="single" w:color="000000" w:sz="4" w:space="0"/>
              <w:left w:val="single" w:color="000000" w:sz="4" w:space="0"/>
              <w:bottom w:val="single" w:color="000000" w:sz="6" w:space="0"/>
              <w:right w:val="single" w:color="000000" w:sz="4" w:space="0"/>
            </w:tcBorders>
            <w:vAlign w:val="center"/>
          </w:tcPr>
          <w:p w14:paraId="68FEE205">
            <w:pPr>
              <w:keepNext w:val="0"/>
              <w:keepLines w:val="0"/>
              <w:pageBreakBefore w:val="0"/>
              <w:widowControl/>
              <w:kinsoku w:val="0"/>
              <w:wordWrap/>
              <w:overflowPunct w:val="0"/>
              <w:topLinePunct w:val="0"/>
              <w:autoSpaceDE/>
              <w:autoSpaceDN/>
              <w:bidi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应急管理局、公安局、自然资源</w:t>
            </w:r>
            <w:r>
              <w:rPr>
                <w:rFonts w:hint="eastAsia" w:ascii="仿宋_GB2312" w:hAnsi="仿宋_GB2312" w:eastAsia="仿宋_GB2312" w:cs="仿宋_GB2312"/>
                <w:color w:val="auto"/>
                <w:kern w:val="0"/>
                <w:sz w:val="32"/>
                <w:szCs w:val="32"/>
                <w:lang w:val="en-US" w:eastAsia="zh-CN"/>
              </w:rPr>
              <w:t>和规划</w:t>
            </w:r>
            <w:r>
              <w:rPr>
                <w:rFonts w:hint="eastAsia" w:ascii="仿宋_GB2312" w:hAnsi="仿宋_GB2312" w:eastAsia="仿宋_GB2312" w:cs="仿宋_GB2312"/>
                <w:color w:val="auto"/>
                <w:kern w:val="0"/>
                <w:sz w:val="32"/>
                <w:szCs w:val="32"/>
              </w:rPr>
              <w:t>局、交警大队、消防大队、农业农村水利局、</w:t>
            </w:r>
            <w:r>
              <w:rPr>
                <w:rFonts w:hint="eastAsia" w:ascii="仿宋_GB2312" w:hAnsi="仿宋_GB2312" w:eastAsia="仿宋_GB2312" w:cs="仿宋_GB2312"/>
                <w:color w:val="auto"/>
                <w:kern w:val="0"/>
                <w:sz w:val="32"/>
                <w:szCs w:val="32"/>
                <w:lang w:val="en-US" w:eastAsia="zh-CN"/>
              </w:rPr>
              <w:t>城市管理</w:t>
            </w:r>
            <w:r>
              <w:rPr>
                <w:rFonts w:hint="eastAsia" w:ascii="仿宋_GB2312" w:hAnsi="仿宋_GB2312" w:eastAsia="仿宋_GB2312" w:cs="仿宋_GB2312"/>
                <w:color w:val="auto"/>
                <w:kern w:val="0"/>
                <w:sz w:val="32"/>
                <w:szCs w:val="32"/>
              </w:rPr>
              <w:t>局、人武部、气象局、事发地的办事处或者政府相关人员</w:t>
            </w:r>
          </w:p>
        </w:tc>
        <w:tc>
          <w:tcPr>
            <w:tcW w:w="2702" w:type="pct"/>
            <w:tcBorders>
              <w:top w:val="single" w:color="000000" w:sz="4" w:space="0"/>
              <w:left w:val="single" w:color="000000" w:sz="4" w:space="0"/>
              <w:bottom w:val="single" w:color="000000" w:sz="4" w:space="0"/>
              <w:right w:val="single" w:color="000000" w:sz="6" w:space="0"/>
            </w:tcBorders>
            <w:vAlign w:val="center"/>
          </w:tcPr>
          <w:p w14:paraId="058750E7">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（1）到达现场后，根据现场情况，协调配合有关单位、部门救援队伍合理控制污染源，切断污染扩散通道，清除污染物，防止和减轻污染事态恶化。</w:t>
            </w:r>
          </w:p>
          <w:p w14:paraId="6D974999">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（2）根据现场调查和处置情况及污染事故发展的动态，决定是否需要调救援的人员、设备，及时将现场情况向应急指挥部报告。</w:t>
            </w:r>
          </w:p>
          <w:p w14:paraId="2CCE479D">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（3）结合风险物质的危害性，判定环境污染的危害范围，提出区域隔离、人员撤离及其他防护建议，协助有关责任单位做好人员撤离、隔离和警戒工作。</w:t>
            </w:r>
          </w:p>
          <w:p w14:paraId="68F431C9">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（4）对污染源展开现场勘查，依法进行取证，初步确定污染情况及事故责任人。</w:t>
            </w:r>
          </w:p>
          <w:p w14:paraId="3F562B97">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（5）对污染状况进行跟踪调查，及时向应急指挥部报告污染扩散情况和事故处理情况，并根据事故现场发展情况和应急指挥部指示及时调整对策，直至污染事故警报解除。</w:t>
            </w:r>
          </w:p>
          <w:p w14:paraId="5A36CC6B">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（6）组织落实相关企业停、限产措施；</w:t>
            </w:r>
          </w:p>
          <w:p w14:paraId="0044FCF2">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（7）协调部队等有关力量参与应急处置。</w:t>
            </w:r>
          </w:p>
        </w:tc>
      </w:tr>
      <w:tr w14:paraId="136AB7C7">
        <w:tblPrEx>
          <w:tblCellMar>
            <w:top w:w="0" w:type="dxa"/>
            <w:left w:w="0" w:type="dxa"/>
            <w:bottom w:w="0" w:type="dxa"/>
            <w:right w:w="0" w:type="dxa"/>
          </w:tblCellMar>
        </w:tblPrEx>
        <w:trPr>
          <w:trHeight w:val="2112" w:hRule="atLeast"/>
        </w:trPr>
        <w:tc>
          <w:tcPr>
            <w:tcW w:w="562" w:type="pct"/>
            <w:tcBorders>
              <w:top w:val="single" w:color="000000" w:sz="4" w:space="0"/>
              <w:left w:val="single" w:color="000000" w:sz="6" w:space="0"/>
              <w:bottom w:val="single" w:color="000000" w:sz="4" w:space="0"/>
              <w:right w:val="single" w:color="000000" w:sz="4" w:space="0"/>
            </w:tcBorders>
            <w:vAlign w:val="center"/>
          </w:tcPr>
          <w:p w14:paraId="4987E6C7">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应急监测组</w:t>
            </w:r>
          </w:p>
        </w:tc>
        <w:tc>
          <w:tcPr>
            <w:tcW w:w="424" w:type="pct"/>
            <w:tcBorders>
              <w:top w:val="single" w:color="000000" w:sz="4" w:space="0"/>
              <w:left w:val="single" w:color="000000" w:sz="4" w:space="0"/>
              <w:bottom w:val="single" w:color="000000" w:sz="4" w:space="0"/>
              <w:right w:val="single" w:color="000000" w:sz="4" w:space="0"/>
            </w:tcBorders>
            <w:vAlign w:val="center"/>
          </w:tcPr>
          <w:p w14:paraId="26C017C0">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生态环境局</w:t>
            </w:r>
          </w:p>
        </w:tc>
        <w:tc>
          <w:tcPr>
            <w:tcW w:w="1311" w:type="pct"/>
            <w:tcBorders>
              <w:top w:val="single" w:color="000000" w:sz="4" w:space="0"/>
              <w:left w:val="single" w:color="000000" w:sz="4" w:space="0"/>
              <w:bottom w:val="single" w:color="000000" w:sz="6" w:space="0"/>
              <w:right w:val="single" w:color="000000" w:sz="4" w:space="0"/>
            </w:tcBorders>
            <w:vAlign w:val="center"/>
          </w:tcPr>
          <w:p w14:paraId="637CFB97">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卫健委、气象局、农业农村水利局、</w:t>
            </w:r>
            <w:r>
              <w:rPr>
                <w:rFonts w:hint="eastAsia" w:ascii="仿宋_GB2312" w:hAnsi="仿宋_GB2312" w:eastAsia="仿宋_GB2312" w:cs="仿宋_GB2312"/>
                <w:color w:val="auto"/>
                <w:kern w:val="0"/>
                <w:sz w:val="32"/>
                <w:szCs w:val="32"/>
                <w:lang w:eastAsia="zh-CN"/>
              </w:rPr>
              <w:t>自然资源和规划局</w:t>
            </w:r>
            <w:r>
              <w:rPr>
                <w:rFonts w:hint="eastAsia" w:ascii="仿宋_GB2312" w:hAnsi="仿宋_GB2312" w:eastAsia="仿宋_GB2312" w:cs="仿宋_GB2312"/>
                <w:color w:val="auto"/>
                <w:kern w:val="0"/>
                <w:sz w:val="32"/>
                <w:szCs w:val="32"/>
              </w:rPr>
              <w:t>、应急管理局、水务公司等部门相关人员</w:t>
            </w:r>
          </w:p>
        </w:tc>
        <w:tc>
          <w:tcPr>
            <w:tcW w:w="2702" w:type="pct"/>
            <w:tcBorders>
              <w:top w:val="single" w:color="000000" w:sz="4" w:space="0"/>
              <w:left w:val="single" w:color="000000" w:sz="4" w:space="0"/>
              <w:bottom w:val="single" w:color="000000" w:sz="4" w:space="0"/>
              <w:right w:val="single" w:color="000000" w:sz="6" w:space="0"/>
            </w:tcBorders>
            <w:vAlign w:val="center"/>
          </w:tcPr>
          <w:p w14:paraId="7DEA0497">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负责组织区域内突发环境事件应急监测。负责制定应急监测工作计划；建立应急监测技术支持系统；组织业务培训。组织开展对突发环境事件的污染物种类、性质以及当地气象、自然、社会环境状况等的调查。</w:t>
            </w:r>
          </w:p>
          <w:p w14:paraId="59647C73">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接到突发性环境污染事故通知后，组织实施应急监测，根据现场情况明确相应的应急监测方案及监测方法，确定污染物扩散范围，明确监测的布点和频次；做好大气、水体、土壤等应急监测及数据汇总分析，为突发环境事件应急决策提供依据。</w:t>
            </w:r>
          </w:p>
          <w:p w14:paraId="71F633F2">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（3）配合有关部门对污染状况进行跟踪调查，指导和监督污染物的收集、清理与处理以及受污染和破坏生态环境的恢复等。</w:t>
            </w:r>
          </w:p>
        </w:tc>
      </w:tr>
      <w:tr w14:paraId="09CC5B29">
        <w:tblPrEx>
          <w:tblCellMar>
            <w:top w:w="0" w:type="dxa"/>
            <w:left w:w="0" w:type="dxa"/>
            <w:bottom w:w="0" w:type="dxa"/>
            <w:right w:w="0" w:type="dxa"/>
          </w:tblCellMar>
        </w:tblPrEx>
        <w:trPr>
          <w:trHeight w:val="90" w:hRule="atLeast"/>
        </w:trPr>
        <w:tc>
          <w:tcPr>
            <w:tcW w:w="562" w:type="pct"/>
            <w:tcBorders>
              <w:top w:val="single" w:color="000000" w:sz="4" w:space="0"/>
              <w:left w:val="single" w:color="000000" w:sz="6" w:space="0"/>
              <w:bottom w:val="single" w:color="000000" w:sz="6" w:space="0"/>
              <w:right w:val="single" w:color="000000" w:sz="4" w:space="0"/>
            </w:tcBorders>
            <w:vAlign w:val="center"/>
          </w:tcPr>
          <w:p w14:paraId="7B3088A6">
            <w:pPr>
              <w:keepNext w:val="0"/>
              <w:keepLines w:val="0"/>
              <w:pageBreakBefore w:val="0"/>
              <w:widowControl/>
              <w:kinsoku w:val="0"/>
              <w:wordWrap/>
              <w:overflowPunct w:val="0"/>
              <w:topLinePunct w:val="0"/>
              <w:autoSpaceDE/>
              <w:autoSpaceDN/>
              <w:bidi w:val="0"/>
              <w:snapToGrid w:val="0"/>
              <w:spacing w:line="420" w:lineRule="exact"/>
              <w:ind w:firstLine="0" w:firstLineChars="0"/>
              <w:jc w:val="center"/>
              <w:textAlignment w:val="auto"/>
              <w:rPr>
                <w:rFonts w:hint="eastAsia" w:ascii="仿宋_GB2312" w:hAnsi="仿宋_GB2312" w:eastAsia="仿宋_GB2312" w:cs="仿宋_GB2312"/>
                <w:color w:val="auto"/>
                <w:spacing w:val="-1"/>
                <w:kern w:val="0"/>
                <w:sz w:val="32"/>
                <w:szCs w:val="32"/>
              </w:rPr>
            </w:pPr>
            <w:r>
              <w:rPr>
                <w:rFonts w:hint="eastAsia" w:ascii="仿宋_GB2312" w:hAnsi="仿宋_GB2312" w:eastAsia="仿宋_GB2312" w:cs="仿宋_GB2312"/>
                <w:color w:val="auto"/>
                <w:spacing w:val="-1"/>
                <w:kern w:val="0"/>
                <w:sz w:val="32"/>
                <w:szCs w:val="32"/>
              </w:rPr>
              <w:t>医疗救援组</w:t>
            </w:r>
          </w:p>
        </w:tc>
        <w:tc>
          <w:tcPr>
            <w:tcW w:w="424" w:type="pct"/>
            <w:tcBorders>
              <w:top w:val="single" w:color="000000" w:sz="4" w:space="0"/>
              <w:left w:val="single" w:color="000000" w:sz="4" w:space="0"/>
              <w:bottom w:val="single" w:color="000000" w:sz="6" w:space="0"/>
              <w:right w:val="single" w:color="000000" w:sz="4" w:space="0"/>
            </w:tcBorders>
            <w:vAlign w:val="center"/>
          </w:tcPr>
          <w:p w14:paraId="17A45B69">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卫健委</w:t>
            </w:r>
          </w:p>
        </w:tc>
        <w:tc>
          <w:tcPr>
            <w:tcW w:w="1311" w:type="pct"/>
            <w:tcBorders>
              <w:top w:val="single" w:color="000000" w:sz="4" w:space="0"/>
              <w:left w:val="single" w:color="000000" w:sz="4" w:space="0"/>
              <w:bottom w:val="single" w:color="000000" w:sz="6" w:space="0"/>
              <w:right w:val="single" w:color="000000" w:sz="4" w:space="0"/>
            </w:tcBorders>
            <w:vAlign w:val="center"/>
          </w:tcPr>
          <w:p w14:paraId="2B99D3D1">
            <w:pPr>
              <w:keepNext w:val="0"/>
              <w:keepLines w:val="0"/>
              <w:pageBreakBefore w:val="0"/>
              <w:widowControl/>
              <w:kinsoku w:val="0"/>
              <w:wordWrap/>
              <w:overflowPunct w:val="0"/>
              <w:topLinePunct w:val="0"/>
              <w:autoSpaceDE/>
              <w:autoSpaceDN/>
              <w:bidi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公安局、</w:t>
            </w:r>
            <w:r>
              <w:rPr>
                <w:rFonts w:hint="eastAsia" w:ascii="仿宋_GB2312" w:hAnsi="仿宋_GB2312" w:eastAsia="仿宋_GB2312" w:cs="仿宋_GB2312"/>
                <w:color w:val="auto"/>
                <w:kern w:val="0"/>
                <w:sz w:val="32"/>
                <w:szCs w:val="32"/>
                <w:lang w:val="en-US" w:eastAsia="zh-CN"/>
              </w:rPr>
              <w:t>农业农村</w:t>
            </w:r>
            <w:r>
              <w:rPr>
                <w:rFonts w:hint="eastAsia" w:ascii="仿宋_GB2312" w:hAnsi="仿宋_GB2312" w:eastAsia="仿宋_GB2312" w:cs="仿宋_GB2312"/>
                <w:color w:val="auto"/>
                <w:kern w:val="0"/>
                <w:sz w:val="32"/>
                <w:szCs w:val="32"/>
              </w:rPr>
              <w:t>水利局、市场监管局、事发地的办事处或者政府等部门相关人员</w:t>
            </w:r>
          </w:p>
        </w:tc>
        <w:tc>
          <w:tcPr>
            <w:tcW w:w="2702" w:type="pct"/>
            <w:tcBorders>
              <w:top w:val="single" w:color="000000" w:sz="4" w:space="0"/>
              <w:left w:val="single" w:color="000000" w:sz="4" w:space="0"/>
              <w:bottom w:val="single" w:color="000000" w:sz="6" w:space="0"/>
              <w:right w:val="single" w:color="000000" w:sz="6" w:space="0"/>
            </w:tcBorders>
            <w:vAlign w:val="center"/>
          </w:tcPr>
          <w:p w14:paraId="2A2A13E6">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（1）负责组织、协调、指导开展在突发环境事件中受伤（中毒）人员现场应急医疗救援、转诊救治、洗消、卫生防疫、心理援助等紧急医学救援工作。</w:t>
            </w:r>
          </w:p>
          <w:p w14:paraId="2818A316">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（2）负责协调、组派医疗卫生救援专家与应急队伍，调集医疗、防疫器械、药品，并提供医疗救助。</w:t>
            </w:r>
          </w:p>
          <w:p w14:paraId="38AC8E7C">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（3）禁止受污染的食品、饮用水等的生产、加工、流通和食用，防范因突发环境事件造成集体中毒等。</w:t>
            </w:r>
          </w:p>
          <w:p w14:paraId="2CADFC6E">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（4）配合有关部门确定突发环境事件导致健康危害的性质及范围。</w:t>
            </w:r>
          </w:p>
        </w:tc>
      </w:tr>
      <w:tr w14:paraId="34DD36AB">
        <w:tblPrEx>
          <w:tblCellMar>
            <w:top w:w="0" w:type="dxa"/>
            <w:left w:w="0" w:type="dxa"/>
            <w:bottom w:w="0" w:type="dxa"/>
            <w:right w:w="0" w:type="dxa"/>
          </w:tblCellMar>
        </w:tblPrEx>
        <w:tc>
          <w:tcPr>
            <w:tcW w:w="562" w:type="pct"/>
            <w:tcBorders>
              <w:top w:val="single" w:color="000000" w:sz="4" w:space="0"/>
              <w:left w:val="single" w:color="000000" w:sz="6" w:space="0"/>
              <w:bottom w:val="single" w:color="000000" w:sz="4" w:space="0"/>
              <w:right w:val="single" w:color="000000" w:sz="4" w:space="0"/>
            </w:tcBorders>
            <w:vAlign w:val="center"/>
          </w:tcPr>
          <w:p w14:paraId="137FA5CD">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应急保障组</w:t>
            </w:r>
          </w:p>
        </w:tc>
        <w:tc>
          <w:tcPr>
            <w:tcW w:w="424" w:type="pct"/>
            <w:tcBorders>
              <w:top w:val="single" w:color="000000" w:sz="4" w:space="0"/>
              <w:left w:val="single" w:color="000000" w:sz="4" w:space="0"/>
              <w:bottom w:val="single" w:color="000000" w:sz="4" w:space="0"/>
              <w:right w:val="single" w:color="000000" w:sz="4" w:space="0"/>
            </w:tcBorders>
            <w:vAlign w:val="center"/>
          </w:tcPr>
          <w:p w14:paraId="05B95434">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应急管理局</w:t>
            </w:r>
          </w:p>
        </w:tc>
        <w:tc>
          <w:tcPr>
            <w:tcW w:w="1311" w:type="pct"/>
            <w:tcBorders>
              <w:top w:val="single" w:color="000000" w:sz="4" w:space="0"/>
              <w:left w:val="single" w:color="000000" w:sz="4" w:space="0"/>
              <w:bottom w:val="single" w:color="000000" w:sz="6" w:space="0"/>
              <w:right w:val="single" w:color="000000" w:sz="4" w:space="0"/>
            </w:tcBorders>
            <w:vAlign w:val="center"/>
          </w:tcPr>
          <w:p w14:paraId="2B9A3CA8">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工信局、发改委、住建局、财政局、</w:t>
            </w:r>
            <w:r>
              <w:rPr>
                <w:rFonts w:hint="eastAsia" w:ascii="仿宋_GB2312" w:hAnsi="仿宋_GB2312" w:eastAsia="仿宋_GB2312" w:cs="仿宋_GB2312"/>
                <w:color w:val="auto"/>
                <w:kern w:val="0"/>
                <w:sz w:val="32"/>
                <w:szCs w:val="32"/>
                <w:lang w:eastAsia="zh-CN"/>
              </w:rPr>
              <w:t>自然资源和规划局</w:t>
            </w:r>
            <w:r>
              <w:rPr>
                <w:rFonts w:hint="eastAsia" w:ascii="仿宋_GB2312" w:hAnsi="仿宋_GB2312" w:eastAsia="仿宋_GB2312" w:cs="仿宋_GB2312"/>
                <w:color w:val="auto"/>
                <w:kern w:val="0"/>
                <w:sz w:val="32"/>
                <w:szCs w:val="32"/>
              </w:rPr>
              <w:t>、生态环境局、交警大队、卫健委、农业农村水利局、民政局、市场监管局、</w:t>
            </w:r>
            <w:r>
              <w:rPr>
                <w:rFonts w:hint="eastAsia" w:ascii="仿宋_GB2312" w:hAnsi="仿宋_GB2312" w:eastAsia="仿宋_GB2312" w:cs="仿宋_GB2312"/>
                <w:color w:val="auto"/>
                <w:kern w:val="0"/>
                <w:sz w:val="32"/>
                <w:szCs w:val="32"/>
                <w:lang w:val="en-US" w:eastAsia="zh-CN"/>
              </w:rPr>
              <w:t>城市管理</w:t>
            </w:r>
            <w:r>
              <w:rPr>
                <w:rFonts w:hint="eastAsia" w:ascii="仿宋_GB2312" w:hAnsi="仿宋_GB2312" w:eastAsia="仿宋_GB2312" w:cs="仿宋_GB2312"/>
                <w:color w:val="auto"/>
                <w:kern w:val="0"/>
                <w:sz w:val="32"/>
                <w:szCs w:val="32"/>
              </w:rPr>
              <w:t>局、水务公司、供电公司、电信公司、移动公司、联通公司、燃气公司，事发地的办事处或者政府等部门相关人员。</w:t>
            </w:r>
          </w:p>
        </w:tc>
        <w:tc>
          <w:tcPr>
            <w:tcW w:w="2702" w:type="pct"/>
            <w:tcBorders>
              <w:top w:val="single" w:color="000000" w:sz="4" w:space="0"/>
              <w:left w:val="single" w:color="000000" w:sz="4" w:space="0"/>
              <w:bottom w:val="single" w:color="000000" w:sz="4" w:space="0"/>
              <w:right w:val="single" w:color="000000" w:sz="6" w:space="0"/>
            </w:tcBorders>
            <w:vAlign w:val="center"/>
          </w:tcPr>
          <w:p w14:paraId="2361265F">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（1）组织做好环境应急救援物资及临时安置重要物资的紧急生产、储备调拨和紧急配送工作，实施交通调度，提供电力、通信、燃气、饮用水保障，提供应急救援资金。</w:t>
            </w:r>
          </w:p>
          <w:p w14:paraId="05DB12ED">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（2）及时组织调运重要生活必需品，组织受突发环境事件影响人员的转移、安置，以及临时基本生活救助，保障群众基本生活和市场供应。</w:t>
            </w:r>
          </w:p>
          <w:p w14:paraId="27AD8095">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（3）负责现场应急处置工作人员食宿等基本生活保障。</w:t>
            </w:r>
          </w:p>
          <w:p w14:paraId="29ED2934">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（4）统筹规划应急物资储备点和应急避灾场所。</w:t>
            </w:r>
          </w:p>
          <w:p w14:paraId="471922F7">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（5）开展应急测绘</w:t>
            </w:r>
          </w:p>
        </w:tc>
      </w:tr>
      <w:tr w14:paraId="76329609">
        <w:tblPrEx>
          <w:tblCellMar>
            <w:top w:w="0" w:type="dxa"/>
            <w:left w:w="0" w:type="dxa"/>
            <w:bottom w:w="0" w:type="dxa"/>
            <w:right w:w="0" w:type="dxa"/>
          </w:tblCellMar>
        </w:tblPrEx>
        <w:trPr>
          <w:trHeight w:val="2710" w:hRule="atLeast"/>
        </w:trPr>
        <w:tc>
          <w:tcPr>
            <w:tcW w:w="562" w:type="pct"/>
            <w:tcBorders>
              <w:top w:val="single" w:color="000000" w:sz="4" w:space="0"/>
              <w:left w:val="single" w:color="000000" w:sz="6" w:space="0"/>
              <w:bottom w:val="single" w:color="000000" w:sz="4" w:space="0"/>
              <w:right w:val="single" w:color="000000" w:sz="4" w:space="0"/>
            </w:tcBorders>
            <w:vAlign w:val="center"/>
          </w:tcPr>
          <w:p w14:paraId="705316E7">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新闻宣传组</w:t>
            </w:r>
          </w:p>
        </w:tc>
        <w:tc>
          <w:tcPr>
            <w:tcW w:w="424" w:type="pct"/>
            <w:tcBorders>
              <w:top w:val="single" w:color="000000" w:sz="4" w:space="0"/>
              <w:left w:val="single" w:color="000000" w:sz="4" w:space="0"/>
              <w:bottom w:val="single" w:color="000000" w:sz="4" w:space="0"/>
              <w:right w:val="single" w:color="000000" w:sz="4" w:space="0"/>
            </w:tcBorders>
            <w:vAlign w:val="center"/>
          </w:tcPr>
          <w:p w14:paraId="64D2021D">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区委</w:t>
            </w:r>
            <w:r>
              <w:rPr>
                <w:rFonts w:hint="eastAsia" w:ascii="仿宋_GB2312" w:hAnsi="仿宋_GB2312" w:eastAsia="仿宋_GB2312" w:cs="仿宋_GB2312"/>
                <w:color w:val="auto"/>
                <w:kern w:val="0"/>
                <w:sz w:val="32"/>
                <w:szCs w:val="32"/>
              </w:rPr>
              <w:t>宣传部</w:t>
            </w:r>
          </w:p>
        </w:tc>
        <w:tc>
          <w:tcPr>
            <w:tcW w:w="1311" w:type="pct"/>
            <w:tcBorders>
              <w:top w:val="single" w:color="000000" w:sz="4" w:space="0"/>
              <w:left w:val="single" w:color="000000" w:sz="4" w:space="0"/>
              <w:bottom w:val="single" w:color="000000" w:sz="6" w:space="0"/>
              <w:right w:val="single" w:color="000000" w:sz="4" w:space="0"/>
            </w:tcBorders>
            <w:vAlign w:val="center"/>
          </w:tcPr>
          <w:p w14:paraId="5322FEA4">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工信局、公安局、生态环境局、卫健委、文化广电新闻出版旅游局、事发地的办事处或者政府等部门相关人员。</w:t>
            </w:r>
          </w:p>
        </w:tc>
        <w:tc>
          <w:tcPr>
            <w:tcW w:w="2702" w:type="pct"/>
            <w:tcBorders>
              <w:top w:val="single" w:color="000000" w:sz="4" w:space="0"/>
              <w:left w:val="single" w:color="000000" w:sz="4" w:space="0"/>
              <w:bottom w:val="single" w:color="000000" w:sz="4" w:space="0"/>
              <w:right w:val="single" w:color="000000" w:sz="6" w:space="0"/>
            </w:tcBorders>
            <w:vAlign w:val="center"/>
          </w:tcPr>
          <w:p w14:paraId="51CC90C1">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（1）组织开展事件进展、应急工作情况等权威信息发布，加强新闻宣传报道；</w:t>
            </w:r>
          </w:p>
          <w:p w14:paraId="76AECB63">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（2）收集分析各界舆情和社会公众动态，加强媒体、电信和互联网管理，正确引导舆论；</w:t>
            </w:r>
          </w:p>
          <w:p w14:paraId="50372B48">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（3）通过多种方式，通俗、权威、全面、前瞻地做好相关知识普及；</w:t>
            </w:r>
          </w:p>
          <w:p w14:paraId="14F7A49D">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（4）及时澄清不实信息，回应社会关切。</w:t>
            </w:r>
          </w:p>
        </w:tc>
      </w:tr>
      <w:tr w14:paraId="2D33FB2F">
        <w:tblPrEx>
          <w:tblCellMar>
            <w:top w:w="0" w:type="dxa"/>
            <w:left w:w="0" w:type="dxa"/>
            <w:bottom w:w="0" w:type="dxa"/>
            <w:right w:w="0" w:type="dxa"/>
          </w:tblCellMar>
        </w:tblPrEx>
        <w:trPr>
          <w:trHeight w:val="7975" w:hRule="atLeast"/>
        </w:trPr>
        <w:tc>
          <w:tcPr>
            <w:tcW w:w="562" w:type="pct"/>
            <w:tcBorders>
              <w:top w:val="single" w:color="000000" w:sz="4" w:space="0"/>
              <w:left w:val="single" w:color="000000" w:sz="6" w:space="0"/>
              <w:bottom w:val="single" w:color="000000" w:sz="4" w:space="0"/>
              <w:right w:val="single" w:color="000000" w:sz="4" w:space="0"/>
            </w:tcBorders>
            <w:vAlign w:val="center"/>
          </w:tcPr>
          <w:p w14:paraId="480715E8">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社会维稳组</w:t>
            </w:r>
          </w:p>
        </w:tc>
        <w:tc>
          <w:tcPr>
            <w:tcW w:w="424" w:type="pct"/>
            <w:tcBorders>
              <w:top w:val="single" w:color="000000" w:sz="4" w:space="0"/>
              <w:left w:val="single" w:color="000000" w:sz="4" w:space="0"/>
              <w:bottom w:val="single" w:color="000000" w:sz="4" w:space="0"/>
              <w:right w:val="single" w:color="000000" w:sz="4" w:space="0"/>
            </w:tcBorders>
            <w:vAlign w:val="center"/>
          </w:tcPr>
          <w:p w14:paraId="225AD02C">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公安局</w:t>
            </w:r>
          </w:p>
        </w:tc>
        <w:tc>
          <w:tcPr>
            <w:tcW w:w="1311" w:type="pct"/>
            <w:tcBorders>
              <w:top w:val="single" w:color="000000" w:sz="4" w:space="0"/>
              <w:left w:val="single" w:color="000000" w:sz="4" w:space="0"/>
              <w:bottom w:val="single" w:color="000000" w:sz="6" w:space="0"/>
              <w:right w:val="single" w:color="000000" w:sz="4" w:space="0"/>
            </w:tcBorders>
            <w:vAlign w:val="center"/>
          </w:tcPr>
          <w:p w14:paraId="00E217C3">
            <w:pPr>
              <w:keepNext w:val="0"/>
              <w:keepLines w:val="0"/>
              <w:pageBreakBefore w:val="0"/>
              <w:widowControl/>
              <w:wordWrap/>
              <w:topLinePunct w:val="0"/>
              <w:autoSpaceDE/>
              <w:autoSpaceDN/>
              <w:bidi w:val="0"/>
              <w:adjustRightInd w:val="0"/>
              <w:snapToGrid w:val="0"/>
              <w:spacing w:line="4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工信局、应急管理局、交警大队、市场监管局、</w:t>
            </w:r>
            <w:r>
              <w:rPr>
                <w:rFonts w:hint="eastAsia" w:ascii="仿宋_GB2312" w:hAnsi="仿宋_GB2312" w:eastAsia="仿宋_GB2312" w:cs="仿宋_GB2312"/>
                <w:color w:val="auto"/>
                <w:kern w:val="0"/>
                <w:sz w:val="32"/>
                <w:szCs w:val="32"/>
                <w:lang w:val="en-US" w:eastAsia="zh-CN"/>
              </w:rPr>
              <w:t>城市管理</w:t>
            </w:r>
            <w:r>
              <w:rPr>
                <w:rFonts w:hint="eastAsia" w:ascii="仿宋_GB2312" w:hAnsi="仿宋_GB2312" w:eastAsia="仿宋_GB2312" w:cs="仿宋_GB2312"/>
                <w:color w:val="auto"/>
                <w:kern w:val="0"/>
                <w:sz w:val="32"/>
                <w:szCs w:val="32"/>
              </w:rPr>
              <w:t>局、文化广电新闻出版旅游局、人武部、事发地的办事处或者政府等部门相关人员。</w:t>
            </w:r>
          </w:p>
        </w:tc>
        <w:tc>
          <w:tcPr>
            <w:tcW w:w="2702" w:type="pct"/>
            <w:tcBorders>
              <w:top w:val="single" w:color="000000" w:sz="4" w:space="0"/>
              <w:left w:val="single" w:color="000000" w:sz="4" w:space="0"/>
              <w:bottom w:val="single" w:color="000000" w:sz="4" w:space="0"/>
              <w:right w:val="single" w:color="000000" w:sz="6" w:space="0"/>
            </w:tcBorders>
            <w:vAlign w:val="center"/>
          </w:tcPr>
          <w:p w14:paraId="06DC1F14">
            <w:pPr>
              <w:keepNext w:val="0"/>
              <w:keepLines w:val="0"/>
              <w:pageBreakBefore w:val="0"/>
              <w:widowControl/>
              <w:kinsoku/>
              <w:wordWrap/>
              <w:overflowPunct/>
              <w:topLinePunct w:val="0"/>
              <w:autoSpaceDE/>
              <w:autoSpaceDN/>
              <w:bidi w:val="0"/>
              <w:adjustRightInd w:val="0"/>
              <w:snapToGrid w:val="0"/>
              <w:spacing w:line="5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（1）负责应急响应时的治安、保卫、交通管制和其他措施的落实；实施交通管制和交通疏导，保障救援道路畅通，保护现场，维护现场秩序；加强转移人员安置点、救灾物资存放点等重点地区治安管控；</w:t>
            </w:r>
          </w:p>
          <w:p w14:paraId="64ACD719">
            <w:pPr>
              <w:keepNext w:val="0"/>
              <w:keepLines w:val="0"/>
              <w:pageBreakBefore w:val="0"/>
              <w:widowControl/>
              <w:kinsoku/>
              <w:wordWrap/>
              <w:overflowPunct/>
              <w:topLinePunct w:val="0"/>
              <w:autoSpaceDE/>
              <w:autoSpaceDN/>
              <w:bidi w:val="0"/>
              <w:adjustRightInd w:val="0"/>
              <w:snapToGrid w:val="0"/>
              <w:spacing w:line="5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（2）加强受影响地区社会治安管理，严厉打击借机传播谣言制造社会恐慌、哄抢物资等违法犯罪行为；加强对重要生活必需品等商品的市场监管和调控，打击囤积居奇行为。</w:t>
            </w:r>
          </w:p>
          <w:p w14:paraId="77B53F80">
            <w:pPr>
              <w:keepNext w:val="0"/>
              <w:keepLines w:val="0"/>
              <w:pageBreakBefore w:val="0"/>
              <w:widowControl/>
              <w:kinsoku/>
              <w:wordWrap/>
              <w:overflowPunct/>
              <w:topLinePunct w:val="0"/>
              <w:autoSpaceDE/>
              <w:autoSpaceDN/>
              <w:bidi w:val="0"/>
              <w:adjustRightInd w:val="0"/>
              <w:snapToGrid w:val="0"/>
              <w:spacing w:line="5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（3）负责事发地周边安全警戒，组织突发事件发生区域的人员疏散、撤离。</w:t>
            </w:r>
          </w:p>
          <w:p w14:paraId="36418FDD">
            <w:pPr>
              <w:keepNext w:val="0"/>
              <w:keepLines w:val="0"/>
              <w:pageBreakBefore w:val="0"/>
              <w:widowControl/>
              <w:kinsoku/>
              <w:wordWrap/>
              <w:overflowPunct/>
              <w:topLinePunct w:val="0"/>
              <w:autoSpaceDE/>
              <w:autoSpaceDN/>
              <w:bidi w:val="0"/>
              <w:adjustRightInd w:val="0"/>
              <w:snapToGrid w:val="0"/>
              <w:spacing w:line="5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（4）做好受影响人员与涉事单位、地方政府及有关部门矛盾纠纷化解和法律服务工作，防止出现群体性事件，维护社会稳定，对发生的群体性事件，组织专业力量稳妥处置。</w:t>
            </w:r>
          </w:p>
          <w:p w14:paraId="4A78024D">
            <w:pPr>
              <w:keepNext w:val="0"/>
              <w:keepLines w:val="0"/>
              <w:pageBreakBefore w:val="0"/>
              <w:widowControl/>
              <w:kinsoku/>
              <w:wordWrap/>
              <w:overflowPunct/>
              <w:topLinePunct w:val="0"/>
              <w:autoSpaceDE/>
              <w:autoSpaceDN/>
              <w:bidi w:val="0"/>
              <w:adjustRightInd w:val="0"/>
              <w:snapToGrid w:val="0"/>
              <w:spacing w:line="52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（5）负责事故直接责任人的监控和逃逸人员的追捕；负责环境污染刑事案件的立案侦查。</w:t>
            </w:r>
          </w:p>
        </w:tc>
      </w:tr>
      <w:tr w14:paraId="16950F68">
        <w:tblPrEx>
          <w:tblCellMar>
            <w:top w:w="0" w:type="dxa"/>
            <w:left w:w="0" w:type="dxa"/>
            <w:bottom w:w="0" w:type="dxa"/>
            <w:right w:w="0" w:type="dxa"/>
          </w:tblCellMar>
        </w:tblPrEx>
        <w:trPr>
          <w:trHeight w:val="3740" w:hRule="atLeast"/>
        </w:trPr>
        <w:tc>
          <w:tcPr>
            <w:tcW w:w="562" w:type="pct"/>
            <w:tcBorders>
              <w:top w:val="single" w:color="000000" w:sz="4" w:space="0"/>
              <w:left w:val="single" w:color="000000" w:sz="6" w:space="0"/>
              <w:bottom w:val="single" w:color="000000" w:sz="4" w:space="0"/>
              <w:right w:val="single" w:color="000000" w:sz="4" w:space="0"/>
            </w:tcBorders>
            <w:vAlign w:val="center"/>
          </w:tcPr>
          <w:p w14:paraId="312FEA41">
            <w:pPr>
              <w:keepNext w:val="0"/>
              <w:keepLines w:val="0"/>
              <w:pageBreakBefore w:val="0"/>
              <w:widowControl/>
              <w:kinsoku w:val="0"/>
              <w:wordWrap/>
              <w:overflowPunct w:val="0"/>
              <w:topLinePunct w:val="0"/>
              <w:autoSpaceDE/>
              <w:autoSpaceDN/>
              <w:bidi w:val="0"/>
              <w:snapToGrid w:val="0"/>
              <w:spacing w:line="420" w:lineRule="exact"/>
              <w:ind w:firstLine="0" w:firstLineChars="0"/>
              <w:jc w:val="center"/>
              <w:textAlignment w:val="auto"/>
              <w:rPr>
                <w:rFonts w:hint="eastAsia" w:ascii="仿宋_GB2312" w:hAnsi="仿宋_GB2312" w:eastAsia="仿宋_GB2312" w:cs="仿宋_GB2312"/>
                <w:color w:val="auto"/>
                <w:spacing w:val="-1"/>
                <w:kern w:val="0"/>
                <w:sz w:val="32"/>
                <w:szCs w:val="32"/>
              </w:rPr>
            </w:pPr>
            <w:r>
              <w:rPr>
                <w:rFonts w:hint="eastAsia" w:ascii="仿宋_GB2312" w:hAnsi="仿宋_GB2312" w:eastAsia="仿宋_GB2312" w:cs="仿宋_GB2312"/>
                <w:color w:val="auto"/>
                <w:spacing w:val="-1"/>
                <w:kern w:val="0"/>
                <w:sz w:val="32"/>
                <w:szCs w:val="32"/>
              </w:rPr>
              <w:t>调查评估组</w:t>
            </w:r>
          </w:p>
        </w:tc>
        <w:tc>
          <w:tcPr>
            <w:tcW w:w="424" w:type="pct"/>
            <w:tcBorders>
              <w:top w:val="single" w:color="000000" w:sz="4" w:space="0"/>
              <w:left w:val="single" w:color="000000" w:sz="4" w:space="0"/>
              <w:bottom w:val="single" w:color="000000" w:sz="4" w:space="0"/>
              <w:right w:val="single" w:color="000000" w:sz="4" w:space="0"/>
            </w:tcBorders>
            <w:vAlign w:val="center"/>
          </w:tcPr>
          <w:p w14:paraId="615EB92D">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生态环境局</w:t>
            </w:r>
          </w:p>
        </w:tc>
        <w:tc>
          <w:tcPr>
            <w:tcW w:w="1311" w:type="pct"/>
            <w:tcBorders>
              <w:top w:val="single" w:color="000000" w:sz="4" w:space="0"/>
              <w:left w:val="single" w:color="000000" w:sz="4" w:space="0"/>
              <w:bottom w:val="single" w:color="000000" w:sz="6" w:space="0"/>
              <w:right w:val="single" w:color="000000" w:sz="4" w:space="0"/>
            </w:tcBorders>
            <w:vAlign w:val="center"/>
          </w:tcPr>
          <w:p w14:paraId="4A44DBC8">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应急管理局、卫健委、公安局、</w:t>
            </w:r>
            <w:r>
              <w:rPr>
                <w:rFonts w:hint="eastAsia" w:ascii="仿宋_GB2312" w:hAnsi="仿宋_GB2312" w:eastAsia="仿宋_GB2312" w:cs="仿宋_GB2312"/>
                <w:color w:val="auto"/>
                <w:kern w:val="0"/>
                <w:sz w:val="32"/>
                <w:szCs w:val="32"/>
                <w:lang w:eastAsia="zh-CN"/>
              </w:rPr>
              <w:t>自然资源和规划局</w:t>
            </w:r>
            <w:r>
              <w:rPr>
                <w:rFonts w:hint="eastAsia" w:ascii="仿宋_GB2312" w:hAnsi="仿宋_GB2312" w:eastAsia="仿宋_GB2312" w:cs="仿宋_GB2312"/>
                <w:color w:val="auto"/>
                <w:kern w:val="0"/>
                <w:sz w:val="32"/>
                <w:szCs w:val="32"/>
              </w:rPr>
              <w:t>、交警大队、农业农村水利局、市场监管局、事发地的办事处或者政府等部门相关人员。</w:t>
            </w:r>
          </w:p>
        </w:tc>
        <w:tc>
          <w:tcPr>
            <w:tcW w:w="2702" w:type="pct"/>
            <w:tcBorders>
              <w:top w:val="single" w:color="000000" w:sz="4" w:space="0"/>
              <w:left w:val="single" w:color="000000" w:sz="4" w:space="0"/>
              <w:bottom w:val="single" w:color="000000" w:sz="4" w:space="0"/>
              <w:right w:val="single" w:color="000000" w:sz="6" w:space="0"/>
            </w:tcBorders>
            <w:vAlign w:val="center"/>
          </w:tcPr>
          <w:p w14:paraId="4803CDFC">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（1）开展突发环境事件环境污染损害调查，委托开展评估、核实事件造成的损失情况。</w:t>
            </w:r>
          </w:p>
          <w:p w14:paraId="5D691FA0">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（2）对特别重大、重大、较大环境事件的起因、性质、影响、责任、经验教训和恢复重建等问题进行调查评估，提出事件防范意见。</w:t>
            </w:r>
          </w:p>
          <w:p w14:paraId="7390A215">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（3）对应急处置过程、有关人员的责任、应急处置工作的经验、存在的问题等情况进行分析，及时形成总结上报区突发环境事件应急指挥部，并存档。</w:t>
            </w:r>
          </w:p>
        </w:tc>
      </w:tr>
      <w:tr w14:paraId="7C9F791A">
        <w:tblPrEx>
          <w:tblCellMar>
            <w:top w:w="0" w:type="dxa"/>
            <w:left w:w="0" w:type="dxa"/>
            <w:bottom w:w="0" w:type="dxa"/>
            <w:right w:w="0" w:type="dxa"/>
          </w:tblCellMar>
        </w:tblPrEx>
        <w:tc>
          <w:tcPr>
            <w:tcW w:w="562" w:type="pct"/>
            <w:tcBorders>
              <w:top w:val="single" w:color="000000" w:sz="4" w:space="0"/>
              <w:left w:val="single" w:color="000000" w:sz="6" w:space="0"/>
              <w:bottom w:val="single" w:color="000000" w:sz="4" w:space="0"/>
              <w:right w:val="single" w:color="000000" w:sz="4" w:space="0"/>
            </w:tcBorders>
            <w:vAlign w:val="center"/>
          </w:tcPr>
          <w:p w14:paraId="011F1EDD">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应急专家组</w:t>
            </w:r>
          </w:p>
        </w:tc>
        <w:tc>
          <w:tcPr>
            <w:tcW w:w="424" w:type="pct"/>
            <w:tcBorders>
              <w:top w:val="single" w:color="000000" w:sz="4" w:space="0"/>
              <w:left w:val="single" w:color="000000" w:sz="4" w:space="0"/>
              <w:bottom w:val="single" w:color="000000" w:sz="4" w:space="0"/>
              <w:right w:val="single" w:color="000000" w:sz="4" w:space="0"/>
            </w:tcBorders>
            <w:vAlign w:val="center"/>
          </w:tcPr>
          <w:p w14:paraId="642C4BEE">
            <w:pPr>
              <w:keepNext w:val="0"/>
              <w:keepLines w:val="0"/>
              <w:pageBreakBefore w:val="0"/>
              <w:widowControl/>
              <w:wordWrap/>
              <w:topLinePunct w:val="0"/>
              <w:autoSpaceDE/>
              <w:autoSpaceDN/>
              <w:bidi w:val="0"/>
              <w:adjustRightInd w:val="0"/>
              <w:snapToGrid w:val="0"/>
              <w:spacing w:line="420" w:lineRule="exact"/>
              <w:ind w:firstLine="0" w:firstLineChars="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生态环境局</w:t>
            </w:r>
          </w:p>
        </w:tc>
        <w:tc>
          <w:tcPr>
            <w:tcW w:w="1311" w:type="pct"/>
            <w:tcBorders>
              <w:top w:val="single" w:color="000000" w:sz="4" w:space="0"/>
              <w:left w:val="single" w:color="000000" w:sz="4" w:space="0"/>
              <w:bottom w:val="single" w:color="000000" w:sz="6" w:space="0"/>
              <w:right w:val="single" w:color="000000" w:sz="4" w:space="0"/>
            </w:tcBorders>
            <w:vAlign w:val="center"/>
          </w:tcPr>
          <w:p w14:paraId="200932BB">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由突发环境事件应急指挥部各成员单位推荐本专业及相关专业专家组成，主要包括环境应急管理、环境监测、危险化学品、安全生产、生态环境与生物安全、环境评估、防化、农林水利、卫生、治安、消防等方面的专家。具体专家名单由应急协调办公室动态更新。</w:t>
            </w:r>
          </w:p>
        </w:tc>
        <w:tc>
          <w:tcPr>
            <w:tcW w:w="2702" w:type="pct"/>
            <w:tcBorders>
              <w:top w:val="single" w:color="000000" w:sz="4" w:space="0"/>
              <w:left w:val="single" w:color="000000" w:sz="4" w:space="0"/>
              <w:bottom w:val="single" w:color="000000" w:sz="4" w:space="0"/>
              <w:right w:val="single" w:color="000000" w:sz="6" w:space="0"/>
            </w:tcBorders>
            <w:vAlign w:val="center"/>
          </w:tcPr>
          <w:p w14:paraId="081E4793">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（1）应急预案启动后，根据突发环境事件的类型，组织相关专家参与突发环境事件调查、原因分析，对事件的信息进行综合分析和研究；协助判别事件类型和预警等级；</w:t>
            </w:r>
          </w:p>
          <w:p w14:paraId="696299FA">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（2）对事故危害进行预测，为应对突发环境事件提供决策建议、专业咨询、理论指导和技术支持；向应急领导小组提出正确、科学、安全、快速处置事件的技术方案及建议；</w:t>
            </w:r>
          </w:p>
          <w:p w14:paraId="6DE33BB6">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（3）对应急处理、污染控制和事件后期评估与总结等提供咨询。</w:t>
            </w:r>
          </w:p>
          <w:p w14:paraId="4045AB1E">
            <w:pPr>
              <w:keepNext w:val="0"/>
              <w:keepLines w:val="0"/>
              <w:pageBreakBefore w:val="0"/>
              <w:widowControl/>
              <w:kinsoku/>
              <w:wordWrap/>
              <w:overflowPunct/>
              <w:topLinePunct w:val="0"/>
              <w:autoSpaceDE/>
              <w:autoSpaceDN/>
              <w:bidi w:val="0"/>
              <w:adjustRightInd w:val="0"/>
              <w:snapToGrid w:val="0"/>
              <w:spacing w:line="440" w:lineRule="exact"/>
              <w:ind w:firstLine="0" w:firstLineChars="0"/>
              <w:textAlignment w:val="auto"/>
              <w:rPr>
                <w:rFonts w:hint="eastAsia" w:ascii="仿宋_GB2312" w:hAnsi="仿宋_GB2312" w:eastAsia="仿宋_GB2312" w:cs="仿宋_GB2312"/>
                <w:color w:val="auto"/>
                <w:kern w:val="0"/>
                <w:sz w:val="32"/>
                <w:szCs w:val="32"/>
              </w:rPr>
            </w:pPr>
          </w:p>
        </w:tc>
      </w:tr>
    </w:tbl>
    <w:p w14:paraId="574AA5A8">
      <w:pPr>
        <w:ind w:left="0" w:leftChars="0" w:firstLine="0" w:firstLineChars="0"/>
        <w:rPr>
          <w:rFonts w:hint="default" w:ascii="Times New Roman" w:hAnsi="Times New Roman" w:cs="Times New Roman"/>
          <w:color w:val="auto"/>
        </w:rPr>
        <w:sectPr>
          <w:pgSz w:w="16838" w:h="11906" w:orient="landscape"/>
          <w:pgMar w:top="1746" w:right="1440" w:bottom="1746" w:left="1440" w:header="851" w:footer="992" w:gutter="0"/>
          <w:pgNumType w:fmt="decimal"/>
          <w:cols w:space="425" w:num="1"/>
          <w:docGrid w:type="lines" w:linePitch="326" w:charSpace="0"/>
        </w:sectPr>
      </w:pPr>
    </w:p>
    <w:p w14:paraId="3FAE4E3E">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ascii="方正小标宋简体" w:hAnsi="方正小标宋简体" w:eastAsia="方正小标宋简体" w:cs="方正小标宋简体"/>
          <w:b w:val="0"/>
          <w:bCs/>
          <w:color w:val="auto"/>
          <w:sz w:val="32"/>
          <w:szCs w:val="32"/>
        </w:rPr>
      </w:pPr>
      <w:bookmarkStart w:id="60" w:name="_Toc12615"/>
      <w:bookmarkStart w:id="61" w:name="_Toc15562"/>
      <w:bookmarkStart w:id="62" w:name="_Toc15833"/>
      <w:bookmarkStart w:id="63" w:name="_Toc32732"/>
      <w:r>
        <w:rPr>
          <w:rFonts w:hint="eastAsia" w:ascii="方正小标宋简体" w:hAnsi="方正小标宋简体" w:eastAsia="方正小标宋简体" w:cs="方正小标宋简体"/>
          <w:b w:val="0"/>
          <w:bCs/>
          <w:color w:val="auto"/>
          <w:sz w:val="32"/>
          <w:szCs w:val="32"/>
        </w:rPr>
        <w:t>监测预防与预警</w:t>
      </w:r>
      <w:bookmarkEnd w:id="60"/>
      <w:bookmarkEnd w:id="61"/>
      <w:bookmarkEnd w:id="62"/>
      <w:bookmarkEnd w:id="63"/>
    </w:p>
    <w:p w14:paraId="2E7718B3">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64" w:name="_Toc20992"/>
      <w:bookmarkStart w:id="65" w:name="_Toc18417"/>
      <w:bookmarkStart w:id="66" w:name="_Toc10463"/>
      <w:bookmarkStart w:id="67" w:name="_Toc2423"/>
      <w:r>
        <w:rPr>
          <w:rFonts w:hint="eastAsia" w:ascii="黑体" w:hAnsi="黑体" w:eastAsia="黑体" w:cs="黑体"/>
          <w:b w:val="0"/>
          <w:bCs w:val="0"/>
          <w:snapToGrid w:val="0"/>
          <w:color w:val="auto"/>
          <w:spacing w:val="0"/>
          <w:kern w:val="0"/>
          <w:sz w:val="32"/>
          <w:szCs w:val="32"/>
        </w:rPr>
        <w:t>监测和风险分析</w:t>
      </w:r>
      <w:bookmarkEnd w:id="64"/>
      <w:bookmarkEnd w:id="65"/>
      <w:bookmarkEnd w:id="66"/>
      <w:bookmarkEnd w:id="67"/>
    </w:p>
    <w:p w14:paraId="73C11B4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生态环境及其他有关部门加强日常环境监测，并对可能导致突发环境事件的风险信息加强收集、分析和研判。安全监管、交通运输、公安、住建、</w:t>
      </w:r>
      <w:r>
        <w:rPr>
          <w:rFonts w:hint="eastAsia" w:ascii="仿宋_GB2312" w:hAnsi="仿宋_GB2312" w:eastAsia="仿宋_GB2312" w:cs="仿宋_GB2312"/>
          <w:snapToGrid w:val="0"/>
          <w:color w:val="auto"/>
          <w:spacing w:val="0"/>
          <w:kern w:val="0"/>
          <w:sz w:val="32"/>
          <w:szCs w:val="32"/>
          <w:lang w:val="en-US" w:eastAsia="zh-CN"/>
        </w:rPr>
        <w:t>农业农村</w:t>
      </w:r>
      <w:r>
        <w:rPr>
          <w:rFonts w:hint="default" w:ascii="仿宋_GB2312" w:hAnsi="仿宋_GB2312" w:eastAsia="仿宋_GB2312" w:cs="仿宋_GB2312"/>
          <w:snapToGrid w:val="0"/>
          <w:color w:val="auto"/>
          <w:spacing w:val="0"/>
          <w:kern w:val="0"/>
          <w:sz w:val="32"/>
          <w:szCs w:val="32"/>
        </w:rPr>
        <w:t>水利、卫生健康、气象等有关部门按照职责分工，及时将可能导致突发环境事件的信息通报同级生态环境保护主管部门。</w:t>
      </w:r>
    </w:p>
    <w:p w14:paraId="11BD521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企业事业单位和其他生产经营者应当落实环境安全主体责任，定期排查环境安全隐患，开展环境风险评估，健全风险防控措施，按照相关规定开展突发环境事件应急预案的编制、备案工作。当出现可能导致突发环境事件的情况时，要立即报告当地生态环境主管部门。</w:t>
      </w:r>
    </w:p>
    <w:p w14:paraId="4E99B522">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68" w:name="_Toc11519"/>
      <w:bookmarkStart w:id="69" w:name="_Toc9732"/>
      <w:bookmarkStart w:id="70" w:name="_Toc4627"/>
      <w:bookmarkStart w:id="71" w:name="_Toc32442"/>
      <w:r>
        <w:rPr>
          <w:rFonts w:hint="default" w:ascii="黑体" w:hAnsi="黑体" w:eastAsia="黑体" w:cs="黑体"/>
          <w:b w:val="0"/>
          <w:bCs w:val="0"/>
          <w:snapToGrid w:val="0"/>
          <w:color w:val="auto"/>
          <w:spacing w:val="0"/>
          <w:kern w:val="0"/>
          <w:sz w:val="32"/>
          <w:szCs w:val="32"/>
        </w:rPr>
        <w:t>预警先期处置</w:t>
      </w:r>
      <w:bookmarkEnd w:id="68"/>
      <w:bookmarkEnd w:id="69"/>
      <w:bookmarkEnd w:id="70"/>
      <w:bookmarkEnd w:id="71"/>
    </w:p>
    <w:p w14:paraId="15D26B8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涉事企业事业单位要立即启动本单位环境应急预案，指挥本单位应急救援队伍和工作人员营救受害人员，做好现场人员疏散和公共秩序维护；切断或控制污染源，防止发生次生、衍生灾害和扩大危害范围，尽量降低对周边环境的影响。</w:t>
      </w:r>
    </w:p>
    <w:p w14:paraId="19A68D9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人民政府接到信息报告后，要快速实施处置工作，切断或控制污染源，全力控制事件态势，避免污染物扩散，严防发生二次污染和次生、衍生灾害。</w:t>
      </w:r>
    </w:p>
    <w:p w14:paraId="300F6435">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72" w:name="_Toc8242"/>
      <w:bookmarkStart w:id="73" w:name="_Toc30703"/>
      <w:bookmarkStart w:id="74" w:name="_Toc12823"/>
      <w:bookmarkStart w:id="75" w:name="_Toc14579"/>
      <w:r>
        <w:rPr>
          <w:rFonts w:hint="default" w:ascii="黑体" w:hAnsi="黑体" w:eastAsia="黑体" w:cs="黑体"/>
          <w:b w:val="0"/>
          <w:bCs w:val="0"/>
          <w:snapToGrid w:val="0"/>
          <w:color w:val="auto"/>
          <w:spacing w:val="0"/>
          <w:kern w:val="0"/>
          <w:sz w:val="32"/>
          <w:szCs w:val="32"/>
        </w:rPr>
        <w:t>预警</w:t>
      </w:r>
      <w:bookmarkEnd w:id="72"/>
      <w:bookmarkEnd w:id="73"/>
      <w:bookmarkEnd w:id="74"/>
      <w:bookmarkEnd w:id="75"/>
    </w:p>
    <w:p w14:paraId="49DF29C0">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snapToGrid w:val="0"/>
          <w:color w:val="auto"/>
          <w:spacing w:val="0"/>
          <w:kern w:val="0"/>
          <w:sz w:val="32"/>
          <w:szCs w:val="32"/>
        </w:rPr>
      </w:pPr>
      <w:r>
        <w:rPr>
          <w:rFonts w:hint="default" w:ascii="楷体_GB2312" w:hAnsi="楷体_GB2312" w:eastAsia="楷体_GB2312" w:cs="楷体_GB2312"/>
          <w:b/>
          <w:bCs/>
          <w:snapToGrid w:val="0"/>
          <w:color w:val="auto"/>
          <w:spacing w:val="0"/>
          <w:kern w:val="0"/>
          <w:sz w:val="32"/>
          <w:szCs w:val="32"/>
        </w:rPr>
        <w:t>预警分级</w:t>
      </w:r>
    </w:p>
    <w:p w14:paraId="7287234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根据突发环境事件的严重性可分为Ⅰ级（特大）、Ⅱ级（重大）、Ⅲ级（较大）和Ⅳ（一般）环境事件，依次用红色、橙色、黄色和蓝色表示。根据事态的发展情况和采取措施的效果，预警级别可以升级、降级或解除。</w:t>
      </w:r>
    </w:p>
    <w:p w14:paraId="02D6EFD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收集到的有关信息证明突发环境事件即将发生或者发生的可能性增大时，按照相关应急响应进入预警状态。</w:t>
      </w:r>
    </w:p>
    <w:p w14:paraId="6D457467">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
          <w:bCs/>
          <w:snapToGrid w:val="0"/>
          <w:color w:val="auto"/>
          <w:spacing w:val="0"/>
          <w:kern w:val="0"/>
          <w:sz w:val="32"/>
          <w:szCs w:val="32"/>
        </w:rPr>
      </w:pPr>
      <w:r>
        <w:rPr>
          <w:rFonts w:hint="default" w:ascii="楷体_GB2312" w:hAnsi="楷体_GB2312" w:eastAsia="楷体_GB2312" w:cs="楷体_GB2312"/>
          <w:b/>
          <w:bCs/>
          <w:snapToGrid w:val="0"/>
          <w:color w:val="auto"/>
          <w:spacing w:val="0"/>
          <w:kern w:val="0"/>
          <w:sz w:val="32"/>
          <w:szCs w:val="32"/>
        </w:rPr>
        <w:t>预警信息发布</w:t>
      </w:r>
    </w:p>
    <w:p w14:paraId="4667F7B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预警信息发布内容包括事件类别、预警级别、可能影响范围、警示事项、应当采取的措施和发布机关等。</w:t>
      </w:r>
    </w:p>
    <w:p w14:paraId="2D09B46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生态环境局研判可能发生突发环境事件时，应及时向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人民政府提出预警信息发布建议，同时通报同级相关部门和单位。具体发布流程按照《江西省突发事件预警信息发布管理办法（试行）》相关规定执行。</w:t>
      </w:r>
    </w:p>
    <w:p w14:paraId="24352BE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预警信息发布实行严格的审签制。Ⅰ级和Ⅱ级预警信息由省级突发环境事件应急指挥机构研判和发布。Ⅲ级预警信息由</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市突发环境事件应急指挥部发布。Ⅳ级预警信息由</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突发环境事件应急指挥部或委托的部门、单位主要负责人签发。</w:t>
      </w:r>
    </w:p>
    <w:p w14:paraId="6230AAA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发布可能引起公众恐慌、影响社会稳定的预警信息，需经</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人民政府主要领导批准。</w:t>
      </w:r>
    </w:p>
    <w:p w14:paraId="10803B4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预警信息经审批后，通过</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市突发事件预警信息发布中心发布，或根据需要通过其他途径发布。</w:t>
      </w:r>
    </w:p>
    <w:p w14:paraId="6D8A15E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预警信息的发布、调整和解除可通过广播、电视、报刊、通信、信息网络、警报器、宣传车或组织人员逐户通知等方式，对老、幼、病、残、孕等特殊人群以及学校等特殊场所和警报盲区应当采取有针对性的公告方式。</w:t>
      </w:r>
    </w:p>
    <w:p w14:paraId="37DD45F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发布预警信息的部门、单位应加强对预警信息动态管理，根据事态发展变化，适时调整预警级别、更新预警信息内容，并重新发布、报告和通报有关情况。</w:t>
      </w:r>
    </w:p>
    <w:p w14:paraId="409E488F">
      <w:pPr>
        <w:pStyle w:val="36"/>
        <w:pageBreakBefore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b/>
          <w:bCs/>
          <w:snapToGrid w:val="0"/>
          <w:color w:val="auto"/>
          <w:spacing w:val="0"/>
          <w:kern w:val="0"/>
          <w:sz w:val="32"/>
          <w:szCs w:val="32"/>
        </w:rPr>
      </w:pPr>
      <w:r>
        <w:rPr>
          <w:rFonts w:hint="eastAsia" w:ascii="楷体_GB2312" w:hAnsi="楷体_GB2312" w:eastAsia="楷体_GB2312" w:cs="楷体_GB2312"/>
          <w:b/>
          <w:bCs/>
          <w:snapToGrid w:val="0"/>
          <w:color w:val="auto"/>
          <w:spacing w:val="0"/>
          <w:kern w:val="0"/>
          <w:sz w:val="32"/>
          <w:szCs w:val="32"/>
        </w:rPr>
        <w:t>预警措施</w:t>
      </w:r>
    </w:p>
    <w:p w14:paraId="0CEB13C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预警信息发布后，</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人民政府及其有关部门视情采取以下措施：</w:t>
      </w:r>
    </w:p>
    <w:p w14:paraId="3CF8CDF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（1）分析研判。组织有关部门、机构及专家，及时对预警信息进行分析研判，预估可能的影响范围和危害程度。</w:t>
      </w:r>
    </w:p>
    <w:p w14:paraId="5266EC6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（2）防范处置。迅速采取有效处置措施，控制事件苗头。在涉险区域设置注意事项提示或事件危害警告标志，利用各种渠道增加宣传频次，告知公众避险和减轻危害的常识、需</w:t>
      </w:r>
      <w:r>
        <w:rPr>
          <w:rFonts w:hint="eastAsia" w:ascii="仿宋_GB2312" w:hAnsi="仿宋_GB2312" w:eastAsia="仿宋_GB2312" w:cs="仿宋_GB2312"/>
          <w:snapToGrid w:val="0"/>
          <w:color w:val="auto"/>
          <w:spacing w:val="0"/>
          <w:kern w:val="0"/>
          <w:sz w:val="32"/>
          <w:szCs w:val="32"/>
          <w:lang w:eastAsia="zh-CN"/>
        </w:rPr>
        <w:t>采取</w:t>
      </w:r>
      <w:r>
        <w:rPr>
          <w:rFonts w:hint="default" w:ascii="仿宋_GB2312" w:hAnsi="仿宋_GB2312" w:eastAsia="仿宋_GB2312" w:cs="仿宋_GB2312"/>
          <w:snapToGrid w:val="0"/>
          <w:color w:val="auto"/>
          <w:spacing w:val="0"/>
          <w:kern w:val="0"/>
          <w:sz w:val="32"/>
          <w:szCs w:val="32"/>
        </w:rPr>
        <w:t>必要的健康防护措施。</w:t>
      </w:r>
    </w:p>
    <w:p w14:paraId="3448E26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应急准备。提前疏散、转移可能受到危害的人员，并进行妥善安置。责令应急救援队伍、负有特定职责的人员进入待命状态，动员后备人员做好参加应急救援和处置工作的准备，并调集应急所需物资和设备，做好应急保障工作。对可能导致突发环境事件发生的相关企业事业单位依法实行停运、限产、停产等相应措施，封闭、隔离或限制使用有关场所，中止或限制可能导致危害扩大的行为和活动。</w:t>
      </w:r>
    </w:p>
    <w:p w14:paraId="4F997AE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（4）舆论引导。及时准确发布事态最新情况，公布咨询电话，组织专家解读。加强相关舆情监测，做好舆论引导工作。</w:t>
      </w:r>
    </w:p>
    <w:p w14:paraId="5F43B49D">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76" w:name="_Toc12167"/>
      <w:bookmarkStart w:id="77" w:name="_Toc2638"/>
      <w:bookmarkStart w:id="78" w:name="_Toc243"/>
      <w:bookmarkStart w:id="79" w:name="_Toc4531"/>
      <w:bookmarkStart w:id="80" w:name="_Toc14181"/>
      <w:r>
        <w:rPr>
          <w:rFonts w:hint="default" w:ascii="黑体" w:hAnsi="黑体" w:eastAsia="黑体" w:cs="黑体"/>
          <w:b w:val="0"/>
          <w:bCs w:val="0"/>
          <w:snapToGrid w:val="0"/>
          <w:color w:val="auto"/>
          <w:spacing w:val="0"/>
          <w:kern w:val="0"/>
          <w:sz w:val="32"/>
          <w:szCs w:val="32"/>
        </w:rPr>
        <w:t>预警变更和解除</w:t>
      </w:r>
      <w:bookmarkEnd w:id="76"/>
      <w:bookmarkEnd w:id="77"/>
      <w:bookmarkEnd w:id="78"/>
      <w:bookmarkEnd w:id="79"/>
      <w:bookmarkEnd w:id="80"/>
    </w:p>
    <w:p w14:paraId="0E9D85E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人民政府根据事态的发展情况和采取措施的效果适时调整预警级别并重新发布。当判断不可能发生突发环境事件或危险已经解除的，应当立即宣布解除预警，终止预警期，并解除相关措施。</w:t>
      </w:r>
    </w:p>
    <w:p w14:paraId="571B068E">
      <w:pPr>
        <w:pStyle w:val="29"/>
        <w:rPr>
          <w:rFonts w:hint="default" w:ascii="Times New Roman" w:hAnsi="Times New Roman" w:cs="Times New Roman"/>
          <w:color w:val="auto"/>
        </w:rPr>
      </w:pPr>
    </w:p>
    <w:p w14:paraId="5C78B1DA">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ascii="方正小标宋简体" w:hAnsi="方正小标宋简体" w:eastAsia="方正小标宋简体" w:cs="方正小标宋简体"/>
          <w:b w:val="0"/>
          <w:bCs/>
          <w:color w:val="auto"/>
        </w:rPr>
      </w:pPr>
      <w:bookmarkStart w:id="81" w:name="_Toc21646"/>
      <w:bookmarkStart w:id="82" w:name="_Toc25998"/>
      <w:bookmarkStart w:id="83" w:name="_Toc24385"/>
      <w:bookmarkStart w:id="84" w:name="_Toc23884"/>
      <w:r>
        <w:rPr>
          <w:rFonts w:hint="eastAsia" w:ascii="方正小标宋简体" w:hAnsi="方正小标宋简体" w:eastAsia="方正小标宋简体" w:cs="方正小标宋简体"/>
          <w:b w:val="0"/>
          <w:bCs/>
          <w:color w:val="auto"/>
        </w:rPr>
        <w:t>信息报告与通报</w:t>
      </w:r>
      <w:bookmarkEnd w:id="81"/>
      <w:bookmarkEnd w:id="82"/>
      <w:bookmarkEnd w:id="83"/>
      <w:bookmarkEnd w:id="84"/>
    </w:p>
    <w:p w14:paraId="2F95C77E">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85" w:name="_Toc2521"/>
      <w:bookmarkStart w:id="86" w:name="_Toc8610"/>
      <w:bookmarkStart w:id="87" w:name="_Toc872"/>
      <w:bookmarkStart w:id="88" w:name="_Toc5730"/>
      <w:bookmarkStart w:id="89" w:name="_Toc281"/>
      <w:r>
        <w:rPr>
          <w:rFonts w:hint="eastAsia" w:ascii="黑体" w:hAnsi="黑体" w:eastAsia="黑体" w:cs="黑体"/>
          <w:b w:val="0"/>
          <w:bCs w:val="0"/>
          <w:snapToGrid w:val="0"/>
          <w:color w:val="auto"/>
          <w:spacing w:val="0"/>
          <w:kern w:val="0"/>
          <w:sz w:val="32"/>
          <w:szCs w:val="32"/>
        </w:rPr>
        <w:t>信息接报</w:t>
      </w:r>
      <w:bookmarkEnd w:id="85"/>
      <w:bookmarkEnd w:id="86"/>
      <w:bookmarkEnd w:id="87"/>
      <w:bookmarkEnd w:id="88"/>
      <w:bookmarkEnd w:id="89"/>
    </w:p>
    <w:p w14:paraId="4F1842F0">
      <w:pPr>
        <w:pStyle w:val="36"/>
        <w:pageBreakBefore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bCs/>
          <w:snapToGrid w:val="0"/>
          <w:color w:val="auto"/>
          <w:spacing w:val="0"/>
          <w:kern w:val="0"/>
          <w:sz w:val="32"/>
          <w:szCs w:val="32"/>
        </w:rPr>
      </w:pPr>
      <w:r>
        <w:rPr>
          <w:rFonts w:hint="eastAsia" w:ascii="楷体_GB2312" w:hAnsi="楷体_GB2312" w:eastAsia="楷体_GB2312" w:cs="楷体_GB2312"/>
          <w:bCs/>
          <w:snapToGrid w:val="0"/>
          <w:color w:val="auto"/>
          <w:spacing w:val="0"/>
          <w:kern w:val="0"/>
          <w:sz w:val="32"/>
          <w:szCs w:val="32"/>
        </w:rPr>
        <w:t>报告程序和时限</w:t>
      </w:r>
    </w:p>
    <w:p w14:paraId="7530574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任何部门、单位和个人都有及时上报突发环境事件的责任。发生突发环境事件的单位以及负有监管责任的单位或部门在发现突发环境事件后，无论事件级别大小，都应当立即向所在乡（镇）政府、</w:t>
      </w:r>
      <w:r>
        <w:rPr>
          <w:rFonts w:hint="eastAsia" w:ascii="仿宋_GB2312" w:hAnsi="仿宋_GB2312" w:eastAsia="仿宋_GB2312" w:cs="仿宋_GB2312"/>
          <w:snapToGrid w:val="0"/>
          <w:color w:val="auto"/>
          <w:spacing w:val="0"/>
          <w:kern w:val="0"/>
          <w:sz w:val="32"/>
          <w:szCs w:val="32"/>
          <w:lang w:val="en-US" w:eastAsia="zh-CN"/>
        </w:rPr>
        <w:t>街道办事处</w:t>
      </w:r>
      <w:r>
        <w:rPr>
          <w:rFonts w:hint="default" w:ascii="仿宋_GB2312" w:hAnsi="仿宋_GB2312" w:eastAsia="仿宋_GB2312" w:cs="仿宋_GB2312"/>
          <w:snapToGrid w:val="0"/>
          <w:color w:val="auto"/>
          <w:spacing w:val="0"/>
          <w:kern w:val="0"/>
          <w:sz w:val="32"/>
          <w:szCs w:val="32"/>
        </w:rPr>
        <w:t>报告。乡（镇）政府、</w:t>
      </w:r>
      <w:r>
        <w:rPr>
          <w:rFonts w:hint="eastAsia" w:ascii="仿宋_GB2312" w:hAnsi="仿宋_GB2312" w:eastAsia="仿宋_GB2312" w:cs="仿宋_GB2312"/>
          <w:snapToGrid w:val="0"/>
          <w:color w:val="auto"/>
          <w:spacing w:val="0"/>
          <w:kern w:val="0"/>
          <w:sz w:val="32"/>
          <w:szCs w:val="32"/>
          <w:lang w:val="en-US" w:eastAsia="zh-CN"/>
        </w:rPr>
        <w:t>街道办事处</w:t>
      </w:r>
      <w:r>
        <w:rPr>
          <w:rFonts w:hint="default" w:ascii="仿宋_GB2312" w:hAnsi="仿宋_GB2312" w:eastAsia="仿宋_GB2312" w:cs="仿宋_GB2312"/>
          <w:snapToGrid w:val="0"/>
          <w:color w:val="auto"/>
          <w:spacing w:val="0"/>
          <w:kern w:val="0"/>
          <w:sz w:val="32"/>
          <w:szCs w:val="32"/>
        </w:rPr>
        <w:t>应急委员会在接到报告后应当在1小时内向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应急委员会报告，同时，报</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应急管理局。</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生态环境局接到突发环境事件举报后，应在1小时内上报</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环境应急指挥部和</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应急委员会。</w:t>
      </w:r>
    </w:p>
    <w:p w14:paraId="24C9917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突发环境事件发生或者可能发生跨行政区域危害或者损害的，事故发生地的县</w:t>
      </w:r>
      <w:r>
        <w:rPr>
          <w:rFonts w:hint="eastAsia" w:ascii="仿宋_GB2312" w:hAnsi="仿宋_GB2312" w:eastAsia="仿宋_GB2312" w:cs="仿宋_GB2312"/>
          <w:snapToGrid w:val="0"/>
          <w:color w:val="auto"/>
          <w:spacing w:val="0"/>
          <w:kern w:val="0"/>
          <w:sz w:val="32"/>
          <w:szCs w:val="32"/>
          <w:lang w:eastAsia="zh-CN"/>
        </w:rPr>
        <w:t>（</w:t>
      </w:r>
      <w:r>
        <w:rPr>
          <w:rFonts w:hint="eastAsia" w:ascii="仿宋_GB2312" w:hAnsi="仿宋_GB2312" w:eastAsia="仿宋_GB2312" w:cs="仿宋_GB2312"/>
          <w:snapToGrid w:val="0"/>
          <w:color w:val="auto"/>
          <w:spacing w:val="0"/>
          <w:kern w:val="0"/>
          <w:sz w:val="32"/>
          <w:szCs w:val="32"/>
          <w:lang w:val="en-US" w:eastAsia="zh-CN"/>
        </w:rPr>
        <w:t>区</w:t>
      </w:r>
      <w:r>
        <w:rPr>
          <w:rFonts w:hint="eastAsia" w:ascii="仿宋_GB2312" w:hAnsi="仿宋_GB2312" w:eastAsia="仿宋_GB2312" w:cs="仿宋_GB2312"/>
          <w:snapToGrid w:val="0"/>
          <w:color w:val="auto"/>
          <w:spacing w:val="0"/>
          <w:kern w:val="0"/>
          <w:sz w:val="32"/>
          <w:szCs w:val="32"/>
          <w:lang w:eastAsia="zh-CN"/>
        </w:rPr>
        <w:t>）</w:t>
      </w:r>
      <w:r>
        <w:rPr>
          <w:rFonts w:hint="default" w:ascii="仿宋_GB2312" w:hAnsi="仿宋_GB2312" w:eastAsia="仿宋_GB2312" w:cs="仿宋_GB2312"/>
          <w:snapToGrid w:val="0"/>
          <w:color w:val="auto"/>
          <w:spacing w:val="0"/>
          <w:kern w:val="0"/>
          <w:sz w:val="32"/>
          <w:szCs w:val="32"/>
        </w:rPr>
        <w:t>级以上人民政府应当及时向受到或者可能受到事件危害或者损害的有关人民政府通报事故发生的时间、地点、类型和排放污染物的种类、数量以及需要采取的防范措施等情况。</w:t>
      </w:r>
    </w:p>
    <w:p w14:paraId="526F1F9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生态环境局负责甄别环境事件的级别并上报</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环境应急指挥部和</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应急委员会。在确认重大（Ⅱ级）或特别重大（Ⅰ级）环境事件后，</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生态环境局在向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应急委员会报告的同时，报告</w:t>
      </w:r>
      <w:r>
        <w:rPr>
          <w:rFonts w:hint="eastAsia" w:ascii="仿宋_GB2312" w:hAnsi="仿宋_GB2312" w:eastAsia="仿宋_GB2312" w:cs="仿宋_GB2312"/>
          <w:snapToGrid w:val="0"/>
          <w:color w:val="auto"/>
          <w:spacing w:val="0"/>
          <w:kern w:val="0"/>
          <w:sz w:val="32"/>
          <w:szCs w:val="32"/>
          <w:lang w:val="en-US" w:eastAsia="zh-CN"/>
        </w:rPr>
        <w:t>景德镇市生态环境局</w:t>
      </w:r>
      <w:r>
        <w:rPr>
          <w:rFonts w:hint="default" w:ascii="仿宋_GB2312" w:hAnsi="仿宋_GB2312" w:eastAsia="仿宋_GB2312" w:cs="仿宋_GB2312"/>
          <w:snapToGrid w:val="0"/>
          <w:color w:val="auto"/>
          <w:spacing w:val="0"/>
          <w:kern w:val="0"/>
          <w:sz w:val="32"/>
          <w:szCs w:val="32"/>
        </w:rPr>
        <w:t>，并通报其他相关部门。</w:t>
      </w:r>
    </w:p>
    <w:p w14:paraId="64848D1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eastAsia="zh-CN"/>
        </w:rPr>
      </w:pPr>
      <w:r>
        <w:rPr>
          <w:rFonts w:hint="default" w:ascii="仿宋_GB2312" w:hAnsi="仿宋_GB2312" w:eastAsia="仿宋_GB2312" w:cs="仿宋_GB2312"/>
          <w:snapToGrid w:val="0"/>
          <w:color w:val="auto"/>
          <w:spacing w:val="0"/>
          <w:kern w:val="0"/>
          <w:sz w:val="32"/>
          <w:szCs w:val="32"/>
        </w:rPr>
        <w:t>对一些事件本身比较敏感或发生在敏感地区、敏感时间或者可能转化为较大、重大、特别重大的环境事件，不受分级标准限制，紧急情况下，可以越级上报</w:t>
      </w:r>
      <w:r>
        <w:rPr>
          <w:rFonts w:hint="eastAsia" w:ascii="仿宋_GB2312" w:hAnsi="仿宋_GB2312" w:eastAsia="仿宋_GB2312" w:cs="仿宋_GB2312"/>
          <w:snapToGrid w:val="0"/>
          <w:color w:val="auto"/>
          <w:spacing w:val="0"/>
          <w:kern w:val="0"/>
          <w:sz w:val="32"/>
          <w:szCs w:val="32"/>
          <w:lang w:eastAsia="zh-CN"/>
        </w:rPr>
        <w:t>。</w:t>
      </w:r>
    </w:p>
    <w:p w14:paraId="0C2AD9D1">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Cs/>
          <w:snapToGrid w:val="0"/>
          <w:color w:val="auto"/>
          <w:spacing w:val="0"/>
          <w:kern w:val="0"/>
          <w:sz w:val="32"/>
          <w:szCs w:val="32"/>
        </w:rPr>
      </w:pPr>
      <w:r>
        <w:rPr>
          <w:rFonts w:hint="default" w:ascii="楷体_GB2312" w:hAnsi="楷体_GB2312" w:eastAsia="楷体_GB2312" w:cs="楷体_GB2312"/>
          <w:bCs/>
          <w:snapToGrid w:val="0"/>
          <w:color w:val="auto"/>
          <w:spacing w:val="0"/>
          <w:kern w:val="0"/>
          <w:sz w:val="32"/>
          <w:szCs w:val="32"/>
        </w:rPr>
        <w:t>报告方式和内容</w:t>
      </w:r>
    </w:p>
    <w:p w14:paraId="3BFCE2C9">
      <w:pPr>
        <w:pageBreakBefore w:val="0"/>
        <w:widowControl/>
        <w:kinsoku/>
        <w:wordWrap/>
        <w:overflowPunct/>
        <w:topLinePunct w:val="0"/>
        <w:autoSpaceDE/>
        <w:autoSpaceDN/>
        <w:bidi w:val="0"/>
        <w:adjustRightInd/>
        <w:snapToGrid/>
        <w:spacing w:line="600" w:lineRule="exact"/>
        <w:ind w:firstLine="482"/>
        <w:textAlignment w:val="auto"/>
        <w:rPr>
          <w:rFonts w:hint="eastAsia" w:ascii="仿宋_GB2312" w:hAnsi="仿宋_GB2312" w:eastAsia="仿宋_GB2312" w:cs="仿宋_GB2312"/>
          <w:b/>
          <w:bCs/>
          <w:snapToGrid w:val="0"/>
          <w:color w:val="auto"/>
          <w:spacing w:val="0"/>
          <w:kern w:val="0"/>
          <w:sz w:val="32"/>
          <w:szCs w:val="32"/>
        </w:rPr>
      </w:pPr>
      <w:r>
        <w:rPr>
          <w:rFonts w:hint="eastAsia" w:ascii="仿宋_GB2312" w:hAnsi="仿宋_GB2312" w:eastAsia="仿宋_GB2312" w:cs="仿宋_GB2312"/>
          <w:b/>
          <w:bCs/>
          <w:snapToGrid w:val="0"/>
          <w:color w:val="auto"/>
          <w:spacing w:val="0"/>
          <w:kern w:val="0"/>
          <w:sz w:val="32"/>
          <w:szCs w:val="32"/>
        </w:rPr>
        <w:t>（1）突发环境事件信息初报、续报</w:t>
      </w:r>
    </w:p>
    <w:p w14:paraId="0B64D4A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发生突发环境事件后，事发单位及相关部门在立即采取措施控制事态的同时，生态环境局应在接报后按照紧急信息报送的有关规定，及时审核并如实上报应急协调办公室，不得迟报、漏报、瞒报和谎报，在事件处置初期初报事件的有关情况，后续及时书面续报基本情况。对初步判定属于较大级别以上的突发环境事件，经审核确认后应立即初报应急协调办公室及</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市生态环境局，及时提请启动上级突发环境事件应急预案，并实行态势变化进程报告和日报告制度。</w:t>
      </w:r>
    </w:p>
    <w:p w14:paraId="6098580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①初报从发现事件起1小时内上报。初报可用电话直接报告，主要内容包括：环境事件的类型、发生事件时间、地点、污染源、主要污染物质、泄漏数量、人员伤亡情况、财产损失情况、事件潜在的危害程度、转化方式趋向等初步情况，并提供可能受到突发环境事件影响的环境敏感点的分布示意图（表4.1-1）。</w:t>
      </w:r>
    </w:p>
    <w:p w14:paraId="7A6FB11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②续报在查清有关基本情况后随时上报。续报可通过网络或书面报告（传真），在初报的基础上报告有关确切数据，事件发生的原因、过程、进展情况及采取的应急措施等基本情况。</w:t>
      </w:r>
    </w:p>
    <w:p w14:paraId="7ACA466D">
      <w:pPr>
        <w:widowControl/>
        <w:ind w:left="0" w:leftChars="0" w:firstLine="0" w:firstLineChars="0"/>
        <w:jc w:val="center"/>
        <w:rPr>
          <w:rFonts w:hint="eastAsia" w:ascii="方正小标宋简体" w:hAnsi="方正小标宋简体" w:eastAsia="方正小标宋简体" w:cs="方正小标宋简体"/>
          <w:b w:val="0"/>
          <w:bCs/>
          <w:color w:val="auto"/>
          <w:kern w:val="0"/>
          <w:sz w:val="32"/>
          <w:szCs w:val="32"/>
        </w:rPr>
      </w:pPr>
      <w:r>
        <w:rPr>
          <w:rFonts w:hint="eastAsia" w:ascii="方正小标宋简体" w:hAnsi="方正小标宋简体" w:eastAsia="方正小标宋简体" w:cs="方正小标宋简体"/>
          <w:b w:val="0"/>
          <w:bCs/>
          <w:color w:val="auto"/>
          <w:kern w:val="0"/>
          <w:sz w:val="32"/>
          <w:szCs w:val="32"/>
        </w:rPr>
        <w:t>表4.1-1 突发环境事件信息报送内容（初报、续报）</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7109"/>
      </w:tblGrid>
      <w:tr w14:paraId="16DA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77" w:type="pct"/>
            <w:tcBorders>
              <w:top w:val="single" w:color="auto" w:sz="4" w:space="0"/>
              <w:left w:val="single" w:color="auto" w:sz="4" w:space="0"/>
              <w:bottom w:val="single" w:color="auto" w:sz="4" w:space="0"/>
              <w:right w:val="single" w:color="auto" w:sz="4" w:space="0"/>
            </w:tcBorders>
            <w:vAlign w:val="center"/>
          </w:tcPr>
          <w:p w14:paraId="3D6253A8">
            <w:pPr>
              <w:widowControl/>
              <w:adjustRightInd w:val="0"/>
              <w:snapToGrid w:val="0"/>
              <w:spacing w:line="240" w:lineRule="auto"/>
              <w:ind w:firstLine="0" w:firstLineChars="0"/>
              <w:jc w:val="center"/>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项目</w:t>
            </w:r>
          </w:p>
        </w:tc>
        <w:tc>
          <w:tcPr>
            <w:tcW w:w="3922" w:type="pct"/>
            <w:tcBorders>
              <w:top w:val="single" w:color="auto" w:sz="4" w:space="0"/>
              <w:left w:val="single" w:color="auto" w:sz="4" w:space="0"/>
              <w:bottom w:val="single" w:color="auto" w:sz="4" w:space="0"/>
              <w:right w:val="single" w:color="auto" w:sz="4" w:space="0"/>
            </w:tcBorders>
            <w:vAlign w:val="center"/>
          </w:tcPr>
          <w:p w14:paraId="7983BBBC">
            <w:pPr>
              <w:widowControl/>
              <w:adjustRightInd w:val="0"/>
              <w:snapToGrid w:val="0"/>
              <w:spacing w:line="240" w:lineRule="auto"/>
              <w:ind w:firstLine="0" w:firstLineChars="0"/>
              <w:jc w:val="center"/>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内容</w:t>
            </w:r>
          </w:p>
        </w:tc>
      </w:tr>
      <w:tr w14:paraId="598F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77" w:type="pct"/>
            <w:tcBorders>
              <w:top w:val="single" w:color="auto" w:sz="4" w:space="0"/>
              <w:left w:val="single" w:color="auto" w:sz="4" w:space="0"/>
              <w:bottom w:val="single" w:color="auto" w:sz="4" w:space="0"/>
              <w:right w:val="single" w:color="auto" w:sz="4" w:space="0"/>
            </w:tcBorders>
            <w:vAlign w:val="center"/>
          </w:tcPr>
          <w:p w14:paraId="3C3A7E2A">
            <w:pPr>
              <w:widowControl/>
              <w:adjustRightInd w:val="0"/>
              <w:snapToGrid w:val="0"/>
              <w:spacing w:line="240" w:lineRule="auto"/>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现场信息</w:t>
            </w:r>
          </w:p>
        </w:tc>
        <w:tc>
          <w:tcPr>
            <w:tcW w:w="3922" w:type="pct"/>
            <w:tcBorders>
              <w:top w:val="single" w:color="auto" w:sz="4" w:space="0"/>
              <w:left w:val="single" w:color="auto" w:sz="4" w:space="0"/>
              <w:bottom w:val="single" w:color="auto" w:sz="4" w:space="0"/>
              <w:right w:val="single" w:color="auto" w:sz="4" w:space="0"/>
            </w:tcBorders>
            <w:vAlign w:val="center"/>
          </w:tcPr>
          <w:p w14:paraId="2127E090">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报告时间、现场联系人、报告人及联系方式</w:t>
            </w:r>
          </w:p>
        </w:tc>
      </w:tr>
      <w:tr w14:paraId="562C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1077" w:type="pct"/>
            <w:tcBorders>
              <w:top w:val="single" w:color="auto" w:sz="4" w:space="0"/>
              <w:left w:val="single" w:color="auto" w:sz="4" w:space="0"/>
              <w:bottom w:val="single" w:color="auto" w:sz="4" w:space="0"/>
              <w:right w:val="single" w:color="auto" w:sz="4" w:space="0"/>
            </w:tcBorders>
            <w:vAlign w:val="center"/>
          </w:tcPr>
          <w:p w14:paraId="130EF5B9">
            <w:pPr>
              <w:widowControl/>
              <w:adjustRightInd w:val="0"/>
              <w:snapToGrid w:val="0"/>
              <w:spacing w:line="240" w:lineRule="auto"/>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事件基本信息</w:t>
            </w:r>
          </w:p>
        </w:tc>
        <w:tc>
          <w:tcPr>
            <w:tcW w:w="3922" w:type="pct"/>
            <w:tcBorders>
              <w:top w:val="single" w:color="auto" w:sz="4" w:space="0"/>
              <w:left w:val="single" w:color="auto" w:sz="4" w:space="0"/>
              <w:bottom w:val="single" w:color="auto" w:sz="4" w:space="0"/>
              <w:right w:val="single" w:color="auto" w:sz="4" w:space="0"/>
            </w:tcBorders>
            <w:vAlign w:val="center"/>
          </w:tcPr>
          <w:p w14:paraId="372A302C">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环境事件的类型、发生事件时间、地点、污染源、主要污染物质、泄漏数量、人员伤亡情况、财产损失情况、事件潜在的危害程度、转化方式趋向、事发原因、过程、进展情况、采取应急措施情况等</w:t>
            </w:r>
          </w:p>
        </w:tc>
      </w:tr>
      <w:tr w14:paraId="5D09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trPr>
        <w:tc>
          <w:tcPr>
            <w:tcW w:w="1077" w:type="pct"/>
            <w:tcBorders>
              <w:top w:val="single" w:color="auto" w:sz="4" w:space="0"/>
              <w:left w:val="single" w:color="auto" w:sz="4" w:space="0"/>
              <w:bottom w:val="single" w:color="auto" w:sz="4" w:space="0"/>
              <w:right w:val="single" w:color="auto" w:sz="4" w:space="0"/>
            </w:tcBorders>
            <w:vAlign w:val="center"/>
          </w:tcPr>
          <w:p w14:paraId="50642234">
            <w:pPr>
              <w:widowControl/>
              <w:adjustRightInd w:val="0"/>
              <w:snapToGrid w:val="0"/>
              <w:spacing w:line="240" w:lineRule="auto"/>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现场勘察情况</w:t>
            </w:r>
          </w:p>
        </w:tc>
        <w:tc>
          <w:tcPr>
            <w:tcW w:w="3922" w:type="pct"/>
            <w:tcBorders>
              <w:top w:val="single" w:color="auto" w:sz="4" w:space="0"/>
              <w:left w:val="single" w:color="auto" w:sz="4" w:space="0"/>
              <w:bottom w:val="single" w:color="auto" w:sz="4" w:space="0"/>
              <w:right w:val="single" w:color="auto" w:sz="4" w:space="0"/>
            </w:tcBorders>
            <w:vAlign w:val="center"/>
          </w:tcPr>
          <w:p w14:paraId="7AB427D5">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（1）周边是否有饮用水源地：分布情况（离事发地距离）、供水范围（每日供水量、影响人口量）；</w:t>
            </w:r>
          </w:p>
          <w:p w14:paraId="32397525">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（2）周边是否有居民点：离事发地距离；</w:t>
            </w:r>
          </w:p>
          <w:p w14:paraId="55AE158A">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（3）水文、气象条件：流速、风速。</w:t>
            </w:r>
          </w:p>
        </w:tc>
      </w:tr>
      <w:tr w14:paraId="03F9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077" w:type="pct"/>
            <w:tcBorders>
              <w:top w:val="single" w:color="auto" w:sz="4" w:space="0"/>
              <w:left w:val="single" w:color="auto" w:sz="4" w:space="0"/>
              <w:bottom w:val="single" w:color="auto" w:sz="4" w:space="0"/>
              <w:right w:val="single" w:color="auto" w:sz="4" w:space="0"/>
            </w:tcBorders>
            <w:vAlign w:val="center"/>
          </w:tcPr>
          <w:p w14:paraId="30D47345">
            <w:pPr>
              <w:widowControl/>
              <w:adjustRightInd w:val="0"/>
              <w:snapToGrid w:val="0"/>
              <w:spacing w:line="240" w:lineRule="auto"/>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现场监测情况</w:t>
            </w:r>
          </w:p>
        </w:tc>
        <w:tc>
          <w:tcPr>
            <w:tcW w:w="3922" w:type="pct"/>
            <w:tcBorders>
              <w:top w:val="single" w:color="auto" w:sz="4" w:space="0"/>
              <w:left w:val="single" w:color="auto" w:sz="4" w:space="0"/>
              <w:bottom w:val="single" w:color="auto" w:sz="4" w:space="0"/>
              <w:right w:val="single" w:color="auto" w:sz="4" w:space="0"/>
            </w:tcBorders>
            <w:vAlign w:val="center"/>
          </w:tcPr>
          <w:p w14:paraId="48454E83">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监测报告、监测点位图（关键点位离事发地及敏感区域距离）</w:t>
            </w:r>
          </w:p>
        </w:tc>
      </w:tr>
      <w:tr w14:paraId="2F11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77" w:type="pct"/>
            <w:tcBorders>
              <w:top w:val="single" w:color="auto" w:sz="4" w:space="0"/>
              <w:left w:val="single" w:color="auto" w:sz="4" w:space="0"/>
              <w:bottom w:val="single" w:color="auto" w:sz="4" w:space="0"/>
              <w:right w:val="single" w:color="auto" w:sz="4" w:space="0"/>
            </w:tcBorders>
            <w:vAlign w:val="center"/>
          </w:tcPr>
          <w:p w14:paraId="44C659C7">
            <w:pPr>
              <w:widowControl/>
              <w:adjustRightInd w:val="0"/>
              <w:snapToGrid w:val="0"/>
              <w:spacing w:line="240" w:lineRule="auto"/>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应急处置措施</w:t>
            </w:r>
          </w:p>
        </w:tc>
        <w:tc>
          <w:tcPr>
            <w:tcW w:w="3922" w:type="pct"/>
            <w:tcBorders>
              <w:top w:val="single" w:color="auto" w:sz="4" w:space="0"/>
              <w:left w:val="single" w:color="auto" w:sz="4" w:space="0"/>
              <w:bottom w:val="single" w:color="auto" w:sz="4" w:space="0"/>
              <w:right w:val="single" w:color="auto" w:sz="4" w:space="0"/>
            </w:tcBorders>
            <w:vAlign w:val="center"/>
          </w:tcPr>
          <w:p w14:paraId="7FE62B44">
            <w:pPr>
              <w:widowControl/>
              <w:adjustRightInd w:val="0"/>
              <w:snapToGrid w:val="0"/>
              <w:spacing w:line="240" w:lineRule="auto"/>
              <w:ind w:firstLine="0" w:firstLineChars="0"/>
              <w:jc w:val="both"/>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政府和</w:t>
            </w:r>
            <w:r>
              <w:rPr>
                <w:rFonts w:hint="eastAsia" w:ascii="仿宋_GB2312" w:hAnsi="仿宋_GB2312" w:eastAsia="仿宋_GB2312" w:cs="仿宋_GB2312"/>
                <w:color w:val="auto"/>
                <w:kern w:val="0"/>
                <w:sz w:val="28"/>
                <w:szCs w:val="28"/>
                <w:lang w:val="en-US" w:eastAsia="zh-CN"/>
              </w:rPr>
              <w:t>生态环境</w:t>
            </w:r>
            <w:r>
              <w:rPr>
                <w:rFonts w:hint="eastAsia" w:ascii="仿宋_GB2312" w:hAnsi="仿宋_GB2312" w:eastAsia="仿宋_GB2312" w:cs="仿宋_GB2312"/>
                <w:color w:val="auto"/>
                <w:kern w:val="0"/>
                <w:sz w:val="28"/>
                <w:szCs w:val="28"/>
              </w:rPr>
              <w:t>部门采取的措施</w:t>
            </w:r>
          </w:p>
        </w:tc>
      </w:tr>
    </w:tbl>
    <w:p w14:paraId="0B06E27E">
      <w:pPr>
        <w:pageBreakBefore w:val="0"/>
        <w:widowControl/>
        <w:kinsoku/>
        <w:wordWrap/>
        <w:overflowPunct/>
        <w:topLinePunct w:val="0"/>
        <w:autoSpaceDE/>
        <w:autoSpaceDN/>
        <w:bidi w:val="0"/>
        <w:adjustRightInd/>
        <w:snapToGrid/>
        <w:spacing w:line="600" w:lineRule="exact"/>
        <w:ind w:firstLine="482"/>
        <w:textAlignment w:val="auto"/>
        <w:rPr>
          <w:rFonts w:hint="eastAsia" w:ascii="仿宋_GB2312" w:hAnsi="仿宋_GB2312" w:eastAsia="仿宋_GB2312" w:cs="仿宋_GB2312"/>
          <w:b/>
          <w:bCs/>
          <w:snapToGrid w:val="0"/>
          <w:color w:val="auto"/>
          <w:spacing w:val="0"/>
          <w:kern w:val="0"/>
          <w:sz w:val="32"/>
          <w:szCs w:val="32"/>
        </w:rPr>
      </w:pPr>
      <w:r>
        <w:rPr>
          <w:rFonts w:hint="eastAsia" w:ascii="仿宋_GB2312" w:hAnsi="仿宋_GB2312" w:eastAsia="仿宋_GB2312" w:cs="仿宋_GB2312"/>
          <w:b/>
          <w:bCs/>
          <w:snapToGrid w:val="0"/>
          <w:color w:val="auto"/>
          <w:spacing w:val="0"/>
          <w:kern w:val="0"/>
          <w:sz w:val="32"/>
          <w:szCs w:val="32"/>
        </w:rPr>
        <w:t>（2）处置结果报告</w:t>
      </w:r>
    </w:p>
    <w:p w14:paraId="7C47B60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处置结果报告在初报和续报的基础上，报告处置突发环境事件的措施、过程和结果，突发环境事件潜在或者间接危害以及损失、社会影响、处置后的遗留问题、责任追究等详细情况。</w:t>
      </w:r>
    </w:p>
    <w:p w14:paraId="7377E92D">
      <w:pPr>
        <w:pageBreakBefore w:val="0"/>
        <w:widowControl/>
        <w:kinsoku/>
        <w:wordWrap/>
        <w:overflowPunct/>
        <w:topLinePunct w:val="0"/>
        <w:autoSpaceDE/>
        <w:autoSpaceDN/>
        <w:bidi w:val="0"/>
        <w:adjustRightInd/>
        <w:snapToGrid/>
        <w:spacing w:line="600" w:lineRule="exact"/>
        <w:ind w:firstLine="482"/>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（3）突发环境事件处理结果报告</w:t>
      </w:r>
    </w:p>
    <w:p w14:paraId="38AE287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处理结果报告在完成善后工作后立即上报。处理结果报告采用书面报告（传真），处理结果报告在初报和续报的基础上，报告处理事件的措施、过程和结果，事件潜在或间接的危害、社会影响、处理后的遗留问题、参加处理工作的有关部门和工作内容、出具有关危害与损失的证明文件等详细情况。</w:t>
      </w:r>
    </w:p>
    <w:p w14:paraId="55208347">
      <w:pPr>
        <w:pStyle w:val="36"/>
        <w:pageBreakBefore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bCs/>
          <w:snapToGrid w:val="0"/>
          <w:color w:val="auto"/>
          <w:spacing w:val="0"/>
          <w:kern w:val="0"/>
          <w:sz w:val="32"/>
          <w:szCs w:val="32"/>
        </w:rPr>
      </w:pPr>
      <w:bookmarkStart w:id="90" w:name="_Toc24459"/>
      <w:r>
        <w:rPr>
          <w:rFonts w:hint="eastAsia" w:ascii="楷体_GB2312" w:hAnsi="楷体_GB2312" w:eastAsia="楷体_GB2312" w:cs="楷体_GB2312"/>
          <w:bCs/>
          <w:snapToGrid w:val="0"/>
          <w:color w:val="auto"/>
          <w:spacing w:val="0"/>
          <w:kern w:val="0"/>
          <w:sz w:val="32"/>
          <w:szCs w:val="32"/>
        </w:rPr>
        <w:t>信息报告渠道</w:t>
      </w:r>
      <w:bookmarkEnd w:id="90"/>
    </w:p>
    <w:p w14:paraId="42BE913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信息报告可采用传真、网络等方式报告，事后按照突发环境事件信息报告时间要求及时补充完整的书面报告。</w:t>
      </w:r>
    </w:p>
    <w:p w14:paraId="595C7092">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Cs/>
          <w:snapToGrid w:val="0"/>
          <w:color w:val="auto"/>
          <w:spacing w:val="0"/>
          <w:kern w:val="0"/>
          <w:sz w:val="32"/>
          <w:szCs w:val="32"/>
        </w:rPr>
      </w:pPr>
      <w:bookmarkStart w:id="91" w:name="_Toc18614"/>
      <w:r>
        <w:rPr>
          <w:rFonts w:hint="default" w:ascii="楷体_GB2312" w:hAnsi="楷体_GB2312" w:eastAsia="楷体_GB2312" w:cs="楷体_GB2312"/>
          <w:bCs/>
          <w:snapToGrid w:val="0"/>
          <w:color w:val="auto"/>
          <w:spacing w:val="0"/>
          <w:kern w:val="0"/>
          <w:sz w:val="32"/>
          <w:szCs w:val="32"/>
        </w:rPr>
        <w:t>信息报告流程</w:t>
      </w:r>
      <w:bookmarkEnd w:id="91"/>
    </w:p>
    <w:p w14:paraId="61F1261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（1）对初步认定为一般（IV级）或者较大（III级）突发环境事件的，生态环境局应当在</w:t>
      </w:r>
      <w:r>
        <w:rPr>
          <w:rFonts w:hint="default"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小时内向</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人民政府和</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市生态环境局报告。</w:t>
      </w:r>
    </w:p>
    <w:p w14:paraId="6BB2210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（2）对初步认定为较大突发环境事件的，</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生态环境局应当在</w:t>
      </w:r>
      <w:r>
        <w:rPr>
          <w:rFonts w:hint="default"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小时内向本级政府和市级生态环境部门报告。市级生态环境部门接到报告后，应当进行核实并立即报告市政府和省级生态环境部门。</w:t>
      </w:r>
    </w:p>
    <w:p w14:paraId="5A8565B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（3）对初步认定为重大（II级）或者特别重大（I级）突发环境事件的，</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市生态环境局应当在</w:t>
      </w:r>
      <w:r>
        <w:rPr>
          <w:rFonts w:hint="default" w:ascii="仿宋_GB2312" w:hAnsi="仿宋_GB2312" w:eastAsia="仿宋_GB2312" w:cs="仿宋_GB2312"/>
          <w:snapToGrid w:val="0"/>
          <w:color w:val="auto"/>
          <w:spacing w:val="0"/>
          <w:kern w:val="0"/>
          <w:sz w:val="32"/>
          <w:szCs w:val="32"/>
          <w:lang w:val="en-US" w:eastAsia="zh-CN"/>
        </w:rPr>
        <w:t>1</w:t>
      </w:r>
      <w:r>
        <w:rPr>
          <w:rFonts w:hint="default" w:ascii="仿宋_GB2312" w:hAnsi="仿宋_GB2312" w:eastAsia="仿宋_GB2312" w:cs="仿宋_GB2312"/>
          <w:snapToGrid w:val="0"/>
          <w:color w:val="auto"/>
          <w:spacing w:val="0"/>
          <w:kern w:val="0"/>
          <w:sz w:val="32"/>
          <w:szCs w:val="32"/>
        </w:rPr>
        <w:t>小时内向</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市人民政府和江西省生态环境厅报告。江西省生态环境厅接到报告后，应当进行核实并在1小时内报告江西省人民政府和生态环境部。</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人民政府应当在2小时内向省政府报告。</w:t>
      </w:r>
    </w:p>
    <w:p w14:paraId="3152D0C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（4）突发环境事件处置过程中事件级别发生变化的，应当按照变化后的级别报告信息。</w:t>
      </w:r>
    </w:p>
    <w:p w14:paraId="71C458B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w:t>
      </w:r>
      <w:bookmarkStart w:id="92" w:name="_Toc3885"/>
      <w:r>
        <w:rPr>
          <w:rFonts w:hint="default" w:ascii="仿宋_GB2312" w:hAnsi="仿宋_GB2312" w:eastAsia="仿宋_GB2312" w:cs="仿宋_GB2312"/>
          <w:snapToGrid w:val="0"/>
          <w:color w:val="auto"/>
          <w:spacing w:val="0"/>
          <w:kern w:val="0"/>
          <w:sz w:val="32"/>
          <w:szCs w:val="32"/>
        </w:rPr>
        <w:t>发生下列一时无法判明等级的突发环境事件，</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人民政府和生态环境局应当按照重大（II 级）或者特别重大（I 级）突发环境事件的报告程序上报：</w:t>
      </w:r>
    </w:p>
    <w:p w14:paraId="40262DC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（1）对饮用水水源保护区造成或者可能造成影响的；</w:t>
      </w:r>
    </w:p>
    <w:p w14:paraId="6FFBA47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（2）涉及居民聚居区、学校、医院等敏感区域和敏感人群的；</w:t>
      </w:r>
    </w:p>
    <w:p w14:paraId="6FB8D6C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（3）涉及重金属或者类金属污染的；</w:t>
      </w:r>
    </w:p>
    <w:p w14:paraId="1E55104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（4）有可能产生跨省或者跨国影响的；</w:t>
      </w:r>
    </w:p>
    <w:p w14:paraId="3BF706C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lang w:val="en-US"/>
        </w:rPr>
      </w:pPr>
      <w:r>
        <w:rPr>
          <w:rFonts w:hint="default" w:ascii="仿宋_GB2312" w:hAnsi="仿宋_GB2312" w:eastAsia="仿宋_GB2312" w:cs="仿宋_GB2312"/>
          <w:snapToGrid w:val="0"/>
          <w:color w:val="auto"/>
          <w:spacing w:val="0"/>
          <w:kern w:val="0"/>
          <w:sz w:val="32"/>
          <w:szCs w:val="32"/>
          <w:lang w:val="en-US"/>
        </w:rPr>
        <w:t>（5）因环境污染引发群体性事件，或者社会影响较大的。</w:t>
      </w:r>
    </w:p>
    <w:p w14:paraId="02477FB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lang w:val="en-US"/>
        </w:rPr>
        <w:t>（6）地方人民政府环境保护主管部门认为有必要报告的其他突发环境事件。</w:t>
      </w:r>
    </w:p>
    <w:p w14:paraId="521B06DD">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93" w:name="_Toc2392"/>
      <w:bookmarkStart w:id="94" w:name="_Toc9213"/>
      <w:bookmarkStart w:id="95" w:name="_Toc5902"/>
      <w:r>
        <w:rPr>
          <w:rFonts w:hint="eastAsia" w:ascii="黑体" w:hAnsi="黑体" w:eastAsia="黑体" w:cs="黑体"/>
          <w:b w:val="0"/>
          <w:bCs w:val="0"/>
          <w:snapToGrid w:val="0"/>
          <w:color w:val="auto"/>
          <w:spacing w:val="0"/>
          <w:kern w:val="0"/>
          <w:sz w:val="32"/>
          <w:szCs w:val="32"/>
        </w:rPr>
        <w:t>先期处置</w:t>
      </w:r>
      <w:bookmarkEnd w:id="92"/>
      <w:bookmarkEnd w:id="93"/>
      <w:bookmarkEnd w:id="94"/>
      <w:bookmarkEnd w:id="95"/>
    </w:p>
    <w:p w14:paraId="7DDF161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在突发环境事件发生后，各级应急指挥部成立前，事发单位和乡（镇）政府、</w:t>
      </w:r>
      <w:r>
        <w:rPr>
          <w:rFonts w:hint="eastAsia" w:ascii="仿宋_GB2312" w:hAnsi="仿宋_GB2312" w:eastAsia="仿宋_GB2312" w:cs="仿宋_GB2312"/>
          <w:snapToGrid w:val="0"/>
          <w:color w:val="auto"/>
          <w:spacing w:val="0"/>
          <w:kern w:val="0"/>
          <w:sz w:val="32"/>
          <w:szCs w:val="32"/>
          <w:lang w:val="en-US" w:eastAsia="zh-CN"/>
        </w:rPr>
        <w:t>街道办事处等</w:t>
      </w:r>
      <w:r>
        <w:rPr>
          <w:rFonts w:hint="default" w:ascii="仿宋_GB2312" w:hAnsi="仿宋_GB2312" w:eastAsia="仿宋_GB2312" w:cs="仿宋_GB2312"/>
          <w:snapToGrid w:val="0"/>
          <w:color w:val="auto"/>
          <w:spacing w:val="0"/>
          <w:kern w:val="0"/>
          <w:sz w:val="32"/>
          <w:szCs w:val="32"/>
        </w:rPr>
        <w:t>相关部门，要在当地乡（镇）政府、</w:t>
      </w:r>
      <w:r>
        <w:rPr>
          <w:rFonts w:hint="eastAsia" w:ascii="仿宋_GB2312" w:hAnsi="仿宋_GB2312" w:eastAsia="仿宋_GB2312" w:cs="仿宋_GB2312"/>
          <w:snapToGrid w:val="0"/>
          <w:color w:val="auto"/>
          <w:spacing w:val="0"/>
          <w:kern w:val="0"/>
          <w:sz w:val="32"/>
          <w:szCs w:val="32"/>
          <w:lang w:val="en-US" w:eastAsia="zh-CN"/>
        </w:rPr>
        <w:t>街道办事处</w:t>
      </w:r>
      <w:r>
        <w:rPr>
          <w:rFonts w:hint="default" w:ascii="仿宋_GB2312" w:hAnsi="仿宋_GB2312" w:eastAsia="仿宋_GB2312" w:cs="仿宋_GB2312"/>
          <w:snapToGrid w:val="0"/>
          <w:color w:val="auto"/>
          <w:spacing w:val="0"/>
          <w:kern w:val="0"/>
          <w:sz w:val="32"/>
          <w:szCs w:val="32"/>
        </w:rPr>
        <w:t>统一指挥协调下，按照应急预案，</w:t>
      </w:r>
      <w:r>
        <w:rPr>
          <w:rFonts w:hint="eastAsia" w:ascii="仿宋_GB2312" w:hAnsi="仿宋_GB2312" w:eastAsia="仿宋_GB2312" w:cs="仿宋_GB2312"/>
          <w:snapToGrid w:val="0"/>
          <w:color w:val="auto"/>
          <w:spacing w:val="0"/>
          <w:kern w:val="0"/>
          <w:sz w:val="32"/>
          <w:szCs w:val="32"/>
          <w:lang w:eastAsia="zh-CN"/>
        </w:rPr>
        <w:t>迅速</w:t>
      </w:r>
      <w:r>
        <w:rPr>
          <w:rFonts w:hint="default" w:ascii="仿宋_GB2312" w:hAnsi="仿宋_GB2312" w:eastAsia="仿宋_GB2312" w:cs="仿宋_GB2312"/>
          <w:snapToGrid w:val="0"/>
          <w:color w:val="auto"/>
          <w:spacing w:val="0"/>
          <w:kern w:val="0"/>
          <w:sz w:val="32"/>
          <w:szCs w:val="32"/>
        </w:rPr>
        <w:t>实施先期处置，果断控制或切断污染源，全力控制事件态势，严防二次污染和次生、衍生环境污染事件的发生。</w:t>
      </w:r>
    </w:p>
    <w:p w14:paraId="695CB0B6">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96" w:name="_Toc6929"/>
      <w:bookmarkStart w:id="97" w:name="_Toc25563"/>
      <w:bookmarkStart w:id="98" w:name="_Toc2918"/>
      <w:bookmarkStart w:id="99" w:name="_Toc19644"/>
      <w:r>
        <w:rPr>
          <w:rFonts w:hint="default" w:ascii="黑体" w:hAnsi="黑体" w:eastAsia="黑体" w:cs="黑体"/>
          <w:b w:val="0"/>
          <w:bCs w:val="0"/>
          <w:snapToGrid w:val="0"/>
          <w:color w:val="auto"/>
          <w:spacing w:val="0"/>
          <w:kern w:val="0"/>
          <w:sz w:val="32"/>
          <w:szCs w:val="32"/>
        </w:rPr>
        <w:t>应急响应</w:t>
      </w:r>
      <w:bookmarkEnd w:id="96"/>
      <w:bookmarkEnd w:id="97"/>
      <w:bookmarkEnd w:id="98"/>
      <w:bookmarkEnd w:id="99"/>
    </w:p>
    <w:p w14:paraId="2337EFD8">
      <w:pPr>
        <w:pStyle w:val="36"/>
        <w:pageBreakBefore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bCs/>
          <w:snapToGrid w:val="0"/>
          <w:color w:val="auto"/>
          <w:spacing w:val="0"/>
          <w:kern w:val="0"/>
          <w:sz w:val="32"/>
          <w:szCs w:val="32"/>
        </w:rPr>
      </w:pPr>
      <w:r>
        <w:rPr>
          <w:rFonts w:hint="eastAsia" w:ascii="楷体_GB2312" w:hAnsi="楷体_GB2312" w:eastAsia="楷体_GB2312" w:cs="楷体_GB2312"/>
          <w:bCs/>
          <w:snapToGrid w:val="0"/>
          <w:color w:val="auto"/>
          <w:spacing w:val="0"/>
          <w:kern w:val="0"/>
          <w:sz w:val="32"/>
          <w:szCs w:val="32"/>
        </w:rPr>
        <w:t>分级响应机制</w:t>
      </w:r>
    </w:p>
    <w:p w14:paraId="6FC61C8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突发环境事件应急响应坚持属地为主的原则。</w:t>
      </w:r>
    </w:p>
    <w:p w14:paraId="02825AC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一般性环境事件（Ⅳ级响应）的处置由事发地县（区）政府，开发区（新区）管委会应急委员会负责，成立县级应急指挥部，按预案组织应急处置。</w:t>
      </w:r>
    </w:p>
    <w:p w14:paraId="14CF340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较大环境污染事件（Ⅲ级响应）及跨县、区的一般性环境污染事件，由市应急委员会成立应急指挥部并组织实施应急处置。</w:t>
      </w:r>
    </w:p>
    <w:p w14:paraId="385C1E7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当发生特别重大（Ⅰ级响应）、重大（Ⅱ级响应）环境污染事件时，由省应急委员会或国务院成立相应的上级应急指挥部，市环境应急指挥部在其统一指挥下实施应急处置。</w:t>
      </w:r>
    </w:p>
    <w:p w14:paraId="07E2897B">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Cs/>
          <w:snapToGrid w:val="0"/>
          <w:color w:val="auto"/>
          <w:spacing w:val="0"/>
          <w:kern w:val="0"/>
          <w:sz w:val="32"/>
          <w:szCs w:val="32"/>
        </w:rPr>
      </w:pPr>
      <w:r>
        <w:rPr>
          <w:rFonts w:hint="default" w:ascii="楷体_GB2312" w:hAnsi="楷体_GB2312" w:eastAsia="楷体_GB2312" w:cs="楷体_GB2312"/>
          <w:bCs/>
          <w:snapToGrid w:val="0"/>
          <w:color w:val="auto"/>
          <w:spacing w:val="0"/>
          <w:kern w:val="0"/>
          <w:sz w:val="32"/>
          <w:szCs w:val="32"/>
        </w:rPr>
        <w:t>应急响应程序</w:t>
      </w:r>
    </w:p>
    <w:p w14:paraId="400E5D5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应急委员会接到有关环境事件的报告后，向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政府汇报，由</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长或分管副</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长宣布启动应急响应，成立</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突发环境事件应急指挥部，召集应急指挥部各成员单位赶赴现场，迅速了解、掌握事件发生的具体地点、时间、原因、人员伤亡情况，涉及或影响的范围，已采取的措施和事件发展的趋势等，迅速制定事件处理方案并组织指挥实施，及时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政府及上级部门报告事件处理的最新进展情况。</w:t>
      </w:r>
    </w:p>
    <w:p w14:paraId="3F509B8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应急响应的程序和内容包括：</w:t>
      </w:r>
    </w:p>
    <w:p w14:paraId="041884F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（1）加强与突发环境事件所在区环境应急指挥机构、现场应急指挥部、相关专业应急指挥机构的通信联系，随时掌握事件进展情况；</w:t>
      </w:r>
    </w:p>
    <w:p w14:paraId="63AA799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（2）立即向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政府领导报告，成立</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突发环境事件应急指挥部；</w:t>
      </w:r>
    </w:p>
    <w:p w14:paraId="3CE1253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（3）及时向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政府报告突发环境事件基本情况和应急救援的进展情况；</w:t>
      </w:r>
    </w:p>
    <w:p w14:paraId="296B12B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（4）通知有关专家组成专家组，分析情况。根据专家的建议，通知各应急救援队伍随时待命，为相关专业应急指挥机构提供技术支持；</w:t>
      </w:r>
    </w:p>
    <w:p w14:paraId="51B8E91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（5）派出应急救援队伍和专家赶赴现场参加、指导现场应急救援，必要时调集事发地周边地区专业应急力量实施增援。</w:t>
      </w:r>
    </w:p>
    <w:p w14:paraId="72E39001">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Cs/>
          <w:snapToGrid w:val="0"/>
          <w:color w:val="auto"/>
          <w:spacing w:val="0"/>
          <w:kern w:val="0"/>
          <w:sz w:val="32"/>
          <w:szCs w:val="32"/>
        </w:rPr>
      </w:pPr>
      <w:r>
        <w:rPr>
          <w:rFonts w:hint="default" w:ascii="楷体_GB2312" w:hAnsi="楷体_GB2312" w:eastAsia="楷体_GB2312" w:cs="楷体_GB2312"/>
          <w:bCs/>
          <w:snapToGrid w:val="0"/>
          <w:color w:val="auto"/>
          <w:spacing w:val="0"/>
          <w:kern w:val="0"/>
          <w:sz w:val="32"/>
          <w:szCs w:val="32"/>
        </w:rPr>
        <w:t>应急响应措施</w:t>
      </w:r>
    </w:p>
    <w:p w14:paraId="6D86022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突发环境事件发生后，各有关地方、部门和单位根据工作需要，组织采取以下措施：</w:t>
      </w:r>
    </w:p>
    <w:p w14:paraId="125494E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（1）现场污染处置</w:t>
      </w:r>
    </w:p>
    <w:p w14:paraId="50E6907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涉事企业事业单位或其他生产经营者要立即采取关闭、停产、封堵、围挡、喷淋、转移等措施，切断和控制污染源，防止污染蔓延扩散。做好有毒有害物质和消防废水、废液等的收集、清理和安全处置工作。当涉事企业事业单位或其他生产经营者不明时，由当地环境保护主管部门组织对污染来源开展调查，查明涉事单位，确定污染物种类和污染范围，切断污染源。</w:t>
      </w:r>
    </w:p>
    <w:p w14:paraId="4369E97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事发地人民政府应组织制订综合治污方案，采用监测和模拟等手段追踪污染气体扩散途径和范围；采取拦截、导流、疏浚等形式防止水体污染扩大；采取隔离、吸附、打捞、氧化还原、中和、沉淀、消毒、去污洗消、临时收贮、微生物消解、调水稀释、转移异地处置、临时改造污染处置工艺或临时建设污染处置工程等方法处置污染物。必要时，要求其他排污单位停产、限产、限排，减轻环境污染负荷。</w:t>
      </w:r>
    </w:p>
    <w:p w14:paraId="6000768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（2）转移安置人员</w:t>
      </w:r>
    </w:p>
    <w:p w14:paraId="5EE2FF6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根据突发环境事件影响及事发当地的气象、地理环境、人员密集度等，建立现场警戒区、交通管制区域和重点防护区域，确定受威胁人员疏散的方式和途径，有组织、有秩序地及时疏散转移受威胁人员和可能受影响地区居民，确保生命安全。妥善做好转移人员安置工作，确保有饭吃、有水喝、有衣穿、有住处和必要医疗条件。</w:t>
      </w:r>
    </w:p>
    <w:p w14:paraId="25C301E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（3）医学救援</w:t>
      </w:r>
    </w:p>
    <w:p w14:paraId="6217664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迅速组织当地医疗资源和力量，对伤病员进行诊断治疗，根据需要及时、安全地将重症伤病员转运到有条件的医疗机构加强救治。指导和协助开展受污染人员的去污洗消工作，提出保护公众健康的措施建议。视情增派医疗卫生专家和卫生应急队伍、调配急需医药物资，支持事发地医学救援工作。做好受影响人员的心理援助。</w:t>
      </w:r>
    </w:p>
    <w:p w14:paraId="42B8D45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（4）应急监测</w:t>
      </w:r>
    </w:p>
    <w:p w14:paraId="1D00B26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w:t>
      </w:r>
      <w:r>
        <w:rPr>
          <w:rFonts w:hint="eastAsia" w:ascii="仿宋_GB2312" w:hAnsi="仿宋_GB2312" w:eastAsia="仿宋_GB2312" w:cs="仿宋_GB2312"/>
          <w:snapToGrid w:val="0"/>
          <w:color w:val="auto"/>
          <w:spacing w:val="0"/>
          <w:kern w:val="0"/>
          <w:sz w:val="32"/>
          <w:szCs w:val="32"/>
          <w:lang w:val="en-US" w:eastAsia="zh-CN"/>
        </w:rPr>
        <w:t>监测中心</w:t>
      </w:r>
      <w:r>
        <w:rPr>
          <w:rFonts w:hint="default" w:ascii="仿宋_GB2312" w:hAnsi="仿宋_GB2312" w:eastAsia="仿宋_GB2312" w:cs="仿宋_GB2312"/>
          <w:snapToGrid w:val="0"/>
          <w:color w:val="auto"/>
          <w:spacing w:val="0"/>
          <w:kern w:val="0"/>
          <w:sz w:val="32"/>
          <w:szCs w:val="32"/>
        </w:rPr>
        <w:t>应根据事件情况的报告和收集的相关信息确定特征污染物，依据事件发生地的地形、气象条件及附近环境敏感点制定应急监测方案，快速设立监测点位。实施应急监测时，应对污染物质可能造成的污染范围进行预测，依据污染物特性、可能污染区域提出人群疏散范围建议，并及时上报给现场指挥部；事故后期对污染物的迁移、滞留、降解和影响范围等状况进行跟踪监测，直至事件造成的污染消除。</w:t>
      </w:r>
    </w:p>
    <w:p w14:paraId="3757F58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事件发生地环境监测机构及企业环境监测部门配合应急监测工作，必要时，向市环境监测中心站及相关院所请求技术及人员支援。</w:t>
      </w:r>
    </w:p>
    <w:p w14:paraId="6E1900D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（5）市场监管和调控</w:t>
      </w:r>
    </w:p>
    <w:p w14:paraId="5A35414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密切关注受事件影响地区市场供应情况及公众反应，加强对重要生活必需品等商品的市场监管和调控。禁止或限制受污染食品和饮用水的生产、加工、流通和食用，防范因突发环境事件造成的集体中毒等。</w:t>
      </w:r>
    </w:p>
    <w:p w14:paraId="43E662C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（6）信息发布和舆论引导</w:t>
      </w:r>
    </w:p>
    <w:p w14:paraId="7FFD143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通过政府授权发布、发新闻稿、接受记者采访、举行新闻发布会、组织专家解读等方式，借助电视、广播、报纸、互联网等多种途径，主动、及时、准确、客观向社会发布突发环境事件和应对工作信息，回应社会关切，澄清不实信息，正确引导社会舆论。信息发布内容包括事件原因、污染程度、影响范围、应对措施、需要公众配合采取的措施、公众防范常识和事件调查处理进展情况等。</w:t>
      </w:r>
    </w:p>
    <w:p w14:paraId="126449D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（7）维护社会稳定</w:t>
      </w:r>
    </w:p>
    <w:p w14:paraId="48D4019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加强受影响地区社会治安管理，严厉打击借机传播谣言制造社会恐慌、哄抢救灾物资等违法犯罪行为；加强转移人员安置点、救灾物资存放点等重点地区治安管控；做好受影响人员与涉事单位、地方人民政府及有关部门矛盾纠纷化解和法律服务工作，防止出现群体性事件，维护社会稳定。</w:t>
      </w:r>
    </w:p>
    <w:p w14:paraId="76D86433">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100" w:name="_Toc2462"/>
      <w:bookmarkStart w:id="101" w:name="_Toc22822"/>
      <w:bookmarkStart w:id="102" w:name="_Toc24111"/>
      <w:bookmarkStart w:id="103" w:name="_Toc10822"/>
      <w:r>
        <w:rPr>
          <w:rFonts w:hint="eastAsia" w:ascii="黑体" w:hAnsi="黑体" w:eastAsia="黑体" w:cs="黑体"/>
          <w:b w:val="0"/>
          <w:bCs w:val="0"/>
          <w:snapToGrid w:val="0"/>
          <w:color w:val="auto"/>
          <w:spacing w:val="0"/>
          <w:kern w:val="0"/>
          <w:sz w:val="32"/>
          <w:szCs w:val="32"/>
        </w:rPr>
        <w:t>指挥与协调</w:t>
      </w:r>
      <w:bookmarkEnd w:id="100"/>
      <w:bookmarkEnd w:id="101"/>
      <w:bookmarkEnd w:id="102"/>
      <w:bookmarkEnd w:id="103"/>
    </w:p>
    <w:p w14:paraId="5E973D28">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Cs/>
          <w:snapToGrid w:val="0"/>
          <w:color w:val="auto"/>
          <w:spacing w:val="0"/>
          <w:kern w:val="0"/>
          <w:sz w:val="32"/>
          <w:szCs w:val="32"/>
        </w:rPr>
      </w:pPr>
      <w:r>
        <w:rPr>
          <w:rFonts w:hint="default" w:ascii="楷体_GB2312" w:hAnsi="楷体_GB2312" w:eastAsia="楷体_GB2312" w:cs="楷体_GB2312"/>
          <w:bCs/>
          <w:snapToGrid w:val="0"/>
          <w:color w:val="auto"/>
          <w:spacing w:val="0"/>
          <w:kern w:val="0"/>
          <w:sz w:val="32"/>
          <w:szCs w:val="32"/>
        </w:rPr>
        <w:t>指挥和协调机制</w:t>
      </w:r>
    </w:p>
    <w:p w14:paraId="349AB70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根据突发环境事件的情况通知有关部门及其应急救援队伍。各有关部门接到事件信息通报后，应立即派出有关人员和队伍赶赴事发现场，在现场应急指挥部统一指挥下，按照各自的预案和处置规程，相互协同，密切配合，共同实施环境应急处置行动。</w:t>
      </w:r>
    </w:p>
    <w:p w14:paraId="72596E2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发生环境事件的有关部门和单位要及时、主动地向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环境应急指挥部提供应急救援有关的基础资料，生态环境、渔业、航政、交通运输、水利等有关部门提供事件发生前的有关监管检查资料，供市环境应急指挥部研究救援和处置方案时参考。</w:t>
      </w:r>
    </w:p>
    <w:p w14:paraId="58E7EF0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相关单位和个人必须积极配合，支持</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环境应急指挥部和各现场应急救援队伍进行现场处置、应急监测、应急监察等工作的开展，任何单位和个人不得以任何理由拒绝或妨碍应急工作的开展。</w:t>
      </w:r>
    </w:p>
    <w:p w14:paraId="3C72DDF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环境应急指挥部指挥协调的主要内容包括：</w:t>
      </w:r>
    </w:p>
    <w:p w14:paraId="5C6C2BC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（1）提出现场应急行动原则要求；</w:t>
      </w:r>
    </w:p>
    <w:p w14:paraId="34B0B4F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（2）指派有关专家和人员参与</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环境应急指挥部的应急指挥工作；</w:t>
      </w:r>
    </w:p>
    <w:p w14:paraId="463F5CD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（3）协调各级、各专业应急救援力量实施应急救援行动；</w:t>
      </w:r>
    </w:p>
    <w:p w14:paraId="4D3DC52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（4）协调受威胁的周边地区危险源的监控工作；</w:t>
      </w:r>
    </w:p>
    <w:p w14:paraId="0D4702F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（5）协调建立现场警戒区和交通管制区域，确定重点防护区域；</w:t>
      </w:r>
    </w:p>
    <w:p w14:paraId="48D1726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（6）根据污染影响评估及现场监测结果，确定转移、疏散群众的范围。污染影响消除后，组织疏散人员返回；</w:t>
      </w:r>
    </w:p>
    <w:p w14:paraId="51E8205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spacing w:val="0"/>
          <w:kern w:val="0"/>
          <w:sz w:val="32"/>
          <w:szCs w:val="32"/>
          <w:lang w:eastAsia="zh-CN"/>
        </w:rPr>
      </w:pPr>
      <w:r>
        <w:rPr>
          <w:rFonts w:hint="default" w:ascii="仿宋_GB2312" w:hAnsi="仿宋_GB2312" w:eastAsia="仿宋_GB2312" w:cs="仿宋_GB2312"/>
          <w:snapToGrid w:val="0"/>
          <w:color w:val="auto"/>
          <w:spacing w:val="0"/>
          <w:kern w:val="0"/>
          <w:sz w:val="32"/>
          <w:szCs w:val="32"/>
        </w:rPr>
        <w:t>（7）及时向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政府报告应急行动的进展情况</w:t>
      </w:r>
      <w:r>
        <w:rPr>
          <w:rFonts w:hint="eastAsia" w:ascii="仿宋_GB2312" w:hAnsi="仿宋_GB2312" w:eastAsia="仿宋_GB2312" w:cs="仿宋_GB2312"/>
          <w:snapToGrid w:val="0"/>
          <w:color w:val="auto"/>
          <w:spacing w:val="0"/>
          <w:kern w:val="0"/>
          <w:sz w:val="32"/>
          <w:szCs w:val="32"/>
          <w:lang w:eastAsia="zh-CN"/>
        </w:rPr>
        <w:t>。</w:t>
      </w:r>
    </w:p>
    <w:p w14:paraId="5D3DCD0C">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Cs/>
          <w:snapToGrid w:val="0"/>
          <w:color w:val="auto"/>
          <w:spacing w:val="0"/>
          <w:kern w:val="0"/>
          <w:sz w:val="32"/>
          <w:szCs w:val="32"/>
        </w:rPr>
      </w:pPr>
      <w:r>
        <w:rPr>
          <w:rFonts w:hint="default" w:ascii="楷体_GB2312" w:hAnsi="楷体_GB2312" w:eastAsia="楷体_GB2312" w:cs="楷体_GB2312"/>
          <w:bCs/>
          <w:snapToGrid w:val="0"/>
          <w:color w:val="auto"/>
          <w:spacing w:val="0"/>
          <w:kern w:val="0"/>
          <w:sz w:val="32"/>
          <w:szCs w:val="32"/>
        </w:rPr>
        <w:t>指挥</w:t>
      </w:r>
      <w:r>
        <w:rPr>
          <w:rFonts w:hint="eastAsia" w:ascii="楷体_GB2312" w:hAnsi="楷体_GB2312" w:eastAsia="楷体_GB2312" w:cs="楷体_GB2312"/>
          <w:bCs/>
          <w:snapToGrid w:val="0"/>
          <w:color w:val="auto"/>
          <w:spacing w:val="0"/>
          <w:kern w:val="0"/>
          <w:sz w:val="32"/>
          <w:szCs w:val="32"/>
          <w:lang w:val="en-US" w:eastAsia="zh-CN"/>
        </w:rPr>
        <w:t>权移交</w:t>
      </w:r>
    </w:p>
    <w:p w14:paraId="1AE90F7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lang w:val="en-US" w:eastAsia="zh-CN"/>
        </w:rPr>
        <w:t>演练或实际突发环境事件处置中，出现以下情形之一的，需启动指挥权移交程序：一是事件级别升级，超出我</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lang w:val="en-US" w:eastAsia="zh-CN"/>
        </w:rPr>
        <w:t>应急处置能力，上级应急指挥机构介入处置的；二是演练或处置工作涉及跨行政区域，需由共同的上一级应急指挥机构统一指挥的；三是上级人民政府或应急指挥机构指令移交指挥权的；四是因特殊情况（如总指挥缺位、重大处置分歧等），经指挥部集体研究决定，需移交指挥权的。</w:t>
      </w:r>
    </w:p>
    <w:p w14:paraId="313F1BC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lang w:val="en-US" w:eastAsia="zh-CN"/>
        </w:rPr>
        <w:t>指挥权移交需遵循“主动衔接、规范有序、无缝对接”的原则，具体流程为：（1）提出移交申请，由当前指挥机构（</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lang w:val="en-US" w:eastAsia="zh-CN"/>
        </w:rPr>
        <w:t>突发环境事件应急指挥部）向接收指挥机构提交书面移交申请，明确移交原因、移交范围、当前处置进展、已采取措施、应急物资及队伍情况等核心信息；（2）对接确认，接收指挥机构收到申请后，及时与当前指挥机构对接，核实相关情况，明确接收时间、接收人员及衔接要求；（3）现场移交，在指定时间、指定地点，当前指挥机构向接收指挥机构移交指挥权，同步移交应急处置相关资料、现场指挥权、应急队伍及物资调度权，双方签署指挥权移交确认书，明确移交前后的责任划分；（4）后续配合，指挥权移交后，</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lang w:val="en-US" w:eastAsia="zh-CN"/>
        </w:rPr>
        <w:t>应急指挥机构及相关部门需服从接收指挥机构的统一指挥，主动配合做好后续处置、信息报送、物资保障等工作，直至处置工作结束或接收指挥机构指令终止配合</w:t>
      </w:r>
      <w:r>
        <w:rPr>
          <w:rFonts w:hint="default" w:ascii="仿宋_GB2312" w:hAnsi="仿宋_GB2312" w:eastAsia="仿宋_GB2312" w:cs="仿宋_GB2312"/>
          <w:snapToGrid w:val="0"/>
          <w:color w:val="auto"/>
          <w:spacing w:val="0"/>
          <w:kern w:val="0"/>
          <w:sz w:val="32"/>
          <w:szCs w:val="32"/>
        </w:rPr>
        <w:t>。</w:t>
      </w:r>
    </w:p>
    <w:p w14:paraId="77D9B883">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104" w:name="_Toc4793"/>
      <w:bookmarkStart w:id="105" w:name="_Toc29493"/>
      <w:bookmarkStart w:id="106" w:name="_Toc573"/>
      <w:bookmarkStart w:id="107" w:name="_Toc19812"/>
      <w:r>
        <w:rPr>
          <w:rFonts w:hint="eastAsia" w:ascii="黑体" w:hAnsi="黑体" w:eastAsia="黑体" w:cs="黑体"/>
          <w:b w:val="0"/>
          <w:bCs w:val="0"/>
          <w:snapToGrid w:val="0"/>
          <w:color w:val="auto"/>
          <w:spacing w:val="0"/>
          <w:kern w:val="0"/>
          <w:sz w:val="32"/>
          <w:szCs w:val="32"/>
        </w:rPr>
        <w:t>应急监测</w:t>
      </w:r>
      <w:bookmarkEnd w:id="104"/>
      <w:bookmarkEnd w:id="105"/>
      <w:bookmarkEnd w:id="106"/>
      <w:bookmarkEnd w:id="107"/>
    </w:p>
    <w:p w14:paraId="5FF04F8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bookmarkStart w:id="108" w:name="_Toc6837"/>
      <w:r>
        <w:rPr>
          <w:rFonts w:hint="default" w:ascii="仿宋_GB2312" w:hAnsi="仿宋_GB2312" w:eastAsia="仿宋_GB2312" w:cs="仿宋_GB2312"/>
          <w:snapToGrid w:val="0"/>
          <w:color w:val="auto"/>
          <w:spacing w:val="0"/>
          <w:kern w:val="0"/>
          <w:sz w:val="32"/>
          <w:szCs w:val="32"/>
        </w:rPr>
        <w:t>事件发生后，应急监测组应立即开展污染源及其周围水、气、土壤等环境监测工作，为应急决策提供科学依据。</w:t>
      </w:r>
    </w:p>
    <w:p w14:paraId="036A08D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（1）突发环境事件发生时事故责任单位有环境检测能力的，要立即开展先期应急检测工作，第一时间掌握环境风险物质的环境暴露。事故责任单位应按应急指挥部的要求，配合开展环境监测工作。</w:t>
      </w:r>
    </w:p>
    <w:p w14:paraId="161E9ED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环境监测人员应根据污染物种类、性质、相态、扩散速度、事件发生地的气象和地域特点，周边地表水、地下水、环境敏感区的分布情况，确定监测点位，明确监测项目，制定应急监测方案，开展应急监测。视污染物扩散情况和监测结果变化趋势，及时对监测方案进行调整。</w:t>
      </w:r>
    </w:p>
    <w:p w14:paraId="4DB077B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（3）在</w:t>
      </w:r>
      <w:r>
        <w:rPr>
          <w:rFonts w:hint="eastAsia" w:ascii="仿宋_GB2312" w:hAnsi="仿宋_GB2312" w:eastAsia="仿宋_GB2312" w:cs="仿宋_GB2312"/>
          <w:snapToGrid w:val="0"/>
          <w:color w:val="auto"/>
          <w:spacing w:val="0"/>
          <w:kern w:val="0"/>
          <w:sz w:val="32"/>
          <w:szCs w:val="32"/>
          <w:lang w:val="en-US" w:eastAsia="zh-CN"/>
        </w:rPr>
        <w:t>景德镇市昌江生态环境监测中心</w:t>
      </w:r>
      <w:r>
        <w:rPr>
          <w:rFonts w:hint="default" w:ascii="仿宋_GB2312" w:hAnsi="仿宋_GB2312" w:eastAsia="仿宋_GB2312" w:cs="仿宋_GB2312"/>
          <w:snapToGrid w:val="0"/>
          <w:color w:val="auto"/>
          <w:spacing w:val="0"/>
          <w:kern w:val="0"/>
          <w:sz w:val="32"/>
          <w:szCs w:val="32"/>
        </w:rPr>
        <w:t>应急监测能力无法满足应急需要时，由</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生态环境局负责请求</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w:t>
      </w:r>
      <w:r>
        <w:rPr>
          <w:rFonts w:hint="eastAsia" w:ascii="仿宋_GB2312" w:hAnsi="仿宋_GB2312" w:eastAsia="仿宋_GB2312" w:cs="仿宋_GB2312"/>
          <w:snapToGrid w:val="0"/>
          <w:color w:val="auto"/>
          <w:spacing w:val="0"/>
          <w:kern w:val="0"/>
          <w:sz w:val="32"/>
          <w:szCs w:val="32"/>
          <w:lang w:val="en-US" w:eastAsia="zh-CN"/>
        </w:rPr>
        <w:t>生态</w:t>
      </w:r>
      <w:r>
        <w:rPr>
          <w:rFonts w:hint="default" w:ascii="仿宋_GB2312" w:hAnsi="仿宋_GB2312" w:eastAsia="仿宋_GB2312" w:cs="仿宋_GB2312"/>
          <w:snapToGrid w:val="0"/>
          <w:color w:val="auto"/>
          <w:spacing w:val="0"/>
          <w:kern w:val="0"/>
          <w:sz w:val="32"/>
          <w:szCs w:val="32"/>
        </w:rPr>
        <w:t>环境监测中心或省级监测单位增援，在</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w:t>
      </w:r>
      <w:r>
        <w:rPr>
          <w:rFonts w:hint="eastAsia" w:ascii="仿宋_GB2312" w:hAnsi="仿宋_GB2312" w:eastAsia="仿宋_GB2312" w:cs="仿宋_GB2312"/>
          <w:snapToGrid w:val="0"/>
          <w:color w:val="auto"/>
          <w:spacing w:val="0"/>
          <w:kern w:val="0"/>
          <w:sz w:val="32"/>
          <w:szCs w:val="32"/>
          <w:lang w:val="en-US" w:eastAsia="zh-CN"/>
        </w:rPr>
        <w:t>生态</w:t>
      </w:r>
      <w:r>
        <w:rPr>
          <w:rFonts w:hint="default" w:ascii="仿宋_GB2312" w:hAnsi="仿宋_GB2312" w:eastAsia="仿宋_GB2312" w:cs="仿宋_GB2312"/>
          <w:snapToGrid w:val="0"/>
          <w:color w:val="auto"/>
          <w:spacing w:val="0"/>
          <w:kern w:val="0"/>
          <w:sz w:val="32"/>
          <w:szCs w:val="32"/>
        </w:rPr>
        <w:t>环境监测中心或省级监测单位应急监测部门到达后，配合其对突发环境事件现场的周边进行环境污染应急监测。</w:t>
      </w:r>
    </w:p>
    <w:p w14:paraId="32E1E3C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在事件发生初期，要根据突发环境事件的严重程度，适当增加监测点位和频次；随着污染物的扩散情况和监测结果的变化趋势，科学调整监测频次和监测点位。优先选用污染物现场快速监测法，当不具备快速监测条件和监测技术时，或需对污染程度和污染范围进行精确判断时，应尽快将污染物样品送省环境监测中心站实验室进行分析检测。</w:t>
      </w:r>
    </w:p>
    <w:p w14:paraId="6BC93A8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（5）根据监测结果，综合分析突发环境事件污染物浓度的时空变化趋势，并通过专家咨询和讨论的方式，预测、报告突发环境事件的发展情况和污染物的变化情况，为现场应急决策提供技术支撑。</w:t>
      </w:r>
    </w:p>
    <w:p w14:paraId="27FE1BE2">
      <w:pPr>
        <w:pageBreakBefore w:val="0"/>
        <w:widowControl/>
        <w:kinsoku/>
        <w:wordWrap/>
        <w:overflowPunct/>
        <w:topLinePunct w:val="0"/>
        <w:autoSpaceDE/>
        <w:autoSpaceDN/>
        <w:bidi w:val="0"/>
        <w:adjustRightInd/>
        <w:snapToGrid/>
        <w:spacing w:line="600" w:lineRule="exact"/>
        <w:ind w:firstLine="482"/>
        <w:jc w:val="both"/>
        <w:textAlignment w:val="auto"/>
        <w:rPr>
          <w:rFonts w:hint="eastAsia" w:ascii="黑体" w:hAnsi="黑体" w:eastAsia="黑体" w:cs="黑体"/>
          <w:b w:val="0"/>
          <w:bCs w:val="0"/>
          <w:snapToGrid w:val="0"/>
          <w:color w:val="auto"/>
          <w:spacing w:val="0"/>
          <w:kern w:val="0"/>
          <w:sz w:val="32"/>
          <w:szCs w:val="32"/>
        </w:rPr>
      </w:pPr>
      <w:r>
        <w:rPr>
          <w:rFonts w:hint="eastAsia" w:ascii="黑体" w:hAnsi="黑体" w:eastAsia="黑体" w:cs="黑体"/>
          <w:b w:val="0"/>
          <w:bCs w:val="0"/>
          <w:snapToGrid w:val="0"/>
          <w:color w:val="auto"/>
          <w:spacing w:val="0"/>
          <w:kern w:val="0"/>
          <w:sz w:val="32"/>
          <w:szCs w:val="32"/>
        </w:rPr>
        <w:t>突发大气污染事件应急监测方案</w:t>
      </w:r>
    </w:p>
    <w:p w14:paraId="7AD5676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spacing w:val="0"/>
          <w:kern w:val="0"/>
          <w:sz w:val="32"/>
          <w:szCs w:val="32"/>
        </w:rPr>
      </w:pPr>
      <w:r>
        <w:rPr>
          <w:rFonts w:hint="default" w:ascii="仿宋_GB2312" w:hAnsi="仿宋_GB2312" w:eastAsia="仿宋_GB2312" w:cs="仿宋_GB2312"/>
          <w:b/>
          <w:bCs/>
          <w:snapToGrid w:val="0"/>
          <w:color w:val="auto"/>
          <w:spacing w:val="0"/>
          <w:kern w:val="0"/>
          <w:sz w:val="32"/>
          <w:szCs w:val="32"/>
        </w:rPr>
        <w:t>（1）监测布点</w:t>
      </w:r>
    </w:p>
    <w:p w14:paraId="3FA5C24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背景布点：上风向500m左右设置2个监测点</w:t>
      </w:r>
    </w:p>
    <w:p w14:paraId="505556D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监控布点：事故单位事故排口、下风向按500m的间距呈扇形布设，具体见下图所示，当1500m监测断面污染物超标后，适当</w:t>
      </w:r>
      <w:r>
        <w:rPr>
          <w:rFonts w:hint="eastAsia" w:ascii="仿宋_GB2312" w:hAnsi="仿宋_GB2312" w:eastAsia="仿宋_GB2312" w:cs="仿宋_GB2312"/>
          <w:snapToGrid w:val="0"/>
          <w:color w:val="auto"/>
          <w:spacing w:val="0"/>
          <w:kern w:val="0"/>
          <w:sz w:val="32"/>
          <w:szCs w:val="32"/>
          <w:lang w:eastAsia="zh-CN"/>
        </w:rPr>
        <w:t>地</w:t>
      </w:r>
      <w:r>
        <w:rPr>
          <w:rFonts w:hint="default" w:ascii="仿宋_GB2312" w:hAnsi="仿宋_GB2312" w:eastAsia="仿宋_GB2312" w:cs="仿宋_GB2312"/>
          <w:snapToGrid w:val="0"/>
          <w:color w:val="auto"/>
          <w:spacing w:val="0"/>
          <w:kern w:val="0"/>
          <w:sz w:val="32"/>
          <w:szCs w:val="32"/>
        </w:rPr>
        <w:t>增设监测断面。下风向最近的居民住宅区和人群活动区分别布设一个监测点。</w:t>
      </w:r>
    </w:p>
    <w:p w14:paraId="2C07F9EA">
      <w:pPr>
        <w:widowControl/>
        <w:ind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drawing>
          <wp:inline distT="0" distB="0" distL="0" distR="0">
            <wp:extent cx="4166235" cy="3342640"/>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12">
                      <a:extLst>
                        <a:ext uri="{28A0092B-C50C-407E-A947-70E740481C1C}">
                          <a14:useLocalDpi xmlns:a14="http://schemas.microsoft.com/office/drawing/2010/main" val="0"/>
                        </a:ext>
                      </a:extLst>
                    </a:blip>
                    <a:srcRect t="3824" b="2992"/>
                    <a:stretch>
                      <a:fillRect/>
                    </a:stretch>
                  </pic:blipFill>
                  <pic:spPr>
                    <a:xfrm>
                      <a:off x="0" y="0"/>
                      <a:ext cx="4169489" cy="3342640"/>
                    </a:xfrm>
                    <a:prstGeom prst="rect">
                      <a:avLst/>
                    </a:prstGeom>
                    <a:noFill/>
                    <a:ln>
                      <a:noFill/>
                    </a:ln>
                  </pic:spPr>
                </pic:pic>
              </a:graphicData>
            </a:graphic>
          </wp:inline>
        </w:drawing>
      </w:r>
    </w:p>
    <w:p w14:paraId="774F4F62">
      <w:pPr>
        <w:pageBreakBefore w:val="0"/>
        <w:widowControl/>
        <w:kinsoku/>
        <w:wordWrap/>
        <w:overflowPunct/>
        <w:topLinePunct w:val="0"/>
        <w:autoSpaceDE/>
        <w:autoSpaceDN/>
        <w:bidi w:val="0"/>
        <w:adjustRightInd/>
        <w:snapToGrid/>
        <w:spacing w:line="600" w:lineRule="exact"/>
        <w:ind w:firstLine="422"/>
        <w:jc w:val="both"/>
        <w:textAlignment w:val="auto"/>
        <w:rPr>
          <w:rFonts w:hint="eastAsia" w:ascii="楷体_GB2312" w:hAnsi="楷体_GB2312" w:eastAsia="楷体_GB2312" w:cs="楷体_GB2312"/>
          <w:color w:val="auto"/>
          <w:spacing w:val="0"/>
          <w:kern w:val="0"/>
          <w:sz w:val="32"/>
          <w:szCs w:val="32"/>
        </w:rPr>
      </w:pPr>
      <w:r>
        <w:rPr>
          <w:rFonts w:hint="eastAsia" w:ascii="楷体_GB2312" w:hAnsi="楷体_GB2312" w:eastAsia="楷体_GB2312" w:cs="楷体_GB2312"/>
          <w:b/>
          <w:color w:val="auto"/>
          <w:spacing w:val="0"/>
          <w:kern w:val="0"/>
          <w:sz w:val="32"/>
          <w:szCs w:val="32"/>
        </w:rPr>
        <w:t>注：上风向、下风向由事故发生时的风向确定</w:t>
      </w:r>
    </w:p>
    <w:p w14:paraId="74C4410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（2）监测因子</w:t>
      </w:r>
    </w:p>
    <w:p w14:paraId="2B70D98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由于</w:t>
      </w:r>
      <w:r>
        <w:rPr>
          <w:rFonts w:hint="eastAsia" w:ascii="仿宋_GB2312" w:hAnsi="仿宋_GB2312" w:eastAsia="仿宋_GB2312" w:cs="仿宋_GB2312"/>
          <w:color w:val="auto"/>
          <w:spacing w:val="0"/>
          <w:kern w:val="0"/>
          <w:sz w:val="32"/>
          <w:szCs w:val="32"/>
          <w:lang w:val="en-US" w:eastAsia="zh-CN"/>
        </w:rPr>
        <w:t>昌江区</w:t>
      </w:r>
      <w:r>
        <w:rPr>
          <w:rFonts w:hint="default" w:ascii="仿宋_GB2312" w:hAnsi="仿宋_GB2312" w:eastAsia="仿宋_GB2312" w:cs="仿宋_GB2312"/>
          <w:color w:val="auto"/>
          <w:spacing w:val="0"/>
          <w:kern w:val="0"/>
          <w:sz w:val="32"/>
          <w:szCs w:val="32"/>
        </w:rPr>
        <w:t>范围内企业较多，涉及的污染因子也各不相同，因此监测因子根据事故发生单位以及事故类型确定，经初步筛选后报应急专家组审核，由应急专家组最终确定监测因子。</w:t>
      </w:r>
    </w:p>
    <w:p w14:paraId="0281CD1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（3）监测频次</w:t>
      </w:r>
    </w:p>
    <w:p w14:paraId="3048B30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事故初期，应每小时取样监测一次，待摸清污染物变化规律后，每2个小时监测一次，待事故得到控制后，每天监测一次，待恢复至环境质量标准限值后，可停止应急监测，按要求开展常规的环境质量现状监测。</w:t>
      </w:r>
    </w:p>
    <w:p w14:paraId="2677B5EF">
      <w:pPr>
        <w:pageBreakBefore w:val="0"/>
        <w:widowControl/>
        <w:kinsoku/>
        <w:wordWrap/>
        <w:overflowPunct/>
        <w:topLinePunct w:val="0"/>
        <w:autoSpaceDE/>
        <w:autoSpaceDN/>
        <w:bidi w:val="0"/>
        <w:adjustRightInd/>
        <w:snapToGrid/>
        <w:spacing w:line="600" w:lineRule="exact"/>
        <w:ind w:firstLine="482"/>
        <w:jc w:val="both"/>
        <w:textAlignment w:val="auto"/>
        <w:rPr>
          <w:rFonts w:hint="default" w:ascii="黑体" w:hAnsi="黑体" w:eastAsia="黑体" w:cs="黑体"/>
          <w:b w:val="0"/>
          <w:bCs w:val="0"/>
          <w:snapToGrid w:val="0"/>
          <w:color w:val="auto"/>
          <w:spacing w:val="0"/>
          <w:kern w:val="0"/>
          <w:sz w:val="32"/>
          <w:szCs w:val="32"/>
        </w:rPr>
      </w:pPr>
      <w:r>
        <w:rPr>
          <w:rFonts w:hint="default" w:ascii="黑体" w:hAnsi="黑体" w:eastAsia="黑体" w:cs="黑体"/>
          <w:b w:val="0"/>
          <w:bCs w:val="0"/>
          <w:snapToGrid w:val="0"/>
          <w:color w:val="auto"/>
          <w:spacing w:val="0"/>
          <w:kern w:val="0"/>
          <w:sz w:val="32"/>
          <w:szCs w:val="32"/>
        </w:rPr>
        <w:t>突发水环境污染事件应急监测</w:t>
      </w:r>
    </w:p>
    <w:p w14:paraId="1D7CC8C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（1）监测布点</w:t>
      </w:r>
    </w:p>
    <w:p w14:paraId="507E28B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背景布点：在发生污染的断面上游100m处布设一个背景监测断面。</w:t>
      </w:r>
    </w:p>
    <w:p w14:paraId="7AC4891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监控布点：在发生污染的断面处、下游500m处、下游1000m处、下游3000m处布设监测断面。当下游3000m污染物仍有超标情况，应适当的增设监测断面。</w:t>
      </w:r>
    </w:p>
    <w:p w14:paraId="0AC6A50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（2）监测因子</w:t>
      </w:r>
    </w:p>
    <w:p w14:paraId="44B4F5C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常规因子：pH、CODcr、氨氮、BOD5、SS、石油类、</w:t>
      </w:r>
      <w:r>
        <w:rPr>
          <w:rFonts w:hint="eastAsia" w:ascii="仿宋_GB2312" w:hAnsi="仿宋_GB2312" w:eastAsia="仿宋_GB2312" w:cs="仿宋_GB2312"/>
          <w:color w:val="auto"/>
          <w:spacing w:val="0"/>
          <w:kern w:val="0"/>
          <w:sz w:val="32"/>
          <w:szCs w:val="32"/>
          <w:lang w:val="en-US" w:eastAsia="zh-CN"/>
        </w:rPr>
        <w:t>铜、锌</w:t>
      </w:r>
      <w:r>
        <w:rPr>
          <w:rFonts w:hint="default" w:ascii="仿宋_GB2312" w:hAnsi="仿宋_GB2312" w:eastAsia="仿宋_GB2312" w:cs="仿宋_GB2312"/>
          <w:color w:val="auto"/>
          <w:spacing w:val="0"/>
          <w:kern w:val="0"/>
          <w:sz w:val="32"/>
          <w:szCs w:val="32"/>
        </w:rPr>
        <w:t>、</w:t>
      </w:r>
      <w:r>
        <w:rPr>
          <w:rFonts w:hint="eastAsia" w:ascii="仿宋_GB2312" w:hAnsi="仿宋_GB2312" w:eastAsia="仿宋_GB2312" w:cs="仿宋_GB2312"/>
          <w:color w:val="auto"/>
          <w:spacing w:val="0"/>
          <w:kern w:val="0"/>
          <w:sz w:val="32"/>
          <w:szCs w:val="32"/>
          <w:lang w:val="en-US" w:eastAsia="zh-CN"/>
        </w:rPr>
        <w:t>镍、</w:t>
      </w:r>
      <w:r>
        <w:rPr>
          <w:rFonts w:hint="default" w:ascii="仿宋_GB2312" w:hAnsi="仿宋_GB2312" w:eastAsia="仿宋_GB2312" w:cs="仿宋_GB2312"/>
          <w:color w:val="auto"/>
          <w:spacing w:val="0"/>
          <w:kern w:val="0"/>
          <w:sz w:val="32"/>
          <w:szCs w:val="32"/>
        </w:rPr>
        <w:t>铅、镉、铬、汞、总磷、总氮等。</w:t>
      </w:r>
    </w:p>
    <w:p w14:paraId="31B39A4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特征因子：应根据事故发生单位的污染因子进行确定，由应急专家组协商确定。</w:t>
      </w:r>
    </w:p>
    <w:p w14:paraId="17A9908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（3）监测频次</w:t>
      </w:r>
    </w:p>
    <w:p w14:paraId="2213C52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事故初期，应每小时取样监测一次，待摸清污染物变化规律后，每2个小时监测一次，待事故得到控制后，每天监测一次，待恢复至环境质量标准限值后，可停止应急监测，按要求开展常规的环境质量现状监测。</w:t>
      </w:r>
    </w:p>
    <w:p w14:paraId="1D47E2CC">
      <w:pPr>
        <w:pageBreakBefore w:val="0"/>
        <w:widowControl/>
        <w:kinsoku/>
        <w:wordWrap/>
        <w:overflowPunct/>
        <w:topLinePunct w:val="0"/>
        <w:autoSpaceDE/>
        <w:autoSpaceDN/>
        <w:bidi w:val="0"/>
        <w:adjustRightInd/>
        <w:snapToGrid/>
        <w:spacing w:line="600" w:lineRule="exact"/>
        <w:ind w:firstLine="482"/>
        <w:jc w:val="both"/>
        <w:textAlignment w:val="auto"/>
        <w:rPr>
          <w:rFonts w:hint="default" w:ascii="黑体" w:hAnsi="黑体" w:eastAsia="黑体" w:cs="黑体"/>
          <w:b w:val="0"/>
          <w:bCs w:val="0"/>
          <w:snapToGrid w:val="0"/>
          <w:color w:val="auto"/>
          <w:spacing w:val="0"/>
          <w:kern w:val="0"/>
          <w:sz w:val="32"/>
          <w:szCs w:val="32"/>
        </w:rPr>
      </w:pPr>
      <w:r>
        <w:rPr>
          <w:rFonts w:hint="default" w:ascii="黑体" w:hAnsi="黑体" w:eastAsia="黑体" w:cs="黑体"/>
          <w:b w:val="0"/>
          <w:bCs w:val="0"/>
          <w:snapToGrid w:val="0"/>
          <w:color w:val="auto"/>
          <w:spacing w:val="0"/>
          <w:kern w:val="0"/>
          <w:sz w:val="32"/>
          <w:szCs w:val="32"/>
        </w:rPr>
        <w:t>突发土壤环境污染事件应急监测</w:t>
      </w:r>
    </w:p>
    <w:p w14:paraId="66A9F15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（1）监测范围和布点</w:t>
      </w:r>
    </w:p>
    <w:p w14:paraId="65900FF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对土壤的监测应以事故地点为中心，按一定间隔的圆形布点采样，并根据污染物的特性在不同深度采样，同时采集对照样品，必要时在事故地附近采集作物样品。布点方法采用系统随机布点法、专业判断布点法、分区布点法、系统布点法等进行，采样点垂直方向的土壤采样深度可根据污染源的位置、迁移和底层结构以及水文地质等进行判断设置。若难以合理判断采样深度，可按0.5</w:t>
      </w:r>
      <w:r>
        <w:rPr>
          <w:rFonts w:hint="eastAsia" w:ascii="仿宋_GB2312" w:hAnsi="仿宋_GB2312" w:eastAsia="仿宋_GB2312" w:cs="仿宋_GB2312"/>
          <w:color w:val="auto"/>
          <w:spacing w:val="0"/>
          <w:kern w:val="0"/>
          <w:sz w:val="32"/>
          <w:szCs w:val="32"/>
          <w:lang w:val="en-US" w:eastAsia="zh-CN"/>
        </w:rPr>
        <w:t>-</w:t>
      </w:r>
      <w:r>
        <w:rPr>
          <w:rFonts w:hint="default" w:ascii="仿宋_GB2312" w:hAnsi="仿宋_GB2312" w:eastAsia="仿宋_GB2312" w:cs="仿宋_GB2312"/>
          <w:color w:val="auto"/>
          <w:spacing w:val="0"/>
          <w:kern w:val="0"/>
          <w:sz w:val="32"/>
          <w:szCs w:val="32"/>
        </w:rPr>
        <w:t>2.0米等间距设置采样位置。</w:t>
      </w:r>
    </w:p>
    <w:p w14:paraId="7FD1310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（2）常规土壤监测项目</w:t>
      </w:r>
    </w:p>
    <w:p w14:paraId="3665A7D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第一类：镉、汞、砷、铅、铬、铜、锌、镍；</w:t>
      </w:r>
    </w:p>
    <w:p w14:paraId="6FA5B14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第二类：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铬、锰、有机磷化合物等。</w:t>
      </w:r>
    </w:p>
    <w:p w14:paraId="7E5A7F4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spacing w:val="0"/>
          <w:kern w:val="0"/>
          <w:sz w:val="32"/>
          <w:szCs w:val="32"/>
        </w:rPr>
      </w:pPr>
      <w:r>
        <w:rPr>
          <w:rFonts w:hint="default" w:ascii="仿宋_GB2312" w:hAnsi="仿宋_GB2312" w:eastAsia="仿宋_GB2312" w:cs="仿宋_GB2312"/>
          <w:b/>
          <w:bCs/>
          <w:color w:val="auto"/>
          <w:spacing w:val="0"/>
          <w:kern w:val="0"/>
          <w:sz w:val="32"/>
          <w:szCs w:val="32"/>
        </w:rPr>
        <w:t>（3）监测频次</w:t>
      </w:r>
    </w:p>
    <w:p w14:paraId="41F47B1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每个点位采样一次，对受污染的土壤应留样待检。</w:t>
      </w:r>
    </w:p>
    <w:p w14:paraId="29D05E32">
      <w:pPr>
        <w:pStyle w:val="34"/>
        <w:pageBreakBefore w:val="0"/>
        <w:widowControl/>
        <w:kinsoku/>
        <w:wordWrap/>
        <w:overflowPunct/>
        <w:topLinePunct w:val="0"/>
        <w:autoSpaceDE/>
        <w:autoSpaceDN/>
        <w:bidi w:val="0"/>
        <w:adjustRightInd/>
        <w:snapToGrid/>
        <w:spacing w:before="0" w:line="560" w:lineRule="exact"/>
        <w:ind w:left="-562" w:leftChars="0" w:firstLine="562" w:firstLineChars="0"/>
        <w:jc w:val="both"/>
        <w:textAlignment w:val="auto"/>
        <w:rPr>
          <w:rFonts w:hint="default" w:ascii="Times New Roman" w:hAnsi="Times New Roman" w:cs="Times New Roman"/>
          <w:bCs/>
          <w:color w:val="auto"/>
          <w:spacing w:val="0"/>
          <w:kern w:val="0"/>
        </w:rPr>
      </w:pPr>
      <w:bookmarkStart w:id="109" w:name="_Toc21175"/>
      <w:bookmarkStart w:id="110" w:name="_Toc11672"/>
      <w:bookmarkStart w:id="111" w:name="_Toc32443"/>
      <w:r>
        <w:rPr>
          <w:rFonts w:hint="eastAsia" w:ascii="黑体" w:hAnsi="黑体" w:eastAsia="黑体" w:cs="黑体"/>
          <w:b w:val="0"/>
          <w:bCs w:val="0"/>
          <w:color w:val="auto"/>
          <w:spacing w:val="0"/>
          <w:kern w:val="0"/>
          <w:sz w:val="32"/>
          <w:szCs w:val="32"/>
        </w:rPr>
        <w:t>应急监察</w:t>
      </w:r>
      <w:bookmarkEnd w:id="108"/>
      <w:bookmarkEnd w:id="109"/>
      <w:bookmarkEnd w:id="110"/>
      <w:bookmarkEnd w:id="111"/>
    </w:p>
    <w:p w14:paraId="264D152B">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eastAsia" w:ascii="仿宋_GB2312" w:hAnsi="仿宋_GB2312" w:eastAsia="仿宋_GB2312" w:cs="仿宋_GB2312"/>
          <w:color w:val="auto"/>
          <w:spacing w:val="0"/>
          <w:kern w:val="0"/>
          <w:sz w:val="32"/>
          <w:szCs w:val="32"/>
          <w:lang w:val="en-US" w:eastAsia="zh-CN"/>
        </w:rPr>
        <w:t>景德镇市昌江</w:t>
      </w:r>
      <w:r>
        <w:rPr>
          <w:rFonts w:hint="default" w:ascii="仿宋_GB2312" w:hAnsi="仿宋_GB2312" w:eastAsia="仿宋_GB2312" w:cs="仿宋_GB2312"/>
          <w:color w:val="auto"/>
          <w:spacing w:val="0"/>
          <w:kern w:val="0"/>
          <w:sz w:val="32"/>
          <w:szCs w:val="32"/>
        </w:rPr>
        <w:t>生态环境局环境监察机构在接到突发环境事件报告后，应立即赶赴事发现场，调查事件发生的时间、地点、性质、原因以及已造成的污染范围；调查污染源种类、数量、性质；调查事件危害程度、发展趋势；监督、指导污染源的控制和处置工作；协助、指导有关单位做好人员撤离和防护工作；对事件责任单位的环境违法行为进行调查，收集证据；做好</w:t>
      </w:r>
      <w:r>
        <w:rPr>
          <w:rFonts w:hint="eastAsia" w:ascii="仿宋_GB2312" w:hAnsi="仿宋_GB2312" w:eastAsia="仿宋_GB2312" w:cs="仿宋_GB2312"/>
          <w:color w:val="auto"/>
          <w:spacing w:val="0"/>
          <w:kern w:val="0"/>
          <w:sz w:val="32"/>
          <w:szCs w:val="32"/>
          <w:lang w:val="en-US" w:eastAsia="zh-CN"/>
        </w:rPr>
        <w:t>区</w:t>
      </w:r>
      <w:r>
        <w:rPr>
          <w:rFonts w:hint="default" w:ascii="仿宋_GB2312" w:hAnsi="仿宋_GB2312" w:eastAsia="仿宋_GB2312" w:cs="仿宋_GB2312"/>
          <w:color w:val="auto"/>
          <w:spacing w:val="0"/>
          <w:kern w:val="0"/>
          <w:sz w:val="32"/>
          <w:szCs w:val="32"/>
        </w:rPr>
        <w:t>环境应急指挥部交办的</w:t>
      </w:r>
      <w:r>
        <w:rPr>
          <w:rFonts w:hint="eastAsia" w:ascii="仿宋_GB2312" w:hAnsi="仿宋_GB2312" w:eastAsia="仿宋_GB2312" w:cs="仿宋_GB2312"/>
          <w:color w:val="auto"/>
          <w:spacing w:val="0"/>
          <w:kern w:val="0"/>
          <w:sz w:val="32"/>
          <w:szCs w:val="32"/>
          <w:lang w:eastAsia="zh-CN"/>
        </w:rPr>
        <w:t>其他</w:t>
      </w:r>
      <w:r>
        <w:rPr>
          <w:rFonts w:hint="default" w:ascii="仿宋_GB2312" w:hAnsi="仿宋_GB2312" w:eastAsia="仿宋_GB2312" w:cs="仿宋_GB2312"/>
          <w:color w:val="auto"/>
          <w:spacing w:val="0"/>
          <w:kern w:val="0"/>
          <w:sz w:val="32"/>
          <w:szCs w:val="32"/>
        </w:rPr>
        <w:t>任务。</w:t>
      </w:r>
    </w:p>
    <w:p w14:paraId="4A27D9D7">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事件发生地环境监察机构配合做好应急监察工作。</w:t>
      </w:r>
    </w:p>
    <w:p w14:paraId="06FB42FA">
      <w:pPr>
        <w:pStyle w:val="34"/>
        <w:pageBreakBefore w:val="0"/>
        <w:widowControl/>
        <w:kinsoku/>
        <w:wordWrap/>
        <w:overflowPunct/>
        <w:topLinePunct w:val="0"/>
        <w:autoSpaceDE/>
        <w:autoSpaceDN/>
        <w:bidi w:val="0"/>
        <w:adjustRightInd/>
        <w:snapToGrid/>
        <w:spacing w:before="0" w:line="560" w:lineRule="exact"/>
        <w:ind w:left="-562" w:leftChars="0" w:firstLine="562" w:firstLineChars="0"/>
        <w:jc w:val="both"/>
        <w:textAlignment w:val="auto"/>
        <w:rPr>
          <w:rFonts w:hint="default" w:ascii="黑体" w:hAnsi="黑体" w:eastAsia="黑体" w:cs="黑体"/>
          <w:b w:val="0"/>
          <w:bCs w:val="0"/>
          <w:color w:val="auto"/>
          <w:spacing w:val="0"/>
          <w:kern w:val="0"/>
          <w:sz w:val="32"/>
          <w:szCs w:val="32"/>
        </w:rPr>
      </w:pPr>
      <w:bookmarkStart w:id="112" w:name="_Toc10343"/>
      <w:bookmarkStart w:id="113" w:name="_Toc24883"/>
      <w:bookmarkStart w:id="114" w:name="_Toc23814"/>
      <w:bookmarkStart w:id="115" w:name="_Toc30146"/>
      <w:r>
        <w:rPr>
          <w:rFonts w:hint="default" w:ascii="黑体" w:hAnsi="黑体" w:eastAsia="黑体" w:cs="黑体"/>
          <w:b w:val="0"/>
          <w:bCs w:val="0"/>
          <w:color w:val="auto"/>
          <w:spacing w:val="0"/>
          <w:kern w:val="0"/>
          <w:sz w:val="32"/>
          <w:szCs w:val="32"/>
        </w:rPr>
        <w:t>安全防护</w:t>
      </w:r>
      <w:bookmarkEnd w:id="112"/>
      <w:bookmarkEnd w:id="113"/>
      <w:bookmarkEnd w:id="114"/>
      <w:bookmarkEnd w:id="115"/>
    </w:p>
    <w:p w14:paraId="2D5410EB">
      <w:pPr>
        <w:pStyle w:val="36"/>
        <w:pageBreakBefore w:val="0"/>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Cs/>
          <w:color w:val="auto"/>
          <w:spacing w:val="0"/>
          <w:kern w:val="0"/>
          <w:sz w:val="32"/>
          <w:szCs w:val="32"/>
        </w:rPr>
      </w:pPr>
      <w:r>
        <w:rPr>
          <w:rFonts w:hint="eastAsia" w:ascii="楷体_GB2312" w:hAnsi="楷体_GB2312" w:eastAsia="楷体_GB2312" w:cs="楷体_GB2312"/>
          <w:bCs/>
          <w:color w:val="auto"/>
          <w:spacing w:val="0"/>
          <w:kern w:val="0"/>
          <w:sz w:val="32"/>
          <w:szCs w:val="32"/>
        </w:rPr>
        <w:t>应急人员的安全防护</w:t>
      </w:r>
    </w:p>
    <w:p w14:paraId="35109D33">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现场处置人员应根据不同类型环境事件的特点，配备相应的专业防护装备，采取安全防护措施，严格执行应急人员出入事发现场规定。现场监测、监察和处置人员根据需要配备过滤式或隔绝式防毒面具，在正确、完全</w:t>
      </w:r>
      <w:r>
        <w:rPr>
          <w:rFonts w:hint="eastAsia" w:ascii="仿宋_GB2312" w:hAnsi="仿宋_GB2312" w:eastAsia="仿宋_GB2312" w:cs="仿宋_GB2312"/>
          <w:color w:val="auto"/>
          <w:spacing w:val="0"/>
          <w:kern w:val="0"/>
          <w:sz w:val="32"/>
          <w:szCs w:val="32"/>
          <w:lang w:eastAsia="zh-CN"/>
        </w:rPr>
        <w:t>佩戴</w:t>
      </w:r>
      <w:r>
        <w:rPr>
          <w:rFonts w:hint="default" w:ascii="仿宋_GB2312" w:hAnsi="仿宋_GB2312" w:eastAsia="仿宋_GB2312" w:cs="仿宋_GB2312"/>
          <w:color w:val="auto"/>
          <w:spacing w:val="0"/>
          <w:kern w:val="0"/>
          <w:sz w:val="32"/>
          <w:szCs w:val="32"/>
        </w:rPr>
        <w:t>好防护用具后，方可进入事件现场，以确保自身安全。</w:t>
      </w:r>
    </w:p>
    <w:p w14:paraId="066E5F01">
      <w:pPr>
        <w:pStyle w:val="36"/>
        <w:pageBreakBefore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Cs/>
          <w:color w:val="auto"/>
          <w:spacing w:val="0"/>
          <w:kern w:val="0"/>
          <w:sz w:val="32"/>
          <w:szCs w:val="32"/>
        </w:rPr>
      </w:pPr>
      <w:r>
        <w:rPr>
          <w:rFonts w:hint="default" w:ascii="楷体_GB2312" w:hAnsi="楷体_GB2312" w:eastAsia="楷体_GB2312" w:cs="楷体_GB2312"/>
          <w:bCs/>
          <w:color w:val="auto"/>
          <w:spacing w:val="0"/>
          <w:kern w:val="0"/>
          <w:sz w:val="32"/>
          <w:szCs w:val="32"/>
        </w:rPr>
        <w:t>受影响群众的安全防护</w:t>
      </w:r>
    </w:p>
    <w:p w14:paraId="1341E661">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现场应急指挥部负责组织群众的安全防护工作，主要工作内容如下：</w:t>
      </w:r>
    </w:p>
    <w:p w14:paraId="78F805EE">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（1）根据突发环境事件的性质、特点，告知群众应采取的安全防护措施；</w:t>
      </w:r>
    </w:p>
    <w:p w14:paraId="71AB37A9">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（2）根据事发时当地的气象、地理环境、人员密集度等，确定群众疏散的方式，指定有关部门组织群众安全疏散撤离；</w:t>
      </w:r>
    </w:p>
    <w:p w14:paraId="11A09CC8">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（3）在事发地安全边界以外，设立紧急避难场所。</w:t>
      </w:r>
    </w:p>
    <w:p w14:paraId="3DF8366D">
      <w:pPr>
        <w:pStyle w:val="34"/>
        <w:pageBreakBefore w:val="0"/>
        <w:widowControl/>
        <w:kinsoku/>
        <w:wordWrap/>
        <w:overflowPunct/>
        <w:topLinePunct w:val="0"/>
        <w:autoSpaceDE/>
        <w:autoSpaceDN/>
        <w:bidi w:val="0"/>
        <w:adjustRightInd/>
        <w:snapToGrid/>
        <w:spacing w:before="0" w:line="560" w:lineRule="exact"/>
        <w:ind w:left="-562" w:leftChars="0" w:firstLine="562" w:firstLineChars="0"/>
        <w:jc w:val="both"/>
        <w:textAlignment w:val="auto"/>
        <w:rPr>
          <w:rFonts w:hint="default" w:ascii="黑体" w:hAnsi="黑体" w:eastAsia="黑体" w:cs="黑体"/>
          <w:b w:val="0"/>
          <w:bCs w:val="0"/>
          <w:color w:val="auto"/>
          <w:spacing w:val="0"/>
          <w:kern w:val="0"/>
          <w:sz w:val="32"/>
          <w:szCs w:val="32"/>
        </w:rPr>
      </w:pPr>
      <w:bookmarkStart w:id="116" w:name="_Toc6287"/>
      <w:bookmarkStart w:id="117" w:name="_Toc13550"/>
      <w:bookmarkStart w:id="118" w:name="_Toc6884"/>
      <w:bookmarkStart w:id="119" w:name="_Toc13376"/>
      <w:r>
        <w:rPr>
          <w:rFonts w:hint="default" w:ascii="黑体" w:hAnsi="黑体" w:eastAsia="黑体" w:cs="黑体"/>
          <w:b w:val="0"/>
          <w:bCs w:val="0"/>
          <w:color w:val="auto"/>
          <w:spacing w:val="0"/>
          <w:kern w:val="0"/>
          <w:sz w:val="32"/>
          <w:szCs w:val="32"/>
        </w:rPr>
        <w:t>信息发布</w:t>
      </w:r>
      <w:bookmarkEnd w:id="116"/>
      <w:bookmarkEnd w:id="117"/>
      <w:bookmarkEnd w:id="118"/>
      <w:bookmarkEnd w:id="119"/>
    </w:p>
    <w:p w14:paraId="2325786B">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突发环境事件的信息发布应当及时、准确、客观、全面，正确引导社会舆论。事件发生的第一时间要向社会发布简要信息，随后发布初步核实情况、政府应对措施和公众防范措施等，并根据事件处置情况做好后续发布工作。</w:t>
      </w:r>
    </w:p>
    <w:p w14:paraId="42A4464C">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由</w:t>
      </w:r>
      <w:r>
        <w:rPr>
          <w:rFonts w:hint="eastAsia" w:ascii="仿宋_GB2312" w:hAnsi="仿宋_GB2312" w:eastAsia="仿宋_GB2312" w:cs="仿宋_GB2312"/>
          <w:color w:val="auto"/>
          <w:spacing w:val="0"/>
          <w:kern w:val="0"/>
          <w:sz w:val="32"/>
          <w:szCs w:val="32"/>
          <w:lang w:val="en-US" w:eastAsia="zh-CN"/>
        </w:rPr>
        <w:t>区</w:t>
      </w:r>
      <w:r>
        <w:rPr>
          <w:rFonts w:hint="default" w:ascii="仿宋_GB2312" w:hAnsi="仿宋_GB2312" w:eastAsia="仿宋_GB2312" w:cs="仿宋_GB2312"/>
          <w:color w:val="auto"/>
          <w:spacing w:val="0"/>
          <w:kern w:val="0"/>
          <w:sz w:val="32"/>
          <w:szCs w:val="32"/>
        </w:rPr>
        <w:t>环境应急指挥部负责处置突发环境事件的信息发布，由</w:t>
      </w:r>
      <w:r>
        <w:rPr>
          <w:rFonts w:hint="eastAsia" w:ascii="仿宋_GB2312" w:hAnsi="仿宋_GB2312" w:eastAsia="仿宋_GB2312" w:cs="仿宋_GB2312"/>
          <w:color w:val="auto"/>
          <w:spacing w:val="0"/>
          <w:kern w:val="0"/>
          <w:sz w:val="32"/>
          <w:szCs w:val="32"/>
          <w:lang w:val="en-US" w:eastAsia="zh-CN"/>
        </w:rPr>
        <w:t>景德镇市昌江</w:t>
      </w:r>
      <w:r>
        <w:rPr>
          <w:rFonts w:hint="default" w:ascii="仿宋_GB2312" w:hAnsi="仿宋_GB2312" w:eastAsia="仿宋_GB2312" w:cs="仿宋_GB2312"/>
          <w:color w:val="auto"/>
          <w:spacing w:val="0"/>
          <w:kern w:val="0"/>
          <w:sz w:val="32"/>
          <w:szCs w:val="32"/>
        </w:rPr>
        <w:t>生态环境局会同新闻宣传主管部门、政府相关部门负责实施。</w:t>
      </w:r>
    </w:p>
    <w:p w14:paraId="7CC16F8B">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Times New Roman" w:hAnsi="Times New Roman" w:cs="Times New Roman"/>
          <w:color w:val="auto"/>
          <w:spacing w:val="0"/>
          <w:kern w:val="0"/>
        </w:rPr>
      </w:pPr>
      <w:r>
        <w:rPr>
          <w:rFonts w:hint="default" w:ascii="仿宋_GB2312" w:hAnsi="仿宋_GB2312" w:eastAsia="仿宋_GB2312" w:cs="仿宋_GB2312"/>
          <w:color w:val="auto"/>
          <w:spacing w:val="0"/>
          <w:kern w:val="0"/>
          <w:sz w:val="32"/>
          <w:szCs w:val="32"/>
        </w:rPr>
        <w:t>信息发布形式主要包括授权发布、散发新闻稿、组织报道、接受记者采访、举行新闻发布会等，通过</w:t>
      </w:r>
      <w:r>
        <w:rPr>
          <w:rFonts w:hint="eastAsia" w:ascii="仿宋_GB2312" w:hAnsi="仿宋_GB2312" w:eastAsia="仿宋_GB2312" w:cs="仿宋_GB2312"/>
          <w:color w:val="auto"/>
          <w:spacing w:val="0"/>
          <w:kern w:val="0"/>
          <w:sz w:val="32"/>
          <w:szCs w:val="32"/>
          <w:lang w:val="en-US" w:eastAsia="zh-CN"/>
        </w:rPr>
        <w:t>景德镇</w:t>
      </w:r>
      <w:r>
        <w:rPr>
          <w:rFonts w:hint="default" w:ascii="仿宋_GB2312" w:hAnsi="仿宋_GB2312" w:eastAsia="仿宋_GB2312" w:cs="仿宋_GB2312"/>
          <w:color w:val="auto"/>
          <w:spacing w:val="0"/>
          <w:kern w:val="0"/>
          <w:sz w:val="32"/>
          <w:szCs w:val="32"/>
        </w:rPr>
        <w:t>地区主要新闻媒体和有关政府网站发布信息。</w:t>
      </w:r>
    </w:p>
    <w:p w14:paraId="36962D3D">
      <w:pPr>
        <w:pStyle w:val="34"/>
        <w:pageBreakBefore w:val="0"/>
        <w:widowControl/>
        <w:kinsoku/>
        <w:wordWrap/>
        <w:overflowPunct/>
        <w:topLinePunct w:val="0"/>
        <w:autoSpaceDE/>
        <w:autoSpaceDN/>
        <w:bidi w:val="0"/>
        <w:adjustRightInd/>
        <w:snapToGrid/>
        <w:spacing w:before="0" w:line="560" w:lineRule="exact"/>
        <w:ind w:left="-562" w:leftChars="0" w:firstLine="562" w:firstLineChars="0"/>
        <w:jc w:val="both"/>
        <w:textAlignment w:val="auto"/>
        <w:rPr>
          <w:rFonts w:hint="default" w:ascii="黑体" w:hAnsi="黑体" w:eastAsia="黑体" w:cs="黑体"/>
          <w:b w:val="0"/>
          <w:bCs w:val="0"/>
          <w:color w:val="auto"/>
          <w:spacing w:val="0"/>
          <w:kern w:val="0"/>
          <w:sz w:val="32"/>
          <w:szCs w:val="32"/>
        </w:rPr>
      </w:pPr>
      <w:bookmarkStart w:id="120" w:name="_Toc29165"/>
      <w:bookmarkStart w:id="121" w:name="_Toc14388"/>
      <w:bookmarkStart w:id="122" w:name="_Toc3420"/>
      <w:bookmarkStart w:id="123" w:name="_Toc27307"/>
      <w:r>
        <w:rPr>
          <w:rFonts w:hint="default" w:ascii="黑体" w:hAnsi="黑体" w:eastAsia="黑体" w:cs="黑体"/>
          <w:b w:val="0"/>
          <w:bCs w:val="0"/>
          <w:color w:val="auto"/>
          <w:spacing w:val="0"/>
          <w:kern w:val="0"/>
          <w:sz w:val="32"/>
          <w:szCs w:val="32"/>
        </w:rPr>
        <w:t>应急响应终止</w:t>
      </w:r>
      <w:bookmarkEnd w:id="120"/>
      <w:bookmarkEnd w:id="121"/>
      <w:bookmarkEnd w:id="122"/>
      <w:bookmarkEnd w:id="123"/>
    </w:p>
    <w:p w14:paraId="6024E392">
      <w:pPr>
        <w:pStyle w:val="36"/>
        <w:pageBreakBefore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Cs/>
          <w:color w:val="auto"/>
          <w:spacing w:val="0"/>
          <w:kern w:val="0"/>
          <w:sz w:val="32"/>
          <w:szCs w:val="32"/>
        </w:rPr>
      </w:pPr>
      <w:r>
        <w:rPr>
          <w:rFonts w:hint="default" w:ascii="楷体_GB2312" w:hAnsi="楷体_GB2312" w:eastAsia="楷体_GB2312" w:cs="楷体_GB2312"/>
          <w:bCs/>
          <w:color w:val="auto"/>
          <w:spacing w:val="0"/>
          <w:kern w:val="0"/>
          <w:sz w:val="32"/>
          <w:szCs w:val="32"/>
        </w:rPr>
        <w:t>应急响应终止的条件</w:t>
      </w:r>
    </w:p>
    <w:p w14:paraId="20349AC2">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符合下列条件之一的，即满足应急响应终止条件：</w:t>
      </w:r>
    </w:p>
    <w:p w14:paraId="4C280A18">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（1）事件现场得到控制，事件条件已经消除；</w:t>
      </w:r>
    </w:p>
    <w:p w14:paraId="58954075">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（2）污染源的泄漏或释放已降至规定限值以内；</w:t>
      </w:r>
    </w:p>
    <w:p w14:paraId="2CA3B683">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（3）事件所造成的危害已经被彻底消除，无继发可能；</w:t>
      </w:r>
    </w:p>
    <w:p w14:paraId="04223F91">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（4）事件现场的各种专业应急处置行动已无继续的必要；</w:t>
      </w:r>
    </w:p>
    <w:p w14:paraId="5C9ABEFA">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（5）采取了必要的防护措施以保护公众免受再次危害，并使事件可能引起的中长期负面影响趋于并保持在尽量低的水平。</w:t>
      </w:r>
    </w:p>
    <w:p w14:paraId="3ABD650E">
      <w:pPr>
        <w:pStyle w:val="36"/>
        <w:pageBreakBefore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Cs/>
          <w:color w:val="auto"/>
          <w:spacing w:val="0"/>
          <w:kern w:val="0"/>
          <w:sz w:val="32"/>
          <w:szCs w:val="32"/>
        </w:rPr>
      </w:pPr>
      <w:r>
        <w:rPr>
          <w:rFonts w:hint="default" w:ascii="楷体_GB2312" w:hAnsi="楷体_GB2312" w:eastAsia="楷体_GB2312" w:cs="楷体_GB2312"/>
          <w:bCs/>
          <w:color w:val="auto"/>
          <w:spacing w:val="0"/>
          <w:kern w:val="0"/>
          <w:sz w:val="32"/>
          <w:szCs w:val="32"/>
        </w:rPr>
        <w:t>应急响应终止的程序</w:t>
      </w:r>
    </w:p>
    <w:p w14:paraId="731ACF8C">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突发环境事件得到控制，紧急情况解除后，应急响应终止时机由现场应急指挥部确认，或由事件责任单位提出，经现场应急指挥部确认，报</w:t>
      </w:r>
      <w:r>
        <w:rPr>
          <w:rFonts w:hint="eastAsia" w:ascii="仿宋_GB2312" w:hAnsi="仿宋_GB2312" w:eastAsia="仿宋_GB2312" w:cs="仿宋_GB2312"/>
          <w:color w:val="auto"/>
          <w:spacing w:val="0"/>
          <w:kern w:val="0"/>
          <w:sz w:val="32"/>
          <w:szCs w:val="32"/>
          <w:lang w:val="en-US" w:eastAsia="zh-CN"/>
        </w:rPr>
        <w:t>区</w:t>
      </w:r>
      <w:r>
        <w:rPr>
          <w:rFonts w:hint="default" w:ascii="仿宋_GB2312" w:hAnsi="仿宋_GB2312" w:eastAsia="仿宋_GB2312" w:cs="仿宋_GB2312"/>
          <w:color w:val="auto"/>
          <w:spacing w:val="0"/>
          <w:kern w:val="0"/>
          <w:sz w:val="32"/>
          <w:szCs w:val="32"/>
        </w:rPr>
        <w:t>环境应急指挥部批准，由</w:t>
      </w:r>
      <w:r>
        <w:rPr>
          <w:rFonts w:hint="eastAsia" w:ascii="仿宋_GB2312" w:hAnsi="仿宋_GB2312" w:eastAsia="仿宋_GB2312" w:cs="仿宋_GB2312"/>
          <w:color w:val="auto"/>
          <w:spacing w:val="0"/>
          <w:kern w:val="0"/>
          <w:sz w:val="32"/>
          <w:szCs w:val="32"/>
          <w:lang w:val="en-US" w:eastAsia="zh-CN"/>
        </w:rPr>
        <w:t>区</w:t>
      </w:r>
      <w:r>
        <w:rPr>
          <w:rFonts w:hint="default" w:ascii="仿宋_GB2312" w:hAnsi="仿宋_GB2312" w:eastAsia="仿宋_GB2312" w:cs="仿宋_GB2312"/>
          <w:color w:val="auto"/>
          <w:spacing w:val="0"/>
          <w:kern w:val="0"/>
          <w:sz w:val="32"/>
          <w:szCs w:val="32"/>
        </w:rPr>
        <w:t>应急委员会宣布应急响应终止；</w:t>
      </w:r>
    </w:p>
    <w:p w14:paraId="76087930">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（1）现场应急指挥部向各所属专业应急救援队伍下达应急响应终止命令；</w:t>
      </w:r>
    </w:p>
    <w:p w14:paraId="4BFE1149">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（2）应急状态终止后，应急环境监测组继续进行跟踪监测和评价工作，直至污染影响彻底消除为止。</w:t>
      </w:r>
    </w:p>
    <w:p w14:paraId="43AE765E">
      <w:pPr>
        <w:pStyle w:val="36"/>
        <w:pageBreakBefore w:val="0"/>
        <w:kinsoku/>
        <w:wordWrap/>
        <w:overflowPunct/>
        <w:topLinePunct w:val="0"/>
        <w:autoSpaceDE/>
        <w:autoSpaceDN/>
        <w:bidi w:val="0"/>
        <w:adjustRightInd/>
        <w:snapToGrid/>
        <w:spacing w:line="560" w:lineRule="exact"/>
        <w:textAlignment w:val="auto"/>
        <w:rPr>
          <w:rFonts w:hint="default" w:ascii="楷体_GB2312" w:hAnsi="楷体_GB2312" w:eastAsia="楷体_GB2312" w:cs="楷体_GB2312"/>
          <w:bCs/>
          <w:color w:val="auto"/>
          <w:spacing w:val="0"/>
          <w:kern w:val="0"/>
          <w:sz w:val="32"/>
          <w:szCs w:val="32"/>
        </w:rPr>
      </w:pPr>
      <w:r>
        <w:rPr>
          <w:rFonts w:hint="default" w:ascii="楷体_GB2312" w:hAnsi="楷体_GB2312" w:eastAsia="楷体_GB2312" w:cs="楷体_GB2312"/>
          <w:bCs/>
          <w:color w:val="auto"/>
          <w:spacing w:val="0"/>
          <w:kern w:val="0"/>
          <w:sz w:val="32"/>
          <w:szCs w:val="32"/>
        </w:rPr>
        <w:t>应急响应终止后的行动</w:t>
      </w:r>
    </w:p>
    <w:p w14:paraId="0DA8C893">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（1）</w:t>
      </w:r>
      <w:r>
        <w:rPr>
          <w:rFonts w:hint="eastAsia" w:ascii="仿宋_GB2312" w:hAnsi="仿宋_GB2312" w:eastAsia="仿宋_GB2312" w:cs="仿宋_GB2312"/>
          <w:color w:val="auto"/>
          <w:spacing w:val="0"/>
          <w:kern w:val="0"/>
          <w:sz w:val="32"/>
          <w:szCs w:val="32"/>
          <w:lang w:val="en-US" w:eastAsia="zh-CN"/>
        </w:rPr>
        <w:t>区</w:t>
      </w:r>
      <w:r>
        <w:rPr>
          <w:rFonts w:hint="default" w:ascii="仿宋_GB2312" w:hAnsi="仿宋_GB2312" w:eastAsia="仿宋_GB2312" w:cs="仿宋_GB2312"/>
          <w:color w:val="auto"/>
          <w:spacing w:val="0"/>
          <w:kern w:val="0"/>
          <w:sz w:val="32"/>
          <w:szCs w:val="32"/>
        </w:rPr>
        <w:t>环境应急指挥部指导有关部门及发生环境事件单位查找事件原因，防止类似问题的重复出现。</w:t>
      </w:r>
    </w:p>
    <w:p w14:paraId="48A68CF0">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（2）发生环境事件单位的上级主管部门负责编制突发环境事件总结报告，于应急响应终止后上报。</w:t>
      </w:r>
    </w:p>
    <w:p w14:paraId="37696852">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（3）应急过程评价由</w:t>
      </w:r>
      <w:r>
        <w:rPr>
          <w:rFonts w:hint="eastAsia" w:ascii="仿宋_GB2312" w:hAnsi="仿宋_GB2312" w:eastAsia="仿宋_GB2312" w:cs="仿宋_GB2312"/>
          <w:color w:val="auto"/>
          <w:spacing w:val="0"/>
          <w:kern w:val="0"/>
          <w:sz w:val="32"/>
          <w:szCs w:val="32"/>
          <w:lang w:val="en-US" w:eastAsia="zh-CN"/>
        </w:rPr>
        <w:t>景德镇市昌江</w:t>
      </w:r>
      <w:r>
        <w:rPr>
          <w:rFonts w:hint="default" w:ascii="仿宋_GB2312" w:hAnsi="仿宋_GB2312" w:eastAsia="仿宋_GB2312" w:cs="仿宋_GB2312"/>
          <w:color w:val="auto"/>
          <w:spacing w:val="0"/>
          <w:kern w:val="0"/>
          <w:sz w:val="32"/>
          <w:szCs w:val="32"/>
        </w:rPr>
        <w:t>生态环境局组织专家组，会同相关专业主管部门及事发地政府组织实施。</w:t>
      </w:r>
    </w:p>
    <w:p w14:paraId="786184D8">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pPr>
      <w:r>
        <w:rPr>
          <w:rFonts w:hint="default" w:ascii="仿宋_GB2312" w:hAnsi="仿宋_GB2312" w:eastAsia="仿宋_GB2312" w:cs="仿宋_GB2312"/>
          <w:color w:val="auto"/>
          <w:spacing w:val="0"/>
          <w:kern w:val="0"/>
          <w:sz w:val="32"/>
          <w:szCs w:val="32"/>
        </w:rPr>
        <w:t>（4）根据环境事件的类别，由相关专业主管部门组织对环境应急预案进行评估，并及时修订。</w:t>
      </w:r>
    </w:p>
    <w:p w14:paraId="13D8E227">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spacing w:val="0"/>
          <w:kern w:val="0"/>
          <w:sz w:val="32"/>
          <w:szCs w:val="32"/>
        </w:rPr>
        <w:sectPr>
          <w:pgSz w:w="11906" w:h="16838"/>
          <w:pgMar w:top="2098" w:right="1474" w:bottom="1984" w:left="1587" w:header="851" w:footer="992" w:gutter="0"/>
          <w:pgNumType w:fmt="decimal"/>
          <w:cols w:space="425" w:num="1"/>
          <w:docGrid w:type="lines" w:linePitch="312" w:charSpace="0"/>
        </w:sectPr>
      </w:pPr>
      <w:r>
        <w:rPr>
          <w:rFonts w:hint="default" w:ascii="仿宋_GB2312" w:hAnsi="仿宋_GB2312" w:eastAsia="仿宋_GB2312" w:cs="仿宋_GB2312"/>
          <w:color w:val="auto"/>
          <w:spacing w:val="0"/>
          <w:kern w:val="0"/>
          <w:sz w:val="32"/>
          <w:szCs w:val="32"/>
        </w:rPr>
        <w:t>（5）参加应急行动的部门分别组织、指导环境应急救援队伍维护、保养应急仪器设备，使之始终保持良好的技术状态。</w:t>
      </w:r>
    </w:p>
    <w:p w14:paraId="3B027E9D">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ascii="方正小标宋简体" w:hAnsi="方正小标宋简体" w:eastAsia="方正小标宋简体" w:cs="方正小标宋简体"/>
          <w:b w:val="0"/>
          <w:bCs/>
          <w:color w:val="auto"/>
        </w:rPr>
      </w:pPr>
      <w:bookmarkStart w:id="124" w:name="_Toc28016"/>
      <w:bookmarkStart w:id="125" w:name="_Toc32672"/>
      <w:bookmarkStart w:id="126" w:name="_Toc25047"/>
      <w:bookmarkStart w:id="127" w:name="_Toc21401"/>
      <w:r>
        <w:rPr>
          <w:rFonts w:hint="eastAsia" w:ascii="方正小标宋简体" w:hAnsi="方正小标宋简体" w:eastAsia="方正小标宋简体" w:cs="方正小标宋简体"/>
          <w:b w:val="0"/>
          <w:bCs/>
          <w:color w:val="auto"/>
        </w:rPr>
        <w:t>后期</w:t>
      </w:r>
      <w:bookmarkEnd w:id="124"/>
      <w:r>
        <w:rPr>
          <w:rFonts w:hint="eastAsia" w:ascii="方正小标宋简体" w:hAnsi="方正小标宋简体" w:eastAsia="方正小标宋简体" w:cs="方正小标宋简体"/>
          <w:b w:val="0"/>
          <w:bCs/>
          <w:color w:val="auto"/>
        </w:rPr>
        <w:t>工作</w:t>
      </w:r>
      <w:bookmarkEnd w:id="125"/>
      <w:bookmarkEnd w:id="126"/>
      <w:bookmarkEnd w:id="127"/>
    </w:p>
    <w:p w14:paraId="1AE8C731">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128" w:name="_Toc4757"/>
      <w:bookmarkStart w:id="129" w:name="_Toc29274"/>
      <w:bookmarkStart w:id="130" w:name="_Toc86995298"/>
      <w:bookmarkStart w:id="131" w:name="_Toc28403"/>
      <w:bookmarkStart w:id="132" w:name="_Toc20365"/>
      <w:r>
        <w:rPr>
          <w:rFonts w:hint="eastAsia" w:ascii="黑体" w:hAnsi="黑体" w:eastAsia="黑体" w:cs="黑体"/>
          <w:b w:val="0"/>
          <w:bCs w:val="0"/>
          <w:snapToGrid w:val="0"/>
          <w:color w:val="auto"/>
          <w:spacing w:val="0"/>
          <w:kern w:val="0"/>
          <w:sz w:val="32"/>
          <w:szCs w:val="32"/>
        </w:rPr>
        <w:t>总结评估</w:t>
      </w:r>
      <w:bookmarkEnd w:id="128"/>
      <w:bookmarkEnd w:id="129"/>
      <w:bookmarkEnd w:id="130"/>
      <w:bookmarkEnd w:id="131"/>
    </w:p>
    <w:p w14:paraId="47B0E7C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（1）对于初步认定为特别重大和重大、较大、一般突发环境事件的，分别由省生态环境厅、</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市生态环境局和</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负责按照同级政府应对突发环境事件的安排部署，组织开展污染损害评估工作。对于初步认定为一般突发环境事件的，可以不开展污染损害评估工作。评估结论作为事件调查处理、损害赔偿、环境修复和生态恢复重建的依据。跨行政区域突发环境事件的污染损害评估，由相关地方环境保护主管部门协调解决。</w:t>
      </w:r>
    </w:p>
    <w:p w14:paraId="6D03B02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污染损害评估工作于处置工作结束后30个工作日内完成，情况特别复杂的，经省生态环境厅批准，可以延长30个工作日。</w:t>
      </w:r>
    </w:p>
    <w:p w14:paraId="786B603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应急过程评价。突发环境事件处置完毕后，由生态环境局就环境应急过程、现场各专业应急救援队伍的行动、应急救援行动的实际效果及产生的社会影响、公众反映等情况开展评估，形成总结报告或案例分析材料。报告主要包括以下内容：</w:t>
      </w:r>
    </w:p>
    <w:p w14:paraId="37701CD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①突发环境事件等级；</w:t>
      </w:r>
    </w:p>
    <w:p w14:paraId="6BDF18A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②环境应急任务完成情况；</w:t>
      </w:r>
    </w:p>
    <w:p w14:paraId="196743C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③环境应急是否符合保护公众、环境保护的总要求；</w:t>
      </w:r>
    </w:p>
    <w:p w14:paraId="0362A21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④采取的重要防护措施和方法是否得当；</w:t>
      </w:r>
    </w:p>
    <w:p w14:paraId="41636B2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⑤出动环境应急队伍的规模、仪器装备的使用、环境应急程度与速度是否与任务相适应；</w:t>
      </w:r>
    </w:p>
    <w:p w14:paraId="52E6D8A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⑥应急处置中对利益与代价、风险、困难关系的处理是否科学合理；</w:t>
      </w:r>
    </w:p>
    <w:p w14:paraId="181AC8D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⑦发布的通告及公众信息的内容是否真实，时机是否得当等。</w:t>
      </w:r>
    </w:p>
    <w:p w14:paraId="58DEB725">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133" w:name="_Toc86995299"/>
      <w:bookmarkStart w:id="134" w:name="_Toc3921"/>
      <w:bookmarkStart w:id="135" w:name="_Toc27140"/>
      <w:bookmarkStart w:id="136" w:name="_Toc18728"/>
      <w:bookmarkStart w:id="137" w:name="_Toc6569"/>
      <w:r>
        <w:rPr>
          <w:rFonts w:hint="default" w:ascii="黑体" w:hAnsi="黑体" w:eastAsia="黑体" w:cs="黑体"/>
          <w:b w:val="0"/>
          <w:bCs w:val="0"/>
          <w:snapToGrid w:val="0"/>
          <w:color w:val="auto"/>
          <w:spacing w:val="0"/>
          <w:kern w:val="0"/>
          <w:sz w:val="32"/>
          <w:szCs w:val="32"/>
        </w:rPr>
        <w:t>环境损害鉴定与评估</w:t>
      </w:r>
      <w:bookmarkEnd w:id="133"/>
      <w:bookmarkEnd w:id="134"/>
      <w:bookmarkEnd w:id="135"/>
      <w:bookmarkEnd w:id="136"/>
      <w:bookmarkEnd w:id="137"/>
    </w:p>
    <w:p w14:paraId="5EDB5D7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环境损害鉴定评估是综合运用经济、法律、技术等手段，对环境污染导致的损害范围、程度等进行合理鉴定、测算，出具鉴定意见和评估报告。</w:t>
      </w:r>
    </w:p>
    <w:p w14:paraId="51A28F0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根据《突发环境事件应急处置阶段污染损害评估工作程序规定》，生态环境局应当在突发环境事件发生后及时开展污染损害评估前期工作，并在应急处置工作结束后及时制定评估工作方案，组织开展污染损害评估工作。生态环境局可以委托有关司法鉴定机构或者环境污染损害鉴定评估机构开展污染损害评估工作，编制评估报告，并组织专家对评估报告进行技术审核。</w:t>
      </w:r>
    </w:p>
    <w:p w14:paraId="3487A6A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污染损害评估应当于应急处置工作结束后30个工作日内完成。情况特别复杂的，经省生态环境厅批准，可以延长30个工作日。生态环境局应当于评估报告技术审核通过后20个工作日内，将评估报告报送</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人民政府和</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市生态环境局，并将评估结论向社会公开。</w:t>
      </w:r>
    </w:p>
    <w:p w14:paraId="1E1064A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有关司法鉴定机构或者环境污染损害鉴定评估机构的职责：根据《环境损害鉴定评估推荐方法（第II版）》的有关规则，从事事故调查和信息收集、损失范围和种类的确定、评估方法的筛选、因果关系鉴定、损害范围和程度的评定、评估结果的分析和确认，最终出具鉴定评估报告书。</w:t>
      </w:r>
    </w:p>
    <w:p w14:paraId="49058A18">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138" w:name="_Toc22752"/>
      <w:bookmarkStart w:id="139" w:name="_Toc10698"/>
      <w:bookmarkStart w:id="140" w:name="_Toc86995300"/>
      <w:bookmarkStart w:id="141" w:name="_Toc9941"/>
      <w:bookmarkStart w:id="142" w:name="_Toc26696"/>
      <w:r>
        <w:rPr>
          <w:rFonts w:hint="default" w:ascii="黑体" w:hAnsi="黑体" w:eastAsia="黑体" w:cs="黑体"/>
          <w:b w:val="0"/>
          <w:bCs w:val="0"/>
          <w:snapToGrid w:val="0"/>
          <w:color w:val="auto"/>
          <w:spacing w:val="0"/>
          <w:kern w:val="0"/>
          <w:sz w:val="32"/>
          <w:szCs w:val="32"/>
        </w:rPr>
        <w:t>善后处置</w:t>
      </w:r>
      <w:bookmarkEnd w:id="138"/>
      <w:bookmarkEnd w:id="139"/>
      <w:bookmarkEnd w:id="140"/>
      <w:bookmarkEnd w:id="141"/>
      <w:bookmarkEnd w:id="142"/>
    </w:p>
    <w:p w14:paraId="467F334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善后处理工作由</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政府负责，在</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委、</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政府统一指挥下，各有关部门在各自的职责范围内组织实施善后处置工作，组织有关专家对受灾范围进行科学评估，提出补偿和对遭受污染的生态环境进行恢复和监管的建议。</w:t>
      </w:r>
    </w:p>
    <w:p w14:paraId="5CFF228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（1）对突发环境事件造成伤亡的人员及时进行医疗救助或按规定给予抚恤，对造成生产生活困难的群众进行妥善安置，对紧急调集、征用的人力物力按照规定给予补偿。</w:t>
      </w:r>
    </w:p>
    <w:p w14:paraId="2666DE6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（2）及时下达救助资金和物资，民政部门要严格管理社会救助资金和物资，监察、审计等部门要</w:t>
      </w:r>
      <w:r>
        <w:rPr>
          <w:rFonts w:hint="eastAsia" w:ascii="仿宋_GB2312" w:hAnsi="仿宋_GB2312" w:eastAsia="仿宋_GB2312" w:cs="仿宋_GB2312"/>
          <w:snapToGrid w:val="0"/>
          <w:color w:val="auto"/>
          <w:spacing w:val="0"/>
          <w:kern w:val="0"/>
          <w:sz w:val="32"/>
          <w:szCs w:val="32"/>
          <w:lang w:eastAsia="zh-CN"/>
        </w:rPr>
        <w:t>加大</w:t>
      </w:r>
      <w:r>
        <w:rPr>
          <w:rFonts w:hint="default" w:ascii="仿宋_GB2312" w:hAnsi="仿宋_GB2312" w:eastAsia="仿宋_GB2312" w:cs="仿宋_GB2312"/>
          <w:snapToGrid w:val="0"/>
          <w:color w:val="auto"/>
          <w:spacing w:val="0"/>
          <w:kern w:val="0"/>
          <w:sz w:val="32"/>
          <w:szCs w:val="32"/>
        </w:rPr>
        <w:t>监督力度。</w:t>
      </w:r>
    </w:p>
    <w:p w14:paraId="3DADD56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（3）组织有关专家对受灾情况、受灾范围进行科学评估，提出补偿和对遭受污染的生态环境进行恢复的建议。</w:t>
      </w:r>
    </w:p>
    <w:p w14:paraId="4D071808">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143" w:name="_Toc86995301"/>
      <w:bookmarkStart w:id="144" w:name="_Toc6711"/>
      <w:bookmarkStart w:id="145" w:name="_Toc26308"/>
      <w:bookmarkStart w:id="146" w:name="_Toc28017"/>
      <w:bookmarkStart w:id="147" w:name="_Toc20175"/>
      <w:r>
        <w:rPr>
          <w:rFonts w:hint="default" w:ascii="黑体" w:hAnsi="黑体" w:eastAsia="黑体" w:cs="黑体"/>
          <w:b w:val="0"/>
          <w:bCs w:val="0"/>
          <w:snapToGrid w:val="0"/>
          <w:color w:val="auto"/>
          <w:spacing w:val="0"/>
          <w:kern w:val="0"/>
          <w:sz w:val="32"/>
          <w:szCs w:val="32"/>
        </w:rPr>
        <w:t>事件调查处理</w:t>
      </w:r>
      <w:bookmarkEnd w:id="143"/>
      <w:bookmarkEnd w:id="144"/>
      <w:bookmarkEnd w:id="145"/>
      <w:bookmarkEnd w:id="146"/>
      <w:bookmarkEnd w:id="147"/>
    </w:p>
    <w:p w14:paraId="0DC6F332">
      <w:pPr>
        <w:pStyle w:val="36"/>
        <w:pageBreakBefore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bCs/>
          <w:snapToGrid w:val="0"/>
          <w:color w:val="auto"/>
          <w:spacing w:val="0"/>
          <w:kern w:val="0"/>
          <w:sz w:val="32"/>
          <w:szCs w:val="32"/>
        </w:rPr>
      </w:pPr>
      <w:bookmarkStart w:id="148" w:name="_Toc26096"/>
      <w:r>
        <w:rPr>
          <w:rFonts w:hint="eastAsia" w:ascii="楷体_GB2312" w:hAnsi="楷体_GB2312" w:eastAsia="楷体_GB2312" w:cs="楷体_GB2312"/>
          <w:bCs/>
          <w:snapToGrid w:val="0"/>
          <w:color w:val="auto"/>
          <w:spacing w:val="0"/>
          <w:kern w:val="0"/>
          <w:sz w:val="32"/>
          <w:szCs w:val="32"/>
        </w:rPr>
        <w:t>事故调查评估的一般规定</w:t>
      </w:r>
      <w:bookmarkEnd w:id="148"/>
    </w:p>
    <w:p w14:paraId="1BD6D03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根据《江西省突发环境事件调查处理办法（试行）》的有关规定，一般突发环境事件由</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指挥部视情况责成调查评估组、应急专家组实施对发生的突发环境事件进行调查评估，并邀请上级有关部门参与（有必要时，可直接提请上级有关部门进行调查评估）。较大以上级别突发环境事件根据规定由相应的上级有关部门进行事件调查评估，</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级有关部门必须服从、协助、配合上级有关部门的调查评估工作。</w:t>
      </w:r>
    </w:p>
    <w:p w14:paraId="1D3444D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一般突发环境事件的调查期限为三十日（突发环境事件污染损害评估所需时间不计入调查期限）。调查评估组应当按照规定的期限完成调查工作，并向</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人民政府和</w:t>
      </w:r>
      <w:r>
        <w:rPr>
          <w:rFonts w:hint="eastAsia" w:ascii="仿宋_GB2312" w:hAnsi="仿宋_GB2312" w:eastAsia="仿宋_GB2312" w:cs="仿宋_GB2312"/>
          <w:snapToGrid w:val="0"/>
          <w:color w:val="auto"/>
          <w:spacing w:val="0"/>
          <w:kern w:val="0"/>
          <w:sz w:val="32"/>
          <w:szCs w:val="32"/>
          <w:lang w:val="en-US" w:eastAsia="zh-CN"/>
        </w:rPr>
        <w:t>景德镇</w:t>
      </w:r>
      <w:r>
        <w:rPr>
          <w:rFonts w:hint="default" w:ascii="仿宋_GB2312" w:hAnsi="仿宋_GB2312" w:eastAsia="仿宋_GB2312" w:cs="仿宋_GB2312"/>
          <w:snapToGrid w:val="0"/>
          <w:color w:val="auto"/>
          <w:spacing w:val="0"/>
          <w:kern w:val="0"/>
          <w:sz w:val="32"/>
          <w:szCs w:val="32"/>
        </w:rPr>
        <w:t>市生态环境局提交调查报告。调查期限从突发环境事件应急状态终止之日起计算。</w:t>
      </w:r>
    </w:p>
    <w:p w14:paraId="26B0D6F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应急指挥部应当依法向社会公开突发环境事件的调查结论、环境影响和损失的评估结果等信息。</w:t>
      </w:r>
    </w:p>
    <w:p w14:paraId="46ABAF8E">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Cs/>
          <w:snapToGrid w:val="0"/>
          <w:color w:val="auto"/>
          <w:spacing w:val="0"/>
          <w:kern w:val="0"/>
          <w:sz w:val="32"/>
          <w:szCs w:val="32"/>
        </w:rPr>
      </w:pPr>
      <w:bookmarkStart w:id="149" w:name="_Toc28028"/>
      <w:bookmarkStart w:id="150" w:name="_Toc532541990"/>
      <w:r>
        <w:rPr>
          <w:rFonts w:hint="default" w:ascii="楷体_GB2312" w:hAnsi="楷体_GB2312" w:eastAsia="楷体_GB2312" w:cs="楷体_GB2312"/>
          <w:bCs/>
          <w:snapToGrid w:val="0"/>
          <w:color w:val="auto"/>
          <w:spacing w:val="0"/>
          <w:kern w:val="0"/>
          <w:sz w:val="32"/>
          <w:szCs w:val="32"/>
        </w:rPr>
        <w:t>事件调查内容</w:t>
      </w:r>
      <w:bookmarkEnd w:id="149"/>
      <w:bookmarkEnd w:id="150"/>
    </w:p>
    <w:p w14:paraId="368890D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（1）事故发生的时间、地点、天气、事故部门；</w:t>
      </w:r>
    </w:p>
    <w:p w14:paraId="5C60ADA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（2）事故发生点经过、初步原因、事故损失情况；</w:t>
      </w:r>
    </w:p>
    <w:p w14:paraId="23453B1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（3）事故现场人员情况、事故应急处置情况；</w:t>
      </w:r>
    </w:p>
    <w:p w14:paraId="7785A38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（4）受影响人群范围、数量，受影响时长；</w:t>
      </w:r>
    </w:p>
    <w:p w14:paraId="66C55A2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（5）事故影响范围，经济损失；</w:t>
      </w:r>
    </w:p>
    <w:p w14:paraId="43E06E1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（6）人证、物证、旁证，了解事故前的情况、事故中的变化和事故后的状况；</w:t>
      </w:r>
    </w:p>
    <w:p w14:paraId="7943411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（7）其他有关内容。</w:t>
      </w:r>
    </w:p>
    <w:p w14:paraId="39492FC7">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Cs/>
          <w:snapToGrid w:val="0"/>
          <w:color w:val="auto"/>
          <w:spacing w:val="0"/>
          <w:kern w:val="0"/>
          <w:sz w:val="32"/>
          <w:szCs w:val="32"/>
        </w:rPr>
      </w:pPr>
      <w:bookmarkStart w:id="151" w:name="_Toc2274"/>
      <w:bookmarkStart w:id="152" w:name="_Toc532541991"/>
      <w:r>
        <w:rPr>
          <w:rFonts w:hint="default" w:ascii="楷体_GB2312" w:hAnsi="楷体_GB2312" w:eastAsia="楷体_GB2312" w:cs="楷体_GB2312"/>
          <w:bCs/>
          <w:snapToGrid w:val="0"/>
          <w:color w:val="auto"/>
          <w:spacing w:val="0"/>
          <w:kern w:val="0"/>
          <w:sz w:val="32"/>
          <w:szCs w:val="32"/>
        </w:rPr>
        <w:t>事故分析</w:t>
      </w:r>
      <w:bookmarkEnd w:id="151"/>
      <w:bookmarkEnd w:id="152"/>
    </w:p>
    <w:p w14:paraId="67254DF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事故现场调查</w:t>
      </w:r>
      <w:r>
        <w:rPr>
          <w:rFonts w:hint="eastAsia" w:ascii="仿宋_GB2312" w:hAnsi="仿宋_GB2312" w:eastAsia="仿宋_GB2312" w:cs="仿宋_GB2312"/>
          <w:snapToGrid w:val="0"/>
          <w:color w:val="auto"/>
          <w:spacing w:val="0"/>
          <w:kern w:val="0"/>
          <w:sz w:val="32"/>
          <w:szCs w:val="32"/>
          <w:lang w:eastAsia="zh-CN"/>
        </w:rPr>
        <w:t>完成</w:t>
      </w:r>
      <w:r>
        <w:rPr>
          <w:rFonts w:hint="default" w:ascii="仿宋_GB2312" w:hAnsi="仿宋_GB2312" w:eastAsia="仿宋_GB2312" w:cs="仿宋_GB2312"/>
          <w:snapToGrid w:val="0"/>
          <w:color w:val="auto"/>
          <w:spacing w:val="0"/>
          <w:kern w:val="0"/>
          <w:sz w:val="32"/>
          <w:szCs w:val="32"/>
        </w:rPr>
        <w:t>后应依据事故调查内容对事故进行分析。通过事故分析，查明事故原因，分清事故责任。</w:t>
      </w:r>
    </w:p>
    <w:p w14:paraId="05EB3AD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事故分析的步骤和要求：</w:t>
      </w:r>
    </w:p>
    <w:p w14:paraId="61458ED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（1）整理和阅读有关调查材料。</w:t>
      </w:r>
    </w:p>
    <w:p w14:paraId="30DB8ED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（2）分析事故发生时间、地点、经过、性质、起因物、致害物、伤害方式、不安全行为、状态和环境影响等。</w:t>
      </w:r>
    </w:p>
    <w:p w14:paraId="04179FB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（3）采用适当的事故分析方法确定事故的直接和间接原因，进行责任分析。</w:t>
      </w:r>
    </w:p>
    <w:p w14:paraId="4D57532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（4）确定事故的责任者。根据事故调查所确认的事实，确定直接和间接责任者。</w:t>
      </w:r>
    </w:p>
    <w:p w14:paraId="3AAB2A6A">
      <w:pPr>
        <w:pStyle w:val="36"/>
        <w:pageBreakBefore w:val="0"/>
        <w:kinsoku/>
        <w:wordWrap/>
        <w:overflowPunct/>
        <w:topLinePunct w:val="0"/>
        <w:autoSpaceDE/>
        <w:autoSpaceDN/>
        <w:bidi w:val="0"/>
        <w:adjustRightInd/>
        <w:snapToGrid/>
        <w:spacing w:line="600" w:lineRule="exact"/>
        <w:jc w:val="both"/>
        <w:textAlignment w:val="auto"/>
        <w:rPr>
          <w:rFonts w:hint="default" w:ascii="楷体_GB2312" w:hAnsi="楷体_GB2312" w:eastAsia="楷体_GB2312" w:cs="楷体_GB2312"/>
          <w:bCs/>
          <w:snapToGrid w:val="0"/>
          <w:color w:val="auto"/>
          <w:spacing w:val="0"/>
          <w:kern w:val="0"/>
          <w:sz w:val="32"/>
          <w:szCs w:val="32"/>
        </w:rPr>
      </w:pPr>
      <w:bookmarkStart w:id="153" w:name="_Toc532541992"/>
      <w:bookmarkStart w:id="154" w:name="_Toc2557"/>
      <w:r>
        <w:rPr>
          <w:rFonts w:hint="default" w:ascii="楷体_GB2312" w:hAnsi="楷体_GB2312" w:eastAsia="楷体_GB2312" w:cs="楷体_GB2312"/>
          <w:bCs/>
          <w:snapToGrid w:val="0"/>
          <w:color w:val="auto"/>
          <w:spacing w:val="0"/>
          <w:kern w:val="0"/>
          <w:sz w:val="32"/>
          <w:szCs w:val="32"/>
        </w:rPr>
        <w:t>事故处理</w:t>
      </w:r>
      <w:bookmarkEnd w:id="153"/>
      <w:bookmarkEnd w:id="154"/>
    </w:p>
    <w:p w14:paraId="769FF0C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（1）事故调查分析后，应由事故调查部门编写事故报告（通报），进行事故处理。</w:t>
      </w:r>
    </w:p>
    <w:p w14:paraId="6049179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（2）事故报告（通报）内容应包括：</w:t>
      </w:r>
    </w:p>
    <w:p w14:paraId="59D91E8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①事故的基本情况，包括部门名称、发生事故的日期、类别、地点、人员伤亡情况、经济损失等；</w:t>
      </w:r>
    </w:p>
    <w:p w14:paraId="6228972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②事故经过；</w:t>
      </w:r>
    </w:p>
    <w:p w14:paraId="617C51C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③事故原因分析，包括直接原因和间接原因；</w:t>
      </w:r>
    </w:p>
    <w:p w14:paraId="2C21F77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④事故责任分析，包括直接责任者、领导责任者，并确定主要责任者；</w:t>
      </w:r>
    </w:p>
    <w:p w14:paraId="17A519F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⑤对事故责任者的处理意见和建议；</w:t>
      </w:r>
    </w:p>
    <w:p w14:paraId="621E437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⑥事故纠正与预防的措施、建议。对涉及相关方的事故，应分别提出处理意见和防范措施；</w:t>
      </w:r>
    </w:p>
    <w:p w14:paraId="4F1E1E3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⑦</w:t>
      </w:r>
      <w:r>
        <w:rPr>
          <w:rFonts w:hint="eastAsia" w:ascii="仿宋_GB2312" w:hAnsi="仿宋_GB2312" w:eastAsia="仿宋_GB2312" w:cs="仿宋_GB2312"/>
          <w:snapToGrid w:val="0"/>
          <w:color w:val="auto"/>
          <w:spacing w:val="0"/>
          <w:kern w:val="0"/>
          <w:sz w:val="32"/>
          <w:szCs w:val="32"/>
          <w:lang w:eastAsia="zh-CN"/>
        </w:rPr>
        <w:t>其他</w:t>
      </w:r>
      <w:r>
        <w:rPr>
          <w:rFonts w:hint="default" w:ascii="仿宋_GB2312" w:hAnsi="仿宋_GB2312" w:eastAsia="仿宋_GB2312" w:cs="仿宋_GB2312"/>
          <w:snapToGrid w:val="0"/>
          <w:color w:val="auto"/>
          <w:spacing w:val="0"/>
          <w:kern w:val="0"/>
          <w:sz w:val="32"/>
          <w:szCs w:val="32"/>
        </w:rPr>
        <w:t>材料（包括影像资料、技术鉴定报告和图表资料）。</w:t>
      </w:r>
    </w:p>
    <w:p w14:paraId="0F2D9C5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（3）事故发生部门应本着“四不放过”的原则，根据事故报告（通报）中的纠正与预防措施，结合部门情况编制工作计划，组织落实整改工作。事故调查部门负责检查、验证防范措施的落实情况，编制《</w:t>
      </w:r>
      <w:r>
        <w:rPr>
          <w:rFonts w:hint="eastAsia" w:ascii="仿宋_GB2312" w:hAnsi="仿宋_GB2312" w:eastAsia="仿宋_GB2312" w:cs="仿宋_GB2312"/>
          <w:snapToGrid w:val="0"/>
          <w:color w:val="auto"/>
          <w:spacing w:val="0"/>
          <w:kern w:val="0"/>
          <w:sz w:val="32"/>
          <w:szCs w:val="32"/>
          <w:lang w:val="en-US" w:eastAsia="zh-CN"/>
        </w:rPr>
        <w:t>昌江区</w:t>
      </w:r>
      <w:r>
        <w:rPr>
          <w:rFonts w:hint="default" w:ascii="仿宋_GB2312" w:hAnsi="仿宋_GB2312" w:eastAsia="仿宋_GB2312" w:cs="仿宋_GB2312"/>
          <w:snapToGrid w:val="0"/>
          <w:color w:val="auto"/>
          <w:spacing w:val="0"/>
          <w:kern w:val="0"/>
          <w:sz w:val="32"/>
          <w:szCs w:val="32"/>
        </w:rPr>
        <w:t>突发环境事件整改措施跟踪验证报告》。</w:t>
      </w:r>
    </w:p>
    <w:p w14:paraId="086C7B5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Times New Roman" w:hAnsi="Times New Roman" w:cs="Times New Roman"/>
          <w:snapToGrid w:val="0"/>
          <w:color w:val="auto"/>
          <w:spacing w:val="0"/>
          <w:kern w:val="0"/>
        </w:rPr>
      </w:pPr>
      <w:r>
        <w:rPr>
          <w:rFonts w:hint="default" w:ascii="仿宋_GB2312" w:hAnsi="仿宋_GB2312" w:eastAsia="仿宋_GB2312" w:cs="仿宋_GB2312"/>
          <w:snapToGrid w:val="0"/>
          <w:color w:val="auto"/>
          <w:spacing w:val="0"/>
          <w:kern w:val="0"/>
          <w:sz w:val="32"/>
          <w:szCs w:val="32"/>
        </w:rPr>
        <w:t>（4）当事故的应急处置中出现应急能力不足、应急措施不到位等影响应急效果的情况时，应急责任部门应及时修订、完善应急体系。完善本预案应急响应</w:t>
      </w:r>
      <w:r>
        <w:rPr>
          <w:rFonts w:hint="default" w:ascii="Times New Roman" w:hAnsi="Times New Roman" w:cs="Times New Roman"/>
          <w:snapToGrid w:val="0"/>
          <w:color w:val="auto"/>
          <w:spacing w:val="0"/>
          <w:kern w:val="0"/>
        </w:rPr>
        <w:t>流程。</w:t>
      </w:r>
    </w:p>
    <w:p w14:paraId="6B7CBED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（5）事故发生后，各环境事件专业主管部门负责对事故造成的经济损失进行核验，报突发环境事件应急指挥部协调办公室汇总。</w:t>
      </w:r>
    </w:p>
    <w:p w14:paraId="54BE4E21">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155" w:name="_Toc4214"/>
      <w:bookmarkStart w:id="156" w:name="_Toc86995302"/>
      <w:bookmarkStart w:id="157" w:name="_Toc647"/>
      <w:bookmarkStart w:id="158" w:name="_Toc1912"/>
      <w:bookmarkStart w:id="159" w:name="_Toc27190"/>
      <w:r>
        <w:rPr>
          <w:rFonts w:hint="default" w:ascii="黑体" w:hAnsi="黑体" w:eastAsia="黑体" w:cs="黑体"/>
          <w:b w:val="0"/>
          <w:bCs w:val="0"/>
          <w:snapToGrid w:val="0"/>
          <w:color w:val="auto"/>
          <w:spacing w:val="0"/>
          <w:kern w:val="0"/>
          <w:sz w:val="32"/>
          <w:szCs w:val="32"/>
        </w:rPr>
        <w:t>改进措施</w:t>
      </w:r>
      <w:bookmarkEnd w:id="155"/>
      <w:bookmarkEnd w:id="156"/>
      <w:bookmarkEnd w:id="157"/>
      <w:bookmarkEnd w:id="158"/>
      <w:bookmarkEnd w:id="159"/>
    </w:p>
    <w:p w14:paraId="2AD3603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sectPr>
          <w:pgSz w:w="11906" w:h="16838"/>
          <w:pgMar w:top="1440" w:right="1800" w:bottom="1440" w:left="1800" w:header="851" w:footer="992" w:gutter="0"/>
          <w:pgNumType w:fmt="decimal"/>
          <w:cols w:space="425" w:num="1"/>
          <w:docGrid w:type="lines" w:linePitch="312" w:charSpace="0"/>
        </w:sectPr>
      </w:pPr>
      <w:bookmarkStart w:id="160" w:name="_Hlk136216909"/>
      <w:r>
        <w:rPr>
          <w:rFonts w:hint="default" w:ascii="仿宋_GB2312" w:hAnsi="仿宋_GB2312" w:eastAsia="仿宋_GB2312" w:cs="仿宋_GB2312"/>
          <w:snapToGrid w:val="0"/>
          <w:color w:val="auto"/>
          <w:spacing w:val="0"/>
          <w:kern w:val="0"/>
          <w:sz w:val="32"/>
          <w:szCs w:val="32"/>
        </w:rPr>
        <w:t>建立突发环境事件社会保险机制。为突发环境事件应急工作人员办理意外伤害保险。可能引起环境污染的企事业单位，要依法办理相关责任险或</w:t>
      </w:r>
      <w:r>
        <w:rPr>
          <w:rFonts w:hint="eastAsia" w:ascii="仿宋_GB2312" w:hAnsi="仿宋_GB2312" w:eastAsia="仿宋_GB2312" w:cs="仿宋_GB2312"/>
          <w:snapToGrid w:val="0"/>
          <w:color w:val="auto"/>
          <w:spacing w:val="0"/>
          <w:kern w:val="0"/>
          <w:sz w:val="32"/>
          <w:szCs w:val="32"/>
          <w:lang w:eastAsia="zh-CN"/>
        </w:rPr>
        <w:t>其他</w:t>
      </w:r>
      <w:r>
        <w:rPr>
          <w:rFonts w:hint="default" w:ascii="仿宋_GB2312" w:hAnsi="仿宋_GB2312" w:eastAsia="仿宋_GB2312" w:cs="仿宋_GB2312"/>
          <w:snapToGrid w:val="0"/>
          <w:color w:val="auto"/>
          <w:spacing w:val="0"/>
          <w:kern w:val="0"/>
          <w:sz w:val="32"/>
          <w:szCs w:val="32"/>
        </w:rPr>
        <w:t>险种。</w:t>
      </w:r>
    </w:p>
    <w:bookmarkEnd w:id="160"/>
    <w:p w14:paraId="4396222B">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ascii="方正小标宋简体" w:hAnsi="方正小标宋简体" w:eastAsia="方正小标宋简体" w:cs="方正小标宋简体"/>
          <w:b w:val="0"/>
          <w:bCs/>
          <w:color w:val="auto"/>
        </w:rPr>
      </w:pPr>
      <w:bookmarkStart w:id="161" w:name="_Toc8315"/>
      <w:bookmarkStart w:id="162" w:name="_Toc28642"/>
      <w:bookmarkStart w:id="163" w:name="_Toc6911"/>
      <w:r>
        <w:rPr>
          <w:rFonts w:hint="eastAsia" w:ascii="方正小标宋简体" w:hAnsi="方正小标宋简体" w:eastAsia="方正小标宋简体" w:cs="方正小标宋简体"/>
          <w:b w:val="0"/>
          <w:bCs/>
          <w:color w:val="auto"/>
        </w:rPr>
        <w:t>应急保障</w:t>
      </w:r>
      <w:bookmarkEnd w:id="132"/>
      <w:bookmarkEnd w:id="161"/>
      <w:bookmarkEnd w:id="162"/>
      <w:bookmarkEnd w:id="163"/>
    </w:p>
    <w:p w14:paraId="5D902452">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eastAsia" w:ascii="黑体" w:hAnsi="黑体" w:eastAsia="黑体" w:cs="黑体"/>
          <w:b w:val="0"/>
          <w:bCs w:val="0"/>
          <w:snapToGrid w:val="0"/>
          <w:color w:val="auto"/>
          <w:kern w:val="0"/>
          <w:sz w:val="32"/>
          <w:szCs w:val="32"/>
        </w:rPr>
      </w:pPr>
      <w:bookmarkStart w:id="164" w:name="_Toc25227"/>
      <w:bookmarkStart w:id="165" w:name="_Toc8916"/>
      <w:bookmarkStart w:id="166" w:name="_Toc28634"/>
      <w:bookmarkStart w:id="167" w:name="_Toc86995304"/>
      <w:bookmarkStart w:id="168" w:name="_Toc10002"/>
      <w:r>
        <w:rPr>
          <w:rFonts w:hint="eastAsia" w:ascii="黑体" w:hAnsi="黑体" w:eastAsia="黑体" w:cs="黑体"/>
          <w:b w:val="0"/>
          <w:bCs w:val="0"/>
          <w:snapToGrid w:val="0"/>
          <w:color w:val="auto"/>
          <w:kern w:val="0"/>
          <w:sz w:val="32"/>
          <w:szCs w:val="32"/>
        </w:rPr>
        <w:t>预案保障</w:t>
      </w:r>
      <w:bookmarkEnd w:id="164"/>
      <w:bookmarkEnd w:id="165"/>
      <w:bookmarkEnd w:id="166"/>
      <w:bookmarkEnd w:id="167"/>
      <w:bookmarkEnd w:id="168"/>
    </w:p>
    <w:p w14:paraId="2C135707">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根据国家相关法律法规及《江西省突发事件总体应急预案》等相关要求，组织督促以下企业制定、完善突发环境事件应急预案，做到责任落实、组织落实、方案落实、保障落实。对于应编制但尚未编制应急预案的企业，责令其在一定期限内完成编制工作并进行备案。</w:t>
      </w:r>
    </w:p>
    <w:p w14:paraId="7793603B">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（1）可能发生突发环境事件的污染物排放企业，包括污水、生活垃圾集中处理设施的运营企业；</w:t>
      </w:r>
    </w:p>
    <w:p w14:paraId="19125B64">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w:t>
      </w:r>
      <w:r>
        <w:rPr>
          <w:rFonts w:hint="eastAsia" w:ascii="仿宋_GB2312" w:hAnsi="仿宋_GB2312" w:eastAsia="仿宋_GB2312" w:cs="仿宋_GB2312"/>
          <w:snapToGrid w:val="0"/>
          <w:color w:val="auto"/>
          <w:kern w:val="0"/>
          <w:sz w:val="32"/>
          <w:szCs w:val="32"/>
          <w:lang w:val="en-US" w:eastAsia="zh-CN"/>
        </w:rPr>
        <w:t>2</w:t>
      </w:r>
      <w:r>
        <w:rPr>
          <w:rFonts w:hint="default" w:ascii="仿宋_GB2312" w:hAnsi="仿宋_GB2312" w:eastAsia="仿宋_GB2312" w:cs="仿宋_GB2312"/>
          <w:snapToGrid w:val="0"/>
          <w:color w:val="auto"/>
          <w:kern w:val="0"/>
          <w:sz w:val="32"/>
          <w:szCs w:val="32"/>
        </w:rPr>
        <w:t>）产生、收集、贮存、运输、利用、处置危险废物的企业；</w:t>
      </w:r>
    </w:p>
    <w:p w14:paraId="2DA28226">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w:t>
      </w:r>
      <w:r>
        <w:rPr>
          <w:rFonts w:hint="eastAsia" w:ascii="仿宋_GB2312" w:hAnsi="仿宋_GB2312" w:eastAsia="仿宋_GB2312" w:cs="仿宋_GB2312"/>
          <w:snapToGrid w:val="0"/>
          <w:color w:val="auto"/>
          <w:kern w:val="0"/>
          <w:sz w:val="32"/>
          <w:szCs w:val="32"/>
          <w:lang w:val="en-US" w:eastAsia="zh-CN"/>
        </w:rPr>
        <w:t>3</w:t>
      </w:r>
      <w:r>
        <w:rPr>
          <w:rFonts w:hint="default" w:ascii="仿宋_GB2312" w:hAnsi="仿宋_GB2312" w:eastAsia="仿宋_GB2312" w:cs="仿宋_GB2312"/>
          <w:snapToGrid w:val="0"/>
          <w:color w:val="auto"/>
          <w:kern w:val="0"/>
          <w:sz w:val="32"/>
          <w:szCs w:val="32"/>
        </w:rPr>
        <w:t>）其他应当纳入适用范围的企业。</w:t>
      </w:r>
    </w:p>
    <w:p w14:paraId="7736FFA1">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69" w:name="_Toc11033"/>
      <w:bookmarkStart w:id="170" w:name="_Toc86995305"/>
      <w:bookmarkStart w:id="171" w:name="_Toc22112"/>
      <w:bookmarkStart w:id="172" w:name="_Toc17913"/>
      <w:bookmarkStart w:id="173" w:name="_Toc5480"/>
      <w:r>
        <w:rPr>
          <w:rFonts w:hint="default" w:ascii="黑体" w:hAnsi="黑体" w:eastAsia="黑体" w:cs="黑体"/>
          <w:b w:val="0"/>
          <w:bCs w:val="0"/>
          <w:snapToGrid w:val="0"/>
          <w:color w:val="auto"/>
          <w:kern w:val="0"/>
          <w:sz w:val="32"/>
          <w:szCs w:val="32"/>
        </w:rPr>
        <w:t>值守保障</w:t>
      </w:r>
      <w:bookmarkEnd w:id="169"/>
      <w:bookmarkEnd w:id="170"/>
      <w:bookmarkEnd w:id="171"/>
      <w:bookmarkEnd w:id="172"/>
      <w:bookmarkEnd w:id="173"/>
    </w:p>
    <w:p w14:paraId="7D5EB7B6">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完善日常值班与应急值守相结合的接报、出警机制，并严格组织实施；充分做好值守状态时的人员、设备、车辆、通讯及物资准备工作。提升应急科技应用水平，确保突发环境事件现场指挥顺畅，做到常态管理与非常态管理全面、有效衔接。</w:t>
      </w:r>
    </w:p>
    <w:p w14:paraId="3C7E460B">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74" w:name="_Toc6600"/>
      <w:bookmarkStart w:id="175" w:name="_Toc24286"/>
      <w:bookmarkStart w:id="176" w:name="_Toc86995306"/>
      <w:bookmarkStart w:id="177" w:name="_Toc15768"/>
      <w:bookmarkStart w:id="178" w:name="_Toc25542"/>
      <w:r>
        <w:rPr>
          <w:rFonts w:hint="default" w:ascii="黑体" w:hAnsi="黑体" w:eastAsia="黑体" w:cs="黑体"/>
          <w:b w:val="0"/>
          <w:bCs w:val="0"/>
          <w:snapToGrid w:val="0"/>
          <w:color w:val="auto"/>
          <w:kern w:val="0"/>
          <w:sz w:val="32"/>
          <w:szCs w:val="32"/>
        </w:rPr>
        <w:t>预警保障</w:t>
      </w:r>
      <w:bookmarkEnd w:id="174"/>
      <w:bookmarkEnd w:id="175"/>
      <w:bookmarkEnd w:id="176"/>
      <w:bookmarkEnd w:id="177"/>
      <w:bookmarkEnd w:id="178"/>
    </w:p>
    <w:p w14:paraId="47D1A563">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生态环境局负责建立环境应急资料库，建立统一的环境应急管理指挥平台，包括突发环境事件应急处置数据库系统、突发事件专家决策支持系统等，强化互联互通、资源共享的预警保障体系。</w:t>
      </w:r>
    </w:p>
    <w:p w14:paraId="1DBDA1BB">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79" w:name="_Toc9049"/>
      <w:bookmarkStart w:id="180" w:name="_Toc23522"/>
      <w:bookmarkStart w:id="181" w:name="_Toc9297"/>
      <w:r>
        <w:rPr>
          <w:rFonts w:hint="default" w:ascii="黑体" w:hAnsi="黑体" w:eastAsia="黑体" w:cs="黑体"/>
          <w:b w:val="0"/>
          <w:bCs w:val="0"/>
          <w:snapToGrid w:val="0"/>
          <w:color w:val="auto"/>
          <w:kern w:val="0"/>
          <w:sz w:val="32"/>
          <w:szCs w:val="32"/>
        </w:rPr>
        <w:t>保险制度保障</w:t>
      </w:r>
      <w:bookmarkEnd w:id="179"/>
      <w:bookmarkEnd w:id="180"/>
      <w:bookmarkEnd w:id="181"/>
    </w:p>
    <w:p w14:paraId="0C6513C1">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根据环境风险管理的形势要求，开展环境污染强制责任保险工作，建立环境风险管理的长效机制。对于涉重金属企业、按地方有关规定已被纳入投保范围的企业、其他高环境风险企业应当按照国务院有关规定，投保环境污染责任保险，借助保险“大数法则”，分散企业对污染事故的赔付压力。</w:t>
      </w:r>
    </w:p>
    <w:p w14:paraId="3E4D2CBA">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82" w:name="_Toc5301"/>
      <w:bookmarkStart w:id="183" w:name="_Toc21880"/>
      <w:bookmarkStart w:id="184" w:name="_Toc2706"/>
      <w:bookmarkStart w:id="185" w:name="_Toc2389"/>
      <w:bookmarkStart w:id="186" w:name="_Toc86995307"/>
      <w:r>
        <w:rPr>
          <w:rFonts w:hint="default" w:ascii="黑体" w:hAnsi="黑体" w:eastAsia="黑体" w:cs="黑体"/>
          <w:b w:val="0"/>
          <w:bCs w:val="0"/>
          <w:snapToGrid w:val="0"/>
          <w:color w:val="auto"/>
          <w:kern w:val="0"/>
          <w:sz w:val="32"/>
          <w:szCs w:val="32"/>
        </w:rPr>
        <w:t>机制保障</w:t>
      </w:r>
      <w:bookmarkEnd w:id="182"/>
      <w:bookmarkEnd w:id="183"/>
      <w:bookmarkEnd w:id="184"/>
      <w:bookmarkEnd w:id="185"/>
      <w:bookmarkEnd w:id="186"/>
    </w:p>
    <w:p w14:paraId="0503BB56">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根据区域或流域环境风险防范需要，加强与相近、相邻地区环境保护主管部门的互动，健全风险防范和应急联动机制；加强生态环境局与其他部门的联动机制建设，协同高效处置各类突发环境事件。</w:t>
      </w:r>
    </w:p>
    <w:p w14:paraId="25188FB2">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87" w:name="_Toc86995308"/>
      <w:bookmarkStart w:id="188" w:name="_Toc9343"/>
      <w:bookmarkStart w:id="189" w:name="_Toc7066"/>
      <w:bookmarkStart w:id="190" w:name="_Toc6224"/>
      <w:bookmarkStart w:id="191" w:name="_Toc20524"/>
      <w:r>
        <w:rPr>
          <w:rFonts w:hint="default" w:ascii="黑体" w:hAnsi="黑体" w:eastAsia="黑体" w:cs="黑体"/>
          <w:b w:val="0"/>
          <w:bCs w:val="0"/>
          <w:snapToGrid w:val="0"/>
          <w:color w:val="auto"/>
          <w:kern w:val="0"/>
          <w:sz w:val="32"/>
          <w:szCs w:val="32"/>
        </w:rPr>
        <w:t>队伍保障</w:t>
      </w:r>
      <w:bookmarkEnd w:id="187"/>
      <w:bookmarkEnd w:id="188"/>
      <w:bookmarkEnd w:id="189"/>
      <w:bookmarkEnd w:id="190"/>
      <w:bookmarkEnd w:id="191"/>
    </w:p>
    <w:p w14:paraId="45968AEB">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突发环境事件应急相关部门要建立专业应急救援队伍，危险化学品运输单位要依托企业的消防、防化队伍组建应急分队；同时依托社会力量组建志愿者队伍，并接受有关部门专业培训和组织管理。</w:t>
      </w:r>
      <w:r>
        <w:rPr>
          <w:rFonts w:hint="eastAsia" w:ascii="仿宋_GB2312" w:hAnsi="仿宋_GB2312" w:eastAsia="仿宋_GB2312" w:cs="仿宋_GB2312"/>
          <w:snapToGrid w:val="0"/>
          <w:color w:val="auto"/>
          <w:kern w:val="0"/>
          <w:sz w:val="32"/>
          <w:szCs w:val="32"/>
          <w:lang w:val="en-US" w:eastAsia="zh-CN"/>
        </w:rPr>
        <w:t>区</w:t>
      </w:r>
      <w:r>
        <w:rPr>
          <w:rFonts w:hint="default" w:ascii="仿宋_GB2312" w:hAnsi="仿宋_GB2312" w:eastAsia="仿宋_GB2312" w:cs="仿宋_GB2312"/>
          <w:snapToGrid w:val="0"/>
          <w:color w:val="auto"/>
          <w:kern w:val="0"/>
          <w:sz w:val="32"/>
          <w:szCs w:val="32"/>
        </w:rPr>
        <w:t>环境应急指挥部应依托环境应急监测队伍、公安、消防及企业应急专业队伍、社会力量组建一支常备不懈、熟悉环境应急知识、充分掌握各类突发环境事件处置措施的应急队伍，保证发生突发事件时，能够迅速参与并完成应急监测、污染防控等现场处置工作。重点建设危险化学品事故应急救援队伍、饮用水源地应急快速监测和救援队伍等。</w:t>
      </w:r>
    </w:p>
    <w:p w14:paraId="1015098D">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卫健委负责应急处置中的医疗卫生保障，组织协调医疗救护队伍实施医疗救治，并根据突发环境</w:t>
      </w:r>
      <w:r>
        <w:rPr>
          <w:rFonts w:hint="eastAsia" w:ascii="仿宋_GB2312" w:hAnsi="仿宋_GB2312" w:eastAsia="仿宋_GB2312" w:cs="仿宋_GB2312"/>
          <w:snapToGrid w:val="0"/>
          <w:color w:val="auto"/>
          <w:kern w:val="0"/>
          <w:sz w:val="32"/>
          <w:szCs w:val="32"/>
          <w:lang w:eastAsia="zh-CN"/>
        </w:rPr>
        <w:t>事件</w:t>
      </w:r>
      <w:r>
        <w:rPr>
          <w:rFonts w:hint="default" w:ascii="仿宋_GB2312" w:hAnsi="仿宋_GB2312" w:eastAsia="仿宋_GB2312" w:cs="仿宋_GB2312"/>
          <w:snapToGrid w:val="0"/>
          <w:color w:val="auto"/>
          <w:kern w:val="0"/>
          <w:sz w:val="32"/>
          <w:szCs w:val="32"/>
        </w:rPr>
        <w:t>造成人员伤亡的特点，组织落实专用药品及汽车。医疗救护队伍接到指令后要迅速到达指定地点实施医疗急救，相关医疗专业医院确保复诊后</w:t>
      </w:r>
      <w:r>
        <w:rPr>
          <w:rFonts w:hint="eastAsia" w:ascii="仿宋_GB2312" w:hAnsi="仿宋_GB2312" w:eastAsia="仿宋_GB2312" w:cs="仿宋_GB2312"/>
          <w:snapToGrid w:val="0"/>
          <w:color w:val="auto"/>
          <w:kern w:val="0"/>
          <w:sz w:val="32"/>
          <w:szCs w:val="32"/>
          <w:lang w:eastAsia="zh-CN"/>
        </w:rPr>
        <w:t>的持</w:t>
      </w:r>
      <w:r>
        <w:rPr>
          <w:rFonts w:hint="default" w:ascii="仿宋_GB2312" w:hAnsi="仿宋_GB2312" w:eastAsia="仿宋_GB2312" w:cs="仿宋_GB2312"/>
          <w:snapToGrid w:val="0"/>
          <w:color w:val="auto"/>
          <w:kern w:val="0"/>
          <w:sz w:val="32"/>
          <w:szCs w:val="32"/>
        </w:rPr>
        <w:t>续治疗。</w:t>
      </w:r>
    </w:p>
    <w:p w14:paraId="6A08307D">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92" w:name="_Toc16141"/>
      <w:bookmarkStart w:id="193" w:name="_Toc5835"/>
      <w:bookmarkStart w:id="194" w:name="_Toc2011"/>
      <w:bookmarkStart w:id="195" w:name="_Toc16673"/>
      <w:bookmarkStart w:id="196" w:name="_Toc86995309"/>
      <w:r>
        <w:rPr>
          <w:rFonts w:hint="default" w:ascii="黑体" w:hAnsi="黑体" w:eastAsia="黑体" w:cs="黑体"/>
          <w:b w:val="0"/>
          <w:bCs w:val="0"/>
          <w:snapToGrid w:val="0"/>
          <w:color w:val="auto"/>
          <w:kern w:val="0"/>
          <w:sz w:val="32"/>
          <w:szCs w:val="32"/>
        </w:rPr>
        <w:t>物资装备保障</w:t>
      </w:r>
      <w:bookmarkEnd w:id="192"/>
      <w:bookmarkEnd w:id="193"/>
      <w:bookmarkEnd w:id="194"/>
      <w:bookmarkEnd w:id="195"/>
      <w:bookmarkEnd w:id="196"/>
    </w:p>
    <w:p w14:paraId="26AB8BB4">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eastAsia" w:ascii="仿宋_GB2312" w:hAnsi="仿宋_GB2312" w:eastAsia="仿宋_GB2312" w:cs="仿宋_GB2312"/>
          <w:snapToGrid w:val="0"/>
          <w:color w:val="auto"/>
          <w:kern w:val="0"/>
          <w:sz w:val="32"/>
          <w:szCs w:val="32"/>
          <w:lang w:eastAsia="zh-CN"/>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管理局应加强区级突发环境事件应急物资储备建设，在现有装备的基础上，根据突发环境事件应急处置需要，有计划、有针对性地配置应急指挥、应急监测、应急防护、应急处置等应急设备；重点加强危险化学品检验、鉴定和监测设备建设，增加应急处置、快速机动和自身防护装备及物资的储备；重点加强危险路段（危险化学品运输途经的人口密集区、水源保护区）沿途增加活性炭等应急物品的储备，确保应急所需物资及时供应。同时，</w:t>
      </w:r>
      <w:r>
        <w:rPr>
          <w:rFonts w:hint="eastAsia" w:ascii="仿宋_GB2312" w:hAnsi="仿宋_GB2312" w:eastAsia="仿宋_GB2312" w:cs="仿宋_GB2312"/>
          <w:snapToGrid w:val="0"/>
          <w:color w:val="auto"/>
          <w:kern w:val="0"/>
          <w:sz w:val="32"/>
          <w:szCs w:val="32"/>
          <w:lang w:val="en-US" w:eastAsia="zh-CN"/>
        </w:rPr>
        <w:t>区</w:t>
      </w:r>
      <w:r>
        <w:rPr>
          <w:rFonts w:hint="default" w:ascii="仿宋_GB2312" w:hAnsi="仿宋_GB2312" w:eastAsia="仿宋_GB2312" w:cs="仿宋_GB2312"/>
          <w:snapToGrid w:val="0"/>
          <w:color w:val="auto"/>
          <w:kern w:val="0"/>
          <w:sz w:val="32"/>
          <w:szCs w:val="32"/>
        </w:rPr>
        <w:t>突发环境事件应急指挥部其他成员单位要强化自身应急物资储备，区域内相关生产经营单位应根据可能发生环境事件类型配备必要的应急救援装备</w:t>
      </w:r>
      <w:r>
        <w:rPr>
          <w:rFonts w:hint="eastAsia" w:ascii="仿宋_GB2312" w:hAnsi="仿宋_GB2312" w:eastAsia="仿宋_GB2312" w:cs="仿宋_GB2312"/>
          <w:snapToGrid w:val="0"/>
          <w:color w:val="auto"/>
          <w:kern w:val="0"/>
          <w:sz w:val="32"/>
          <w:szCs w:val="32"/>
          <w:lang w:eastAsia="zh-CN"/>
        </w:rPr>
        <w:t>。</w:t>
      </w:r>
    </w:p>
    <w:p w14:paraId="5107B150">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eastAsia" w:ascii="楷体_GB2312" w:hAnsi="楷体_GB2312" w:eastAsia="楷体_GB2312" w:cs="楷体_GB2312"/>
          <w:b/>
          <w:bCs/>
          <w:snapToGrid w:val="0"/>
          <w:color w:val="auto"/>
          <w:kern w:val="0"/>
          <w:sz w:val="32"/>
          <w:szCs w:val="32"/>
        </w:rPr>
      </w:pPr>
      <w:r>
        <w:rPr>
          <w:rFonts w:hint="eastAsia" w:ascii="楷体_GB2312" w:hAnsi="楷体_GB2312" w:eastAsia="楷体_GB2312" w:cs="楷体_GB2312"/>
          <w:b/>
          <w:bCs/>
          <w:snapToGrid w:val="0"/>
          <w:color w:val="auto"/>
          <w:kern w:val="0"/>
          <w:sz w:val="32"/>
          <w:szCs w:val="32"/>
          <w:lang w:val="en-US" w:eastAsia="zh-CN"/>
        </w:rPr>
        <w:t>一、</w:t>
      </w:r>
      <w:r>
        <w:rPr>
          <w:rFonts w:hint="eastAsia" w:ascii="楷体_GB2312" w:hAnsi="楷体_GB2312" w:eastAsia="楷体_GB2312" w:cs="楷体_GB2312"/>
          <w:b/>
          <w:bCs/>
          <w:snapToGrid w:val="0"/>
          <w:color w:val="auto"/>
          <w:kern w:val="0"/>
          <w:sz w:val="32"/>
          <w:szCs w:val="32"/>
        </w:rPr>
        <w:t>应急物资、装备、设施保障</w:t>
      </w:r>
    </w:p>
    <w:p w14:paraId="1D2970A3">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1</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第一时间可调用应急物资：主要包括：围油栏、吸油毡、活性炭、絮凝剂、中和剂；应急沙袋、防渗膜、应急水泵、输水管道；水质快速检测试剂盒、余氯/pH/浊度快速检测设备；防护服、防护眼镜、防毒面具、应急照明、对讲机；应急饮用水、临时供水设备、消毒药剂。区级储备物资可在接指令后30分钟内完成出库、装车，1小时内送达事发区域。</w:t>
      </w:r>
    </w:p>
    <w:p w14:paraId="643DA2E3">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2</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应急装备与设施：配备水质应急监测仪、无人机巡查设备；应急发电车、抽排水设备、移动式围挡设施；临时供水点设施；现场通讯保障设备。所有装备定期维护、每月点检、随时可用，接到指令后20分钟内可启运。</w:t>
      </w:r>
    </w:p>
    <w:p w14:paraId="5E3FD7D6">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3</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应急场所保障：（1）现场指挥场所：区政府应急指挥中心、区生态环境局指挥室作为固定指挥场所，24小时具备视频会商、信息调度、指令下达功能；（2）现场临时指挥部：在</w:t>
      </w:r>
      <w:r>
        <w:rPr>
          <w:rFonts w:hint="eastAsia" w:ascii="仿宋_GB2312" w:hAnsi="仿宋_GB2312" w:eastAsia="仿宋_GB2312" w:cs="仿宋_GB2312"/>
          <w:snapToGrid w:val="0"/>
          <w:color w:val="auto"/>
          <w:kern w:val="0"/>
          <w:sz w:val="32"/>
          <w:szCs w:val="32"/>
          <w:lang w:val="en-US" w:eastAsia="zh-CN"/>
        </w:rPr>
        <w:t>事故发生地</w:t>
      </w:r>
      <w:r>
        <w:rPr>
          <w:rFonts w:hint="default" w:ascii="仿宋_GB2312" w:hAnsi="仿宋_GB2312" w:eastAsia="仿宋_GB2312" w:cs="仿宋_GB2312"/>
          <w:snapToGrid w:val="0"/>
          <w:color w:val="auto"/>
          <w:kern w:val="0"/>
          <w:sz w:val="32"/>
          <w:szCs w:val="32"/>
          <w:lang w:val="en-US" w:eastAsia="zh-CN"/>
        </w:rPr>
        <w:t>周边预设2</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3处临时集结点和现场指挥部，可快速搭建帐篷、布设通讯设备，30分钟内可投入使用；（3）人员安置与物资中转场所：协调乡镇（街道）党群服务中心、学校、体育馆等作为临时安置点，可同步用于物资中转、人员休整。</w:t>
      </w:r>
    </w:p>
    <w:p w14:paraId="5E4204A5">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楷体_GB2312" w:hAnsi="楷体_GB2312" w:eastAsia="楷体_GB2312" w:cs="楷体_GB2312"/>
          <w:b/>
          <w:bCs/>
          <w:snapToGrid w:val="0"/>
          <w:color w:val="auto"/>
          <w:kern w:val="0"/>
          <w:sz w:val="32"/>
          <w:szCs w:val="32"/>
          <w:lang w:val="en-US" w:eastAsia="zh-CN"/>
        </w:rPr>
      </w:pPr>
      <w:r>
        <w:rPr>
          <w:rFonts w:hint="eastAsia" w:ascii="楷体_GB2312" w:hAnsi="楷体_GB2312" w:eastAsia="楷体_GB2312" w:cs="楷体_GB2312"/>
          <w:b/>
          <w:bCs/>
          <w:snapToGrid w:val="0"/>
          <w:color w:val="auto"/>
          <w:kern w:val="0"/>
          <w:sz w:val="32"/>
          <w:szCs w:val="32"/>
          <w:lang w:val="en-US" w:eastAsia="zh-CN"/>
        </w:rPr>
        <w:t>二、</w:t>
      </w:r>
      <w:r>
        <w:rPr>
          <w:rFonts w:hint="default" w:ascii="楷体_GB2312" w:hAnsi="楷体_GB2312" w:eastAsia="楷体_GB2312" w:cs="楷体_GB2312"/>
          <w:b/>
          <w:bCs/>
          <w:snapToGrid w:val="0"/>
          <w:color w:val="auto"/>
          <w:kern w:val="0"/>
          <w:sz w:val="32"/>
          <w:szCs w:val="32"/>
          <w:lang w:val="en-US" w:eastAsia="zh-CN"/>
        </w:rPr>
        <w:t>资源管理、维护、获取方式与响应时限</w:t>
      </w:r>
    </w:p>
    <w:p w14:paraId="4EAE484C">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1.</w:t>
      </w:r>
      <w:r>
        <w:rPr>
          <w:rFonts w:hint="default" w:ascii="仿宋_GB2312" w:hAnsi="仿宋_GB2312" w:eastAsia="仿宋_GB2312" w:cs="仿宋_GB2312"/>
          <w:snapToGrid w:val="0"/>
          <w:color w:val="auto"/>
          <w:kern w:val="0"/>
          <w:sz w:val="32"/>
          <w:szCs w:val="32"/>
          <w:lang w:val="en-US" w:eastAsia="zh-CN"/>
        </w:rPr>
        <w:t>物资与装备管理维护：应急物资实行台账化、标签化、定位化管理，一物一码、出入库登记；易损耗、易过期物资（试剂、防护用品等）每半年轮换更新；装备车辆、监测仪器每月保养、季度校准，确保完好率100%；建立物资短缺预警机制，库存量低于警戒线自动提醒补充；指定专人负责物资库管理，每日检查物资存放情况，及时排查安全隐患。</w:t>
      </w:r>
    </w:p>
    <w:p w14:paraId="1C4927B9">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2.</w:t>
      </w:r>
      <w:r>
        <w:rPr>
          <w:rFonts w:hint="default" w:ascii="仿宋_GB2312" w:hAnsi="仿宋_GB2312" w:eastAsia="仿宋_GB2312" w:cs="仿宋_GB2312"/>
          <w:snapToGrid w:val="0"/>
          <w:color w:val="auto"/>
          <w:kern w:val="0"/>
          <w:sz w:val="32"/>
          <w:szCs w:val="32"/>
          <w:lang w:val="en-US" w:eastAsia="zh-CN"/>
        </w:rPr>
        <w:t>获取方式与调用时限：（1）区级储备资源：由区应急指挥部办公室直接下达调拨令，30分钟内出库，1小时内送达；（2）跨部门联动资源：公安、消防、</w:t>
      </w:r>
      <w:r>
        <w:rPr>
          <w:rFonts w:hint="eastAsia" w:ascii="仿宋_GB2312" w:hAnsi="仿宋_GB2312" w:eastAsia="仿宋_GB2312" w:cs="仿宋_GB2312"/>
          <w:snapToGrid w:val="0"/>
          <w:color w:val="auto"/>
          <w:kern w:val="0"/>
          <w:sz w:val="32"/>
          <w:szCs w:val="32"/>
          <w:lang w:val="en-US" w:eastAsia="zh-CN"/>
        </w:rPr>
        <w:t>水利</w:t>
      </w:r>
      <w:r>
        <w:rPr>
          <w:rFonts w:hint="default" w:ascii="仿宋_GB2312" w:hAnsi="仿宋_GB2312" w:eastAsia="仿宋_GB2312" w:cs="仿宋_GB2312"/>
          <w:snapToGrid w:val="0"/>
          <w:color w:val="auto"/>
          <w:kern w:val="0"/>
          <w:sz w:val="32"/>
          <w:szCs w:val="32"/>
          <w:lang w:val="en-US" w:eastAsia="zh-CN"/>
        </w:rPr>
        <w:t>、交通等部门资源，接函后20分钟内响应调度；（3）市级及外部支援资源：超出区级处置能力时，立即向市生态环境局、市应急管理局申请支援，市级物资与队伍2小时内可抵达我区；（4）社会资源采购与征用：急需物资可启动应急采购、紧急征用机制，1小时内完成对接、配送到位</w:t>
      </w:r>
      <w:r>
        <w:rPr>
          <w:rFonts w:hint="default" w:ascii="仿宋_GB2312" w:hAnsi="仿宋_GB2312" w:eastAsia="仿宋_GB2312" w:cs="仿宋_GB2312"/>
          <w:snapToGrid w:val="0"/>
          <w:color w:val="auto"/>
          <w:kern w:val="0"/>
          <w:sz w:val="32"/>
          <w:szCs w:val="32"/>
        </w:rPr>
        <w:t>。</w:t>
      </w:r>
    </w:p>
    <w:p w14:paraId="4637BB3A">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197" w:name="_Toc8211"/>
      <w:bookmarkStart w:id="198" w:name="_Toc8430"/>
      <w:bookmarkStart w:id="199" w:name="_Toc30451"/>
      <w:bookmarkStart w:id="200" w:name="_Toc14356"/>
      <w:bookmarkStart w:id="201" w:name="_Toc86995310"/>
      <w:r>
        <w:rPr>
          <w:rFonts w:hint="default" w:ascii="黑体" w:hAnsi="黑体" w:eastAsia="黑体" w:cs="黑体"/>
          <w:b w:val="0"/>
          <w:bCs w:val="0"/>
          <w:snapToGrid w:val="0"/>
          <w:color w:val="auto"/>
          <w:kern w:val="0"/>
          <w:sz w:val="32"/>
          <w:szCs w:val="32"/>
        </w:rPr>
        <w:t>技术保障</w:t>
      </w:r>
      <w:bookmarkEnd w:id="197"/>
      <w:bookmarkEnd w:id="198"/>
      <w:bookmarkEnd w:id="199"/>
      <w:bookmarkEnd w:id="200"/>
      <w:bookmarkEnd w:id="201"/>
    </w:p>
    <w:p w14:paraId="39132A93">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目前昌江区辖区共有2处环境空气质量自动监测站，分别为兽医站自动监测站和青少年活动中心自动监测站；2处水环境质量自动监测站，分别为鲇鱼山国考断面监测站和关山村省考断面监测站。</w:t>
      </w:r>
    </w:p>
    <w:p w14:paraId="3939EE36">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人民政府及其相关部门负责支持突发环境事件应急处置和监测先进技术、装备的研发，建立科学的应急指挥决策支持系统，实现信息综合集成、分析处理、污染评估的智能化和数字化。</w:t>
      </w:r>
    </w:p>
    <w:p w14:paraId="530F7764">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（1）建立完善的环境风险基础信息数据库，并发布给各成员单位，实现信息共享。</w:t>
      </w:r>
    </w:p>
    <w:p w14:paraId="54139447">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（2）建立突发环境事件预防预警系统，随时投放应急的后续支援和提供技术支援。</w:t>
      </w:r>
    </w:p>
    <w:p w14:paraId="74AEF887">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（3）建立突发环境事件应急专家信息库，制定专家组联络制度，确保在启动预警前、事件发生后相关环境专家能迅速到位，为指挥决策提供服务。</w:t>
      </w:r>
    </w:p>
    <w:p w14:paraId="64715777">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202" w:name="_Toc28663"/>
      <w:bookmarkStart w:id="203" w:name="_Toc86995311"/>
      <w:bookmarkStart w:id="204" w:name="_Toc11736"/>
      <w:bookmarkStart w:id="205" w:name="_Toc24847"/>
      <w:bookmarkStart w:id="206" w:name="_Toc8694"/>
      <w:r>
        <w:rPr>
          <w:rFonts w:hint="default" w:ascii="黑体" w:hAnsi="黑体" w:eastAsia="黑体" w:cs="黑体"/>
          <w:b w:val="0"/>
          <w:bCs w:val="0"/>
          <w:snapToGrid w:val="0"/>
          <w:color w:val="auto"/>
          <w:kern w:val="0"/>
          <w:sz w:val="32"/>
          <w:szCs w:val="32"/>
        </w:rPr>
        <w:t>资金保障</w:t>
      </w:r>
      <w:bookmarkEnd w:id="202"/>
      <w:bookmarkEnd w:id="203"/>
      <w:bookmarkEnd w:id="204"/>
      <w:bookmarkEnd w:id="205"/>
      <w:bookmarkEnd w:id="206"/>
    </w:p>
    <w:p w14:paraId="7562818B">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突发环境事件应急准备和救援工作所需资金，由各级有关类别环境事件专业主管部门提出预算，报</w:t>
      </w:r>
      <w:r>
        <w:rPr>
          <w:rFonts w:hint="eastAsia" w:ascii="仿宋_GB2312" w:hAnsi="仿宋_GB2312" w:eastAsia="仿宋_GB2312" w:cs="仿宋_GB2312"/>
          <w:snapToGrid w:val="0"/>
          <w:color w:val="auto"/>
          <w:kern w:val="0"/>
          <w:sz w:val="32"/>
          <w:szCs w:val="32"/>
          <w:lang w:val="en-US" w:eastAsia="zh-CN"/>
        </w:rPr>
        <w:t>区</w:t>
      </w:r>
      <w:r>
        <w:rPr>
          <w:rFonts w:hint="default" w:ascii="仿宋_GB2312" w:hAnsi="仿宋_GB2312" w:eastAsia="仿宋_GB2312" w:cs="仿宋_GB2312"/>
          <w:snapToGrid w:val="0"/>
          <w:color w:val="auto"/>
          <w:kern w:val="0"/>
          <w:sz w:val="32"/>
          <w:szCs w:val="32"/>
        </w:rPr>
        <w:t>应急指挥部汇总，经</w:t>
      </w:r>
      <w:r>
        <w:rPr>
          <w:rFonts w:hint="eastAsia" w:ascii="仿宋_GB2312" w:hAnsi="仿宋_GB2312" w:eastAsia="仿宋_GB2312" w:cs="仿宋_GB2312"/>
          <w:snapToGrid w:val="0"/>
          <w:color w:val="auto"/>
          <w:kern w:val="0"/>
          <w:sz w:val="32"/>
          <w:szCs w:val="32"/>
          <w:lang w:val="en-US" w:eastAsia="zh-CN"/>
        </w:rPr>
        <w:t>区</w:t>
      </w:r>
      <w:r>
        <w:rPr>
          <w:rFonts w:hint="default" w:ascii="仿宋_GB2312" w:hAnsi="仿宋_GB2312" w:eastAsia="仿宋_GB2312" w:cs="仿宋_GB2312"/>
          <w:snapToGrid w:val="0"/>
          <w:color w:val="auto"/>
          <w:kern w:val="0"/>
          <w:sz w:val="32"/>
          <w:szCs w:val="32"/>
        </w:rPr>
        <w:t>政府审批后，由财政局结合财力情况统筹安排突发公共事件应急准备和紧急处置总体经费。</w:t>
      </w:r>
    </w:p>
    <w:p w14:paraId="51583574">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处置突发环境事件所需财政负担经费，按照现行事权、财权划分原则，分级负担，以提高环境污染应急处置中人员、信息、技术、资金和物资等重要资源的保障能力。</w:t>
      </w:r>
    </w:p>
    <w:p w14:paraId="3445E649">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207" w:name="_Toc21561"/>
      <w:bookmarkStart w:id="208" w:name="_Toc86995312"/>
      <w:bookmarkStart w:id="209" w:name="_Toc1698"/>
      <w:bookmarkStart w:id="210" w:name="_Toc19570"/>
      <w:bookmarkStart w:id="211" w:name="_Toc14639"/>
      <w:r>
        <w:rPr>
          <w:rFonts w:hint="default" w:ascii="黑体" w:hAnsi="黑体" w:eastAsia="黑体" w:cs="黑体"/>
          <w:b w:val="0"/>
          <w:bCs w:val="0"/>
          <w:snapToGrid w:val="0"/>
          <w:color w:val="auto"/>
          <w:kern w:val="0"/>
          <w:sz w:val="32"/>
          <w:szCs w:val="32"/>
        </w:rPr>
        <w:t>通信、交通与运输保障</w:t>
      </w:r>
      <w:bookmarkEnd w:id="207"/>
      <w:bookmarkEnd w:id="208"/>
      <w:bookmarkEnd w:id="209"/>
      <w:bookmarkEnd w:id="210"/>
      <w:bookmarkEnd w:id="211"/>
    </w:p>
    <w:p w14:paraId="6B99AD01">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突发环境事件应急指挥部、应急协调办公室及各成员单位要建立和完善环境安全应急救援综合信息管理系统和救援力量信息库，保证应急信息交流和指挥的快速、顺畅、准确，做到信息资源共享，完善公用通信网络及各部门、单位已有的信息传输渠道，配备必要的通讯器材和通信技术力量，保持信息报送设施特别是现场应急通信系统性能完好，确保突发环境事件应急指挥部、应急协调办公室、现场应急指挥部及现场应急工作组之间的联络畅通。要求有关单位和人员的联系方式保证能随时取得联系，相关单位的调度值班电话24小时有人值守。</w:t>
      </w:r>
    </w:p>
    <w:p w14:paraId="1D66A9AD">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eastAsia" w:ascii="仿宋_GB2312" w:hAnsi="仿宋_GB2312" w:eastAsia="仿宋_GB2312" w:cs="仿宋_GB2312"/>
          <w:snapToGrid w:val="0"/>
          <w:color w:val="auto"/>
          <w:kern w:val="0"/>
          <w:sz w:val="32"/>
          <w:szCs w:val="32"/>
          <w:lang w:eastAsia="zh-CN"/>
        </w:rPr>
      </w:pPr>
      <w:r>
        <w:rPr>
          <w:rFonts w:hint="default" w:ascii="仿宋_GB2312" w:hAnsi="仿宋_GB2312" w:eastAsia="仿宋_GB2312" w:cs="仿宋_GB2312"/>
          <w:snapToGrid w:val="0"/>
          <w:color w:val="auto"/>
          <w:kern w:val="0"/>
          <w:sz w:val="32"/>
          <w:szCs w:val="32"/>
        </w:rPr>
        <w:t>环境事件发生后，公安局负责事件现场的警戒、治安管理，负责封锁事件现场、设立警戒区，并加强对重点区域、重点人群、重要物资设备的防范与保护，维持现场秩序，根据事件情况及时疏散群众；交警大队负责交通管制，开设应急救援特别通道；相关单位应迅速组织对受损道路、市政管道等的抢修，确保救灾物资、器材和人员的运送</w:t>
      </w:r>
      <w:r>
        <w:rPr>
          <w:rFonts w:hint="eastAsia" w:ascii="仿宋_GB2312" w:hAnsi="仿宋_GB2312" w:eastAsia="仿宋_GB2312" w:cs="仿宋_GB2312"/>
          <w:snapToGrid w:val="0"/>
          <w:color w:val="auto"/>
          <w:kern w:val="0"/>
          <w:sz w:val="32"/>
          <w:szCs w:val="32"/>
          <w:lang w:eastAsia="zh-CN"/>
        </w:rPr>
        <w:t>。</w:t>
      </w:r>
    </w:p>
    <w:p w14:paraId="3E87207C">
      <w:pPr>
        <w:pStyle w:val="34"/>
        <w:keepNext/>
        <w:keepLines/>
        <w:pageBreakBefore w:val="0"/>
        <w:widowControl/>
        <w:kinsoku/>
        <w:wordWrap/>
        <w:overflowPunct/>
        <w:topLinePunct w:val="0"/>
        <w:autoSpaceDE/>
        <w:autoSpaceDN/>
        <w:bidi w:val="0"/>
        <w:adjustRightInd/>
        <w:snapToGrid w:val="0"/>
        <w:spacing w:before="0" w:line="600" w:lineRule="exact"/>
        <w:ind w:left="-561" w:leftChars="0" w:firstLine="561" w:firstLineChars="0"/>
        <w:jc w:val="both"/>
        <w:textAlignment w:val="auto"/>
        <w:rPr>
          <w:rFonts w:hint="default" w:ascii="黑体" w:hAnsi="黑体" w:eastAsia="黑体" w:cs="黑体"/>
          <w:b w:val="0"/>
          <w:bCs w:val="0"/>
          <w:snapToGrid w:val="0"/>
          <w:color w:val="auto"/>
          <w:kern w:val="0"/>
          <w:sz w:val="32"/>
          <w:szCs w:val="32"/>
        </w:rPr>
      </w:pPr>
      <w:bookmarkStart w:id="212" w:name="_Toc23456"/>
      <w:r>
        <w:rPr>
          <w:rFonts w:hint="eastAsia" w:ascii="黑体" w:hAnsi="黑体" w:eastAsia="黑体" w:cs="黑体"/>
          <w:b w:val="0"/>
          <w:bCs w:val="0"/>
          <w:snapToGrid w:val="0"/>
          <w:color w:val="auto"/>
          <w:kern w:val="0"/>
          <w:sz w:val="32"/>
          <w:szCs w:val="32"/>
          <w:lang w:val="en-US" w:eastAsia="zh-CN"/>
        </w:rPr>
        <w:t>应急专家库建设</w:t>
      </w:r>
      <w:bookmarkEnd w:id="212"/>
    </w:p>
    <w:p w14:paraId="1F3B99A3">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为强化突发环境事件应急处置的科学性、专业性，提升处置决策水平，我区已建立完善的突发环境事件应急专家库，为各类突发环境事件处置提供专业技术支撑，具体建设及专家调用要求如下：</w:t>
      </w:r>
    </w:p>
    <w:p w14:paraId="2839EC5E">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楷体_GB2312" w:hAnsi="楷体_GB2312" w:eastAsia="楷体_GB2312" w:cs="楷体_GB2312"/>
          <w:b/>
          <w:bCs/>
          <w:snapToGrid w:val="0"/>
          <w:color w:val="auto"/>
          <w:kern w:val="0"/>
          <w:sz w:val="32"/>
          <w:szCs w:val="32"/>
          <w:lang w:val="en-US" w:eastAsia="zh-CN"/>
        </w:rPr>
        <w:t>一、专家库建设情况：</w:t>
      </w:r>
      <w:r>
        <w:rPr>
          <w:rFonts w:hint="default" w:ascii="仿宋_GB2312" w:hAnsi="仿宋_GB2312" w:eastAsia="仿宋_GB2312" w:cs="仿宋_GB2312"/>
          <w:snapToGrid w:val="0"/>
          <w:color w:val="auto"/>
          <w:kern w:val="0"/>
          <w:sz w:val="32"/>
          <w:szCs w:val="32"/>
          <w:lang w:val="en-US" w:eastAsia="zh-CN"/>
        </w:rPr>
        <w:t>应急专家库由</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lang w:val="en-US" w:eastAsia="zh-CN"/>
        </w:rPr>
        <w:t>生态环境局牵头组建，面向省、市、区</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相关科研院所、高等院校、专业技术机构、重点企业，筛选具备扎实专业知识、丰富实践经验的专业人才纳入库中，实行分类管理、动态更新。专家库涵盖环境监测、污染治理（水、气、土壤、危险废物等）、危险化学品处置、生态修复、医疗救护、气象预警、安全管控等多个领域，目前入库专家共计30-40名，其中高级专业技术职称专家占比不低于60%。建立专家信息档案，明确专家专业领域、联系方式、工作单位等核心信息，定期组织专家开展技术研讨、应急培训、演练点评等活动，提升专家应急处置能力，确保专家库能够快速响应、高效服务。同时，建立专家调用机制，明确调用流程、责任分工，确保突发环境事件发生时，能够快速联系、及时抽调相关专家到场指导。</w:t>
      </w:r>
    </w:p>
    <w:p w14:paraId="01FBED75">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楷体_GB2312" w:hAnsi="楷体_GB2312" w:eastAsia="楷体_GB2312" w:cs="楷体_GB2312"/>
          <w:b/>
          <w:bCs/>
          <w:snapToGrid w:val="0"/>
          <w:color w:val="auto"/>
          <w:kern w:val="0"/>
          <w:sz w:val="32"/>
          <w:szCs w:val="32"/>
          <w:lang w:val="en-US" w:eastAsia="zh-CN"/>
        </w:rPr>
        <w:t>二、不同等级突发环境事件专家邀请数量及要求：</w:t>
      </w:r>
      <w:r>
        <w:rPr>
          <w:rFonts w:hint="default" w:ascii="仿宋_GB2312" w:hAnsi="仿宋_GB2312" w:eastAsia="仿宋_GB2312" w:cs="仿宋_GB2312"/>
          <w:snapToGrid w:val="0"/>
          <w:color w:val="auto"/>
          <w:kern w:val="0"/>
          <w:sz w:val="32"/>
          <w:szCs w:val="32"/>
          <w:lang w:val="en-US" w:eastAsia="zh-CN"/>
        </w:rPr>
        <w:t>结合突发环境事件等级、处置难度及专业需求，明确不同等级事件专家邀请数量，确保处置工作科学有序、针对性强：</w:t>
      </w:r>
    </w:p>
    <w:p w14:paraId="118F9504">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1</w:t>
      </w:r>
      <w:r>
        <w:rPr>
          <w:rFonts w:hint="eastAsia" w:ascii="仿宋_GB2312" w:hAnsi="仿宋_GB2312" w:eastAsia="仿宋_GB2312" w:cs="仿宋_GB2312"/>
          <w:snapToGrid w:val="0"/>
          <w:color w:val="auto"/>
          <w:kern w:val="0"/>
          <w:sz w:val="32"/>
          <w:szCs w:val="32"/>
          <w:lang w:val="en-US" w:eastAsia="zh-CN"/>
        </w:rPr>
        <w:t>.特别</w:t>
      </w:r>
      <w:r>
        <w:rPr>
          <w:rFonts w:hint="default" w:ascii="仿宋_GB2312" w:hAnsi="仿宋_GB2312" w:eastAsia="仿宋_GB2312" w:cs="仿宋_GB2312"/>
          <w:snapToGrid w:val="0"/>
          <w:color w:val="auto"/>
          <w:kern w:val="0"/>
          <w:sz w:val="32"/>
          <w:szCs w:val="32"/>
        </w:rPr>
        <w:t>重大环境事件（Ⅰ级）</w:t>
      </w:r>
      <w:r>
        <w:rPr>
          <w:rFonts w:hint="default" w:ascii="仿宋_GB2312" w:hAnsi="仿宋_GB2312" w:eastAsia="仿宋_GB2312" w:cs="仿宋_GB2312"/>
          <w:snapToGrid w:val="0"/>
          <w:color w:val="auto"/>
          <w:kern w:val="0"/>
          <w:sz w:val="32"/>
          <w:szCs w:val="32"/>
          <w:lang w:val="en-US" w:eastAsia="zh-CN"/>
        </w:rPr>
        <w:t>：邀请8-10名专家，涵盖事件相关核心专业领域（如污染溯源、应急监测、污染处置、生态修复等），优先邀请省级及以上专家库中的资深专家，确保能够为重大复杂事件处置提供高端技术指导，助力制定科学高效的处置方案，协调解决处置过程中的重大技术难题。</w:t>
      </w:r>
    </w:p>
    <w:p w14:paraId="474A0541">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2</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rPr>
        <w:t>重大环境事件（Ⅱ级）</w:t>
      </w:r>
      <w:r>
        <w:rPr>
          <w:rFonts w:hint="default" w:ascii="仿宋_GB2312" w:hAnsi="仿宋_GB2312" w:eastAsia="仿宋_GB2312" w:cs="仿宋_GB2312"/>
          <w:snapToGrid w:val="0"/>
          <w:color w:val="auto"/>
          <w:kern w:val="0"/>
          <w:sz w:val="32"/>
          <w:szCs w:val="32"/>
          <w:lang w:val="en-US" w:eastAsia="zh-CN"/>
        </w:rPr>
        <w:t>：邀请6-8名专家，聚焦事件主要污染类型和处置重点，涵盖2-3个核心专业领域，以市级及以上专家为主、区级专家为辅，重点指导现场处置、风险评估、应急监测等关键环节，确保处置措施科学合规、切实有效。</w:t>
      </w:r>
    </w:p>
    <w:p w14:paraId="46F923D9">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3</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rPr>
        <w:t>较大环境事件（Ⅲ级）</w:t>
      </w:r>
      <w:r>
        <w:rPr>
          <w:rFonts w:hint="default" w:ascii="仿宋_GB2312" w:hAnsi="仿宋_GB2312" w:eastAsia="仿宋_GB2312" w:cs="仿宋_GB2312"/>
          <w:snapToGrid w:val="0"/>
          <w:color w:val="auto"/>
          <w:kern w:val="0"/>
          <w:sz w:val="32"/>
          <w:szCs w:val="32"/>
          <w:lang w:val="en-US" w:eastAsia="zh-CN"/>
        </w:rPr>
        <w:t>：邀请4-6名专家，以区级专家为主、市级专家为辅，涵盖事件相关专业领域，重点指导现场应急监测、污染处置技术实施、风险防控等工作，协助指挥部优化处置流程，提升处置效率。</w:t>
      </w:r>
    </w:p>
    <w:p w14:paraId="7027608F">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4</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rPr>
        <w:t>一般环境事件（Ⅳ级）</w:t>
      </w:r>
      <w:r>
        <w:rPr>
          <w:rFonts w:hint="default" w:ascii="仿宋_GB2312" w:hAnsi="仿宋_GB2312" w:eastAsia="仿宋_GB2312" w:cs="仿宋_GB2312"/>
          <w:snapToGrid w:val="0"/>
          <w:color w:val="auto"/>
          <w:kern w:val="0"/>
          <w:sz w:val="32"/>
          <w:szCs w:val="32"/>
          <w:lang w:val="en-US" w:eastAsia="zh-CN"/>
        </w:rPr>
        <w:t>：邀请2-4名专家，以区级专家为主，聚焦事件处置核心环节，提供针对性技术指导，协助开展污染溯源、处置措施优化等工作，确保事件快速得到控制，减少环境影响。</w:t>
      </w:r>
    </w:p>
    <w:p w14:paraId="1E88B286">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楷体_GB2312" w:hAnsi="楷体_GB2312" w:eastAsia="楷体_GB2312" w:cs="楷体_GB2312"/>
          <w:b/>
          <w:bCs/>
          <w:snapToGrid w:val="0"/>
          <w:color w:val="auto"/>
          <w:kern w:val="0"/>
          <w:sz w:val="32"/>
          <w:szCs w:val="32"/>
          <w:lang w:val="en-US" w:eastAsia="zh-CN"/>
        </w:rPr>
        <w:t>三、专家职责：</w:t>
      </w:r>
      <w:r>
        <w:rPr>
          <w:rFonts w:hint="default" w:ascii="仿宋_GB2312" w:hAnsi="仿宋_GB2312" w:eastAsia="仿宋_GB2312" w:cs="仿宋_GB2312"/>
          <w:snapToGrid w:val="0"/>
          <w:color w:val="auto"/>
          <w:kern w:val="0"/>
          <w:sz w:val="32"/>
          <w:szCs w:val="32"/>
          <w:lang w:val="en-US" w:eastAsia="zh-CN"/>
        </w:rPr>
        <w:t>受邀专家需在规定时间内抵达现场，参与事件研判、处置方案制定，指导现场应急处置操作，评估处置效果，提出后续生态修复、风险防控建议，全程参与事件处置总结评估，为预案优化、演练改进提供技术支撑。</w:t>
      </w:r>
    </w:p>
    <w:p w14:paraId="62C6AAC0">
      <w:pPr>
        <w:keepNext w:val="0"/>
        <w:keepLines w:val="0"/>
        <w:pageBreakBefore w:val="0"/>
        <w:widowControl/>
        <w:kinsoku/>
        <w:wordWrap/>
        <w:overflowPunct/>
        <w:topLinePunct w:val="0"/>
        <w:autoSpaceDE/>
        <w:autoSpaceDN/>
        <w:bidi w:val="0"/>
        <w:adjustRightInd/>
        <w:snapToGrid w:val="0"/>
        <w:spacing w:line="600" w:lineRule="exact"/>
        <w:ind w:firstLine="480"/>
        <w:jc w:val="both"/>
        <w:textAlignment w:val="auto"/>
        <w:rPr>
          <w:rFonts w:hint="default" w:ascii="仿宋_GB2312" w:hAnsi="仿宋_GB2312" w:eastAsia="仿宋_GB2312" w:cs="仿宋_GB2312"/>
          <w:snapToGrid w:val="0"/>
          <w:color w:val="auto"/>
          <w:kern w:val="0"/>
          <w:sz w:val="32"/>
          <w:szCs w:val="32"/>
        </w:rPr>
        <w:sectPr>
          <w:pgSz w:w="11906" w:h="16838"/>
          <w:pgMar w:top="2098" w:right="1474" w:bottom="1984" w:left="1587" w:header="851" w:footer="992" w:gutter="0"/>
          <w:pgNumType w:fmt="decimal"/>
          <w:cols w:space="425" w:num="1"/>
          <w:docGrid w:type="lines" w:linePitch="312" w:charSpace="0"/>
        </w:sectPr>
      </w:pPr>
    </w:p>
    <w:p w14:paraId="139B87D8">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ascii="方正小标宋简体" w:hAnsi="方正小标宋简体" w:eastAsia="方正小标宋简体" w:cs="方正小标宋简体"/>
          <w:b w:val="0"/>
          <w:bCs/>
          <w:color w:val="auto"/>
        </w:rPr>
      </w:pPr>
      <w:bookmarkStart w:id="213" w:name="_Toc8777"/>
      <w:bookmarkStart w:id="214" w:name="_Toc3072"/>
      <w:bookmarkStart w:id="215" w:name="_Toc3747"/>
      <w:r>
        <w:rPr>
          <w:rFonts w:hint="eastAsia" w:ascii="方正小标宋简体" w:hAnsi="方正小标宋简体" w:eastAsia="方正小标宋简体" w:cs="方正小标宋简体"/>
          <w:b w:val="0"/>
          <w:bCs/>
          <w:color w:val="auto"/>
        </w:rPr>
        <w:t>宣传教育、培训与演练</w:t>
      </w:r>
      <w:bookmarkEnd w:id="213"/>
      <w:bookmarkEnd w:id="214"/>
      <w:bookmarkEnd w:id="215"/>
    </w:p>
    <w:p w14:paraId="4450D854">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kern w:val="0"/>
          <w:sz w:val="32"/>
          <w:szCs w:val="32"/>
        </w:rPr>
      </w:pPr>
      <w:bookmarkStart w:id="216" w:name="_Toc19089"/>
      <w:bookmarkStart w:id="217" w:name="_Toc15034"/>
      <w:bookmarkStart w:id="218" w:name="_Toc10401"/>
      <w:r>
        <w:rPr>
          <w:rFonts w:hint="eastAsia" w:ascii="黑体" w:hAnsi="黑体" w:eastAsia="黑体" w:cs="黑体"/>
          <w:b w:val="0"/>
          <w:bCs w:val="0"/>
          <w:snapToGrid w:val="0"/>
          <w:color w:val="auto"/>
          <w:kern w:val="0"/>
          <w:sz w:val="32"/>
          <w:szCs w:val="32"/>
        </w:rPr>
        <w:t>宣传教育</w:t>
      </w:r>
      <w:bookmarkEnd w:id="216"/>
      <w:bookmarkEnd w:id="217"/>
      <w:bookmarkEnd w:id="218"/>
    </w:p>
    <w:p w14:paraId="68C3C1A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应急指挥部及其成员单位应加强环境保护科普宣传和教育工作，广泛宣传环境污染事件的预防与避险常识，增强公众的防范意识和相关心理准备，提高公众的防范能力。</w:t>
      </w:r>
    </w:p>
    <w:p w14:paraId="0A1F457B">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kern w:val="0"/>
          <w:sz w:val="32"/>
          <w:szCs w:val="32"/>
        </w:rPr>
      </w:pPr>
      <w:bookmarkStart w:id="219" w:name="_Toc5624"/>
      <w:bookmarkStart w:id="220" w:name="_Toc20498"/>
      <w:bookmarkStart w:id="221" w:name="_Toc896"/>
      <w:r>
        <w:rPr>
          <w:rFonts w:hint="default" w:ascii="黑体" w:hAnsi="黑体" w:eastAsia="黑体" w:cs="黑体"/>
          <w:b w:val="0"/>
          <w:bCs w:val="0"/>
          <w:snapToGrid w:val="0"/>
          <w:color w:val="auto"/>
          <w:kern w:val="0"/>
          <w:sz w:val="32"/>
          <w:szCs w:val="32"/>
        </w:rPr>
        <w:t>培训</w:t>
      </w:r>
      <w:bookmarkEnd w:id="219"/>
      <w:bookmarkEnd w:id="220"/>
      <w:bookmarkEnd w:id="221"/>
    </w:p>
    <w:p w14:paraId="2C69035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应急指挥部及其成员单位应加强突发环境事件专业技术人员的日常培训和重要岗位工作人员的培训，培养一批训练有素的环境应急处置、检验、监测等专门人才。</w:t>
      </w:r>
    </w:p>
    <w:p w14:paraId="406F04DF">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kern w:val="0"/>
          <w:sz w:val="32"/>
          <w:szCs w:val="32"/>
        </w:rPr>
      </w:pPr>
      <w:bookmarkStart w:id="222" w:name="_Toc13412"/>
      <w:bookmarkStart w:id="223" w:name="_Toc29321"/>
      <w:bookmarkStart w:id="224" w:name="_Toc20800"/>
      <w:r>
        <w:rPr>
          <w:rFonts w:hint="default" w:ascii="黑体" w:hAnsi="黑体" w:eastAsia="黑体" w:cs="黑体"/>
          <w:b w:val="0"/>
          <w:bCs w:val="0"/>
          <w:snapToGrid w:val="0"/>
          <w:color w:val="auto"/>
          <w:kern w:val="0"/>
          <w:sz w:val="32"/>
          <w:szCs w:val="32"/>
        </w:rPr>
        <w:t>演练</w:t>
      </w:r>
      <w:bookmarkEnd w:id="222"/>
      <w:bookmarkEnd w:id="223"/>
      <w:bookmarkEnd w:id="224"/>
    </w:p>
    <w:p w14:paraId="4C0E0629">
      <w:pPr>
        <w:pStyle w:val="36"/>
        <w:pageBreakBefore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bCs/>
          <w:snapToGrid w:val="0"/>
          <w:color w:val="auto"/>
          <w:kern w:val="0"/>
          <w:sz w:val="32"/>
          <w:szCs w:val="32"/>
        </w:rPr>
      </w:pPr>
      <w:r>
        <w:rPr>
          <w:rFonts w:hint="eastAsia" w:ascii="楷体_GB2312" w:hAnsi="楷体_GB2312" w:eastAsia="楷体_GB2312" w:cs="楷体_GB2312"/>
          <w:bCs/>
          <w:snapToGrid w:val="0"/>
          <w:color w:val="auto"/>
          <w:kern w:val="0"/>
          <w:sz w:val="32"/>
          <w:szCs w:val="32"/>
          <w:lang w:val="en-US" w:eastAsia="zh-CN"/>
        </w:rPr>
        <w:t>演练计划</w:t>
      </w:r>
    </w:p>
    <w:p w14:paraId="2FB5701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kern w:val="0"/>
          <w:sz w:val="32"/>
          <w:szCs w:val="32"/>
          <w:lang w:eastAsia="zh-CN"/>
        </w:rPr>
      </w:pP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指挥部要按照本预案及相关单项预案的要求，每年不少于一次进行组织突发环境事件应急实战演练，磨合机制、锻炼队伍、完善预案，演练应从实战角度出发，深入发动群众参与，达到普及应急知识和提高环境应急技能的目的，切实提高防范和处置突发环境事件的实战能力</w:t>
      </w:r>
      <w:r>
        <w:rPr>
          <w:rFonts w:hint="eastAsia" w:ascii="仿宋_GB2312" w:hAnsi="仿宋_GB2312" w:eastAsia="仿宋_GB2312" w:cs="仿宋_GB2312"/>
          <w:snapToGrid w:val="0"/>
          <w:color w:val="auto"/>
          <w:kern w:val="0"/>
          <w:sz w:val="32"/>
          <w:szCs w:val="32"/>
          <w:lang w:eastAsia="zh-CN"/>
        </w:rPr>
        <w:t>。</w:t>
      </w:r>
    </w:p>
    <w:p w14:paraId="18065FB7">
      <w:pPr>
        <w:pStyle w:val="36"/>
        <w:pageBreakBefore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bCs/>
          <w:snapToGrid w:val="0"/>
          <w:color w:val="auto"/>
          <w:kern w:val="0"/>
          <w:sz w:val="32"/>
          <w:szCs w:val="32"/>
          <w:lang w:val="en-US" w:eastAsia="zh-CN"/>
        </w:rPr>
      </w:pPr>
      <w:r>
        <w:rPr>
          <w:rFonts w:hint="eastAsia" w:ascii="楷体_GB2312" w:hAnsi="楷体_GB2312" w:eastAsia="楷体_GB2312" w:cs="楷体_GB2312"/>
          <w:bCs/>
          <w:snapToGrid w:val="0"/>
          <w:color w:val="auto"/>
          <w:kern w:val="0"/>
          <w:sz w:val="32"/>
          <w:szCs w:val="32"/>
          <w:lang w:val="en-US" w:eastAsia="zh-CN"/>
        </w:rPr>
        <w:t>历年演练具体情况</w:t>
      </w:r>
    </w:p>
    <w:p w14:paraId="07C0ABC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lang w:val="en-US" w:eastAsia="zh-CN"/>
        </w:rPr>
      </w:pPr>
      <w:r>
        <w:rPr>
          <w:rFonts w:hint="default" w:ascii="仿宋_GB2312" w:hAnsi="仿宋_GB2312" w:eastAsia="仿宋_GB2312" w:cs="仿宋_GB2312"/>
          <w:b/>
          <w:bCs/>
          <w:snapToGrid w:val="0"/>
          <w:color w:val="auto"/>
          <w:kern w:val="0"/>
          <w:sz w:val="32"/>
          <w:szCs w:val="32"/>
          <w:lang w:eastAsia="zh-CN"/>
        </w:rPr>
        <w:t>（</w:t>
      </w:r>
      <w:r>
        <w:rPr>
          <w:rFonts w:hint="eastAsia" w:ascii="仿宋_GB2312" w:hAnsi="仿宋_GB2312" w:eastAsia="仿宋_GB2312" w:cs="仿宋_GB2312"/>
          <w:b/>
          <w:bCs/>
          <w:snapToGrid w:val="0"/>
          <w:color w:val="auto"/>
          <w:kern w:val="0"/>
          <w:sz w:val="32"/>
          <w:szCs w:val="32"/>
          <w:lang w:val="en-US" w:eastAsia="zh-CN"/>
        </w:rPr>
        <w:t>一</w:t>
      </w:r>
      <w:r>
        <w:rPr>
          <w:rFonts w:hint="default" w:ascii="仿宋_GB2312" w:hAnsi="仿宋_GB2312" w:eastAsia="仿宋_GB2312" w:cs="仿宋_GB2312"/>
          <w:b/>
          <w:bCs/>
          <w:snapToGrid w:val="0"/>
          <w:color w:val="auto"/>
          <w:kern w:val="0"/>
          <w:sz w:val="32"/>
          <w:szCs w:val="32"/>
          <w:lang w:eastAsia="zh-CN"/>
        </w:rPr>
        <w:t>）</w:t>
      </w:r>
      <w:r>
        <w:rPr>
          <w:rFonts w:hint="default" w:ascii="仿宋_GB2312" w:hAnsi="仿宋_GB2312" w:eastAsia="仿宋_GB2312" w:cs="仿宋_GB2312"/>
          <w:b/>
          <w:bCs/>
          <w:snapToGrid w:val="0"/>
          <w:color w:val="auto"/>
          <w:kern w:val="0"/>
          <w:sz w:val="32"/>
          <w:szCs w:val="32"/>
          <w:lang w:val="en-US" w:eastAsia="zh-CN"/>
        </w:rPr>
        <w:t>2024年演练情况</w:t>
      </w:r>
    </w:p>
    <w:p w14:paraId="36C9BD1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1</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演练主题：2024年景德镇市生态环境局突发环境事件应急演练</w:t>
      </w:r>
    </w:p>
    <w:p w14:paraId="7129E19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2</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演练时间：</w:t>
      </w:r>
      <w:r>
        <w:rPr>
          <w:rFonts w:hint="eastAsia" w:ascii="仿宋_GB2312" w:hAnsi="仿宋_GB2312" w:eastAsia="仿宋_GB2312" w:cs="仿宋_GB2312"/>
          <w:snapToGrid w:val="0"/>
          <w:color w:val="auto"/>
          <w:kern w:val="0"/>
          <w:sz w:val="32"/>
          <w:szCs w:val="32"/>
          <w:lang w:val="en-US" w:eastAsia="zh-CN"/>
        </w:rPr>
        <w:t>2024</w:t>
      </w:r>
      <w:r>
        <w:rPr>
          <w:rFonts w:hint="default" w:ascii="仿宋_GB2312" w:hAnsi="仿宋_GB2312" w:eastAsia="仿宋_GB2312" w:cs="仿宋_GB2312"/>
          <w:snapToGrid w:val="0"/>
          <w:color w:val="auto"/>
          <w:kern w:val="0"/>
          <w:sz w:val="32"/>
          <w:szCs w:val="32"/>
          <w:lang w:val="en-US" w:eastAsia="zh-CN"/>
        </w:rPr>
        <w:t>年</w:t>
      </w:r>
      <w:r>
        <w:rPr>
          <w:rFonts w:hint="eastAsia" w:ascii="仿宋_GB2312" w:hAnsi="仿宋_GB2312" w:eastAsia="仿宋_GB2312" w:cs="仿宋_GB2312"/>
          <w:snapToGrid w:val="0"/>
          <w:color w:val="auto"/>
          <w:kern w:val="0"/>
          <w:sz w:val="32"/>
          <w:szCs w:val="32"/>
          <w:lang w:val="en-US" w:eastAsia="zh-CN"/>
        </w:rPr>
        <w:t>12</w:t>
      </w:r>
      <w:r>
        <w:rPr>
          <w:rFonts w:hint="default" w:ascii="仿宋_GB2312" w:hAnsi="仿宋_GB2312" w:eastAsia="仿宋_GB2312" w:cs="仿宋_GB2312"/>
          <w:snapToGrid w:val="0"/>
          <w:color w:val="auto"/>
          <w:kern w:val="0"/>
          <w:sz w:val="32"/>
          <w:szCs w:val="32"/>
          <w:lang w:val="en-US" w:eastAsia="zh-CN"/>
        </w:rPr>
        <w:t>月</w:t>
      </w:r>
      <w:r>
        <w:rPr>
          <w:rFonts w:hint="eastAsia" w:ascii="仿宋_GB2312" w:hAnsi="仿宋_GB2312" w:eastAsia="仿宋_GB2312" w:cs="仿宋_GB2312"/>
          <w:snapToGrid w:val="0"/>
          <w:color w:val="auto"/>
          <w:kern w:val="0"/>
          <w:sz w:val="32"/>
          <w:szCs w:val="32"/>
          <w:lang w:val="en-US" w:eastAsia="zh-CN"/>
        </w:rPr>
        <w:t>11</w:t>
      </w:r>
      <w:r>
        <w:rPr>
          <w:rFonts w:hint="default" w:ascii="仿宋_GB2312" w:hAnsi="仿宋_GB2312" w:eastAsia="仿宋_GB2312" w:cs="仿宋_GB2312"/>
          <w:snapToGrid w:val="0"/>
          <w:color w:val="auto"/>
          <w:kern w:val="0"/>
          <w:sz w:val="32"/>
          <w:szCs w:val="32"/>
          <w:lang w:val="en-US" w:eastAsia="zh-CN"/>
        </w:rPr>
        <w:t>日</w:t>
      </w:r>
    </w:p>
    <w:p w14:paraId="3E909AA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3</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演练地点：江西富祥药业股份有限公司</w:t>
      </w:r>
    </w:p>
    <w:p w14:paraId="4CF1DC4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4.</w:t>
      </w:r>
      <w:r>
        <w:rPr>
          <w:rFonts w:hint="default" w:ascii="仿宋_GB2312" w:hAnsi="仿宋_GB2312" w:eastAsia="仿宋_GB2312" w:cs="仿宋_GB2312"/>
          <w:snapToGrid w:val="0"/>
          <w:color w:val="auto"/>
          <w:kern w:val="0"/>
          <w:sz w:val="32"/>
          <w:szCs w:val="32"/>
          <w:lang w:val="en-US" w:eastAsia="zh-CN"/>
        </w:rPr>
        <w:t>演练内容：此次演练全过程采用无脚本形式进行，模拟“江西富祥药业股份有限公司厂区3A罐区A8丙酮成品大储罐V381009出料管道法兰腐蚀破损泄漏，操作人员在救出伤员后清理泄漏物料时由于处置不当，泄漏物料被点燃导致事态扩大”场景进行应急演练</w:t>
      </w:r>
      <w:r>
        <w:rPr>
          <w:rFonts w:hint="eastAsia" w:ascii="仿宋_GB2312" w:hAnsi="仿宋_GB2312" w:eastAsia="仿宋_GB2312" w:cs="仿宋_GB2312"/>
          <w:snapToGrid w:val="0"/>
          <w:color w:val="auto"/>
          <w:kern w:val="0"/>
          <w:sz w:val="32"/>
          <w:szCs w:val="32"/>
          <w:lang w:val="en-US" w:eastAsia="zh-CN"/>
        </w:rPr>
        <w:t>。</w:t>
      </w:r>
    </w:p>
    <w:p w14:paraId="58DDB49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模拟事件发生后，市生态环境局一接到事故报告就迅速依案启动突发环境事件应急响应，成立现场指挥部，各工作组迅速就位，开展现场灭火、封堵、将事故污水引入事故应急池等应急举措，同时对厂区外围大气和水体开展应急监测，在各工作组的共同配合下，污染源的泄漏或释放降至规定限值以内，现场洗消废水全部引入事故应急池待处理达标后排放，环境符合有关标准，可导致次生事故的隐患已消除。</w:t>
      </w:r>
    </w:p>
    <w:p w14:paraId="369B213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5</w:t>
      </w:r>
      <w:r>
        <w:rPr>
          <w:rFonts w:hint="default" w:ascii="仿宋_GB2312" w:hAnsi="仿宋_GB2312" w:eastAsia="仿宋_GB2312" w:cs="仿宋_GB2312"/>
          <w:snapToGrid w:val="0"/>
          <w:color w:val="auto"/>
          <w:kern w:val="0"/>
          <w:sz w:val="32"/>
          <w:szCs w:val="32"/>
          <w:lang w:val="en-US" w:eastAsia="zh-CN"/>
        </w:rPr>
        <w:t>、演练成效：演练过程结合实际，贴近实战，注重实效，有效检验了我</w:t>
      </w:r>
      <w:r>
        <w:rPr>
          <w:rFonts w:hint="eastAsia" w:ascii="仿宋_GB2312" w:hAnsi="仿宋_GB2312" w:eastAsia="仿宋_GB2312" w:cs="仿宋_GB2312"/>
          <w:snapToGrid w:val="0"/>
          <w:color w:val="auto"/>
          <w:kern w:val="0"/>
          <w:sz w:val="32"/>
          <w:szCs w:val="32"/>
          <w:lang w:val="en-US" w:eastAsia="zh-CN"/>
        </w:rPr>
        <w:t>区</w:t>
      </w:r>
      <w:r>
        <w:rPr>
          <w:rFonts w:hint="default" w:ascii="仿宋_GB2312" w:hAnsi="仿宋_GB2312" w:eastAsia="仿宋_GB2312" w:cs="仿宋_GB2312"/>
          <w:snapToGrid w:val="0"/>
          <w:color w:val="auto"/>
          <w:kern w:val="0"/>
          <w:sz w:val="32"/>
          <w:szCs w:val="32"/>
          <w:lang w:val="en-US" w:eastAsia="zh-CN"/>
        </w:rPr>
        <w:t>环境应急响应和快速应急处置能力，通过演练进一步强化</w:t>
      </w:r>
      <w:r>
        <w:rPr>
          <w:rFonts w:hint="eastAsia" w:ascii="仿宋_GB2312" w:hAnsi="仿宋_GB2312" w:eastAsia="仿宋_GB2312" w:cs="仿宋_GB2312"/>
          <w:snapToGrid w:val="0"/>
          <w:color w:val="auto"/>
          <w:kern w:val="0"/>
          <w:sz w:val="32"/>
          <w:szCs w:val="32"/>
          <w:lang w:val="en-US" w:eastAsia="zh-CN"/>
        </w:rPr>
        <w:t>我区</w:t>
      </w:r>
      <w:r>
        <w:rPr>
          <w:rFonts w:hint="default" w:ascii="仿宋_GB2312" w:hAnsi="仿宋_GB2312" w:eastAsia="仿宋_GB2312" w:cs="仿宋_GB2312"/>
          <w:snapToGrid w:val="0"/>
          <w:color w:val="auto"/>
          <w:kern w:val="0"/>
          <w:sz w:val="32"/>
          <w:szCs w:val="32"/>
          <w:lang w:val="en-US" w:eastAsia="zh-CN"/>
        </w:rPr>
        <w:t>生态环境队伍应急处置和协调配合能力</w:t>
      </w:r>
      <w:r>
        <w:rPr>
          <w:rFonts w:hint="eastAsia" w:ascii="仿宋_GB2312" w:hAnsi="仿宋_GB2312" w:eastAsia="仿宋_GB2312" w:cs="仿宋_GB2312"/>
          <w:snapToGrid w:val="0"/>
          <w:color w:val="auto"/>
          <w:kern w:val="0"/>
          <w:sz w:val="32"/>
          <w:szCs w:val="32"/>
          <w:lang w:val="en-US" w:eastAsia="zh-CN"/>
        </w:rPr>
        <w:t>。</w:t>
      </w:r>
    </w:p>
    <w:p w14:paraId="62B1407E">
      <w:pPr>
        <w:keepNext w:val="0"/>
        <w:keepLines w:val="0"/>
        <w:pageBreakBefore w:val="0"/>
        <w:widowControl/>
        <w:kinsoku/>
        <w:wordWrap/>
        <w:overflowPunct/>
        <w:topLinePunct w:val="0"/>
        <w:autoSpaceDE/>
        <w:autoSpaceDN/>
        <w:bidi w:val="0"/>
        <w:adjustRightInd/>
        <w:snapToGrid/>
        <w:spacing w:line="600" w:lineRule="exact"/>
        <w:ind w:left="0" w:leftChars="0" w:firstLine="643" w:firstLineChars="200"/>
        <w:jc w:val="both"/>
        <w:textAlignment w:val="auto"/>
        <w:rPr>
          <w:rFonts w:hint="default" w:ascii="仿宋_GB2312" w:hAnsi="仿宋_GB2312" w:eastAsia="仿宋_GB2312" w:cs="仿宋_GB2312"/>
          <w:b/>
          <w:bCs/>
          <w:snapToGrid w:val="0"/>
          <w:color w:val="auto"/>
          <w:kern w:val="0"/>
          <w:sz w:val="32"/>
          <w:szCs w:val="32"/>
          <w:lang w:val="en-US" w:eastAsia="zh-CN"/>
        </w:rPr>
      </w:pPr>
      <w:r>
        <w:rPr>
          <w:rFonts w:hint="default" w:ascii="仿宋_GB2312" w:hAnsi="仿宋_GB2312" w:eastAsia="仿宋_GB2312" w:cs="仿宋_GB2312"/>
          <w:b/>
          <w:bCs/>
          <w:snapToGrid w:val="0"/>
          <w:color w:val="auto"/>
          <w:kern w:val="0"/>
          <w:sz w:val="32"/>
          <w:szCs w:val="32"/>
          <w:lang w:eastAsia="zh-CN"/>
        </w:rPr>
        <w:t>（</w:t>
      </w:r>
      <w:r>
        <w:rPr>
          <w:rFonts w:hint="eastAsia" w:ascii="仿宋_GB2312" w:hAnsi="仿宋_GB2312" w:eastAsia="仿宋_GB2312" w:cs="仿宋_GB2312"/>
          <w:b/>
          <w:bCs/>
          <w:snapToGrid w:val="0"/>
          <w:color w:val="auto"/>
          <w:kern w:val="0"/>
          <w:sz w:val="32"/>
          <w:szCs w:val="32"/>
          <w:lang w:val="en-US" w:eastAsia="zh-CN"/>
        </w:rPr>
        <w:t>二</w:t>
      </w:r>
      <w:r>
        <w:rPr>
          <w:rFonts w:hint="default" w:ascii="仿宋_GB2312" w:hAnsi="仿宋_GB2312" w:eastAsia="仿宋_GB2312" w:cs="仿宋_GB2312"/>
          <w:b/>
          <w:bCs/>
          <w:snapToGrid w:val="0"/>
          <w:color w:val="auto"/>
          <w:kern w:val="0"/>
          <w:sz w:val="32"/>
          <w:szCs w:val="32"/>
          <w:lang w:eastAsia="zh-CN"/>
        </w:rPr>
        <w:t>）</w:t>
      </w:r>
      <w:r>
        <w:rPr>
          <w:rFonts w:hint="default" w:ascii="仿宋_GB2312" w:hAnsi="仿宋_GB2312" w:eastAsia="仿宋_GB2312" w:cs="仿宋_GB2312"/>
          <w:b/>
          <w:bCs/>
          <w:snapToGrid w:val="0"/>
          <w:color w:val="auto"/>
          <w:kern w:val="0"/>
          <w:sz w:val="32"/>
          <w:szCs w:val="32"/>
          <w:lang w:val="en-US" w:eastAsia="zh-CN"/>
        </w:rPr>
        <w:t>202</w:t>
      </w:r>
      <w:r>
        <w:rPr>
          <w:rFonts w:hint="eastAsia" w:ascii="仿宋_GB2312" w:hAnsi="仿宋_GB2312" w:eastAsia="仿宋_GB2312" w:cs="仿宋_GB2312"/>
          <w:b/>
          <w:bCs/>
          <w:snapToGrid w:val="0"/>
          <w:color w:val="auto"/>
          <w:kern w:val="0"/>
          <w:sz w:val="32"/>
          <w:szCs w:val="32"/>
          <w:lang w:val="en-US" w:eastAsia="zh-CN"/>
        </w:rPr>
        <w:t>5</w:t>
      </w:r>
      <w:r>
        <w:rPr>
          <w:rFonts w:hint="default" w:ascii="仿宋_GB2312" w:hAnsi="仿宋_GB2312" w:eastAsia="仿宋_GB2312" w:cs="仿宋_GB2312"/>
          <w:b/>
          <w:bCs/>
          <w:snapToGrid w:val="0"/>
          <w:color w:val="auto"/>
          <w:kern w:val="0"/>
          <w:sz w:val="32"/>
          <w:szCs w:val="32"/>
          <w:lang w:val="en-US" w:eastAsia="zh-CN"/>
        </w:rPr>
        <w:t>年演练情况</w:t>
      </w:r>
    </w:p>
    <w:p w14:paraId="3B94F30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1</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演练主题：2025年突发环境事故综合应急演练暨环境应急比武练兵活动</w:t>
      </w:r>
    </w:p>
    <w:p w14:paraId="7BA26F2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2</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演练时间：</w:t>
      </w:r>
      <w:r>
        <w:rPr>
          <w:rFonts w:hint="eastAsia" w:ascii="仿宋_GB2312" w:hAnsi="仿宋_GB2312" w:eastAsia="仿宋_GB2312" w:cs="仿宋_GB2312"/>
          <w:snapToGrid w:val="0"/>
          <w:color w:val="auto"/>
          <w:kern w:val="0"/>
          <w:sz w:val="32"/>
          <w:szCs w:val="32"/>
          <w:lang w:val="en-US" w:eastAsia="zh-CN"/>
        </w:rPr>
        <w:t>2025</w:t>
      </w:r>
      <w:r>
        <w:rPr>
          <w:rFonts w:hint="default" w:ascii="仿宋_GB2312" w:hAnsi="仿宋_GB2312" w:eastAsia="仿宋_GB2312" w:cs="仿宋_GB2312"/>
          <w:snapToGrid w:val="0"/>
          <w:color w:val="auto"/>
          <w:kern w:val="0"/>
          <w:sz w:val="32"/>
          <w:szCs w:val="32"/>
          <w:lang w:val="en-US" w:eastAsia="zh-CN"/>
        </w:rPr>
        <w:t>年</w:t>
      </w:r>
      <w:r>
        <w:rPr>
          <w:rFonts w:hint="eastAsia" w:ascii="仿宋_GB2312" w:hAnsi="仿宋_GB2312" w:eastAsia="仿宋_GB2312" w:cs="仿宋_GB2312"/>
          <w:snapToGrid w:val="0"/>
          <w:color w:val="auto"/>
          <w:kern w:val="0"/>
          <w:sz w:val="32"/>
          <w:szCs w:val="32"/>
          <w:lang w:val="en-US" w:eastAsia="zh-CN"/>
        </w:rPr>
        <w:t>6</w:t>
      </w:r>
      <w:r>
        <w:rPr>
          <w:rFonts w:hint="default" w:ascii="仿宋_GB2312" w:hAnsi="仿宋_GB2312" w:eastAsia="仿宋_GB2312" w:cs="仿宋_GB2312"/>
          <w:snapToGrid w:val="0"/>
          <w:color w:val="auto"/>
          <w:kern w:val="0"/>
          <w:sz w:val="32"/>
          <w:szCs w:val="32"/>
          <w:lang w:val="en-US" w:eastAsia="zh-CN"/>
        </w:rPr>
        <w:t>月</w:t>
      </w:r>
      <w:r>
        <w:rPr>
          <w:rFonts w:hint="eastAsia" w:ascii="仿宋_GB2312" w:hAnsi="仿宋_GB2312" w:eastAsia="仿宋_GB2312" w:cs="仿宋_GB2312"/>
          <w:snapToGrid w:val="0"/>
          <w:color w:val="auto"/>
          <w:kern w:val="0"/>
          <w:sz w:val="32"/>
          <w:szCs w:val="32"/>
          <w:lang w:val="en-US" w:eastAsia="zh-CN"/>
        </w:rPr>
        <w:t>26</w:t>
      </w:r>
      <w:r>
        <w:rPr>
          <w:rFonts w:hint="default" w:ascii="仿宋_GB2312" w:hAnsi="仿宋_GB2312" w:eastAsia="仿宋_GB2312" w:cs="仿宋_GB2312"/>
          <w:snapToGrid w:val="0"/>
          <w:color w:val="auto"/>
          <w:kern w:val="0"/>
          <w:sz w:val="32"/>
          <w:szCs w:val="32"/>
          <w:lang w:val="en-US" w:eastAsia="zh-CN"/>
        </w:rPr>
        <w:t>日</w:t>
      </w:r>
    </w:p>
    <w:p w14:paraId="5C825BE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3</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演练地点：景德镇黑猫</w:t>
      </w:r>
      <w:r>
        <w:rPr>
          <w:rFonts w:hint="eastAsia" w:ascii="仿宋_GB2312" w:hAnsi="仿宋_GB2312" w:eastAsia="仿宋_GB2312" w:cs="仿宋_GB2312"/>
          <w:snapToGrid w:val="0"/>
          <w:color w:val="auto"/>
          <w:kern w:val="0"/>
          <w:sz w:val="32"/>
          <w:szCs w:val="32"/>
          <w:lang w:val="en-US" w:eastAsia="zh-CN"/>
        </w:rPr>
        <w:t>集团</w:t>
      </w:r>
      <w:r>
        <w:rPr>
          <w:rFonts w:hint="default" w:ascii="仿宋_GB2312" w:hAnsi="仿宋_GB2312" w:eastAsia="仿宋_GB2312" w:cs="仿宋_GB2312"/>
          <w:snapToGrid w:val="0"/>
          <w:color w:val="auto"/>
          <w:kern w:val="0"/>
          <w:sz w:val="32"/>
          <w:szCs w:val="32"/>
          <w:lang w:val="en-US" w:eastAsia="zh-CN"/>
        </w:rPr>
        <w:t>有限</w:t>
      </w:r>
      <w:r>
        <w:rPr>
          <w:rFonts w:hint="eastAsia" w:ascii="仿宋_GB2312" w:hAnsi="仿宋_GB2312" w:eastAsia="仿宋_GB2312" w:cs="仿宋_GB2312"/>
          <w:snapToGrid w:val="0"/>
          <w:color w:val="auto"/>
          <w:kern w:val="0"/>
          <w:sz w:val="32"/>
          <w:szCs w:val="32"/>
          <w:lang w:val="en-US" w:eastAsia="zh-CN"/>
        </w:rPr>
        <w:t>责任</w:t>
      </w:r>
      <w:r>
        <w:rPr>
          <w:rFonts w:hint="default" w:ascii="仿宋_GB2312" w:hAnsi="仿宋_GB2312" w:eastAsia="仿宋_GB2312" w:cs="仿宋_GB2312"/>
          <w:snapToGrid w:val="0"/>
          <w:color w:val="auto"/>
          <w:kern w:val="0"/>
          <w:sz w:val="32"/>
          <w:szCs w:val="32"/>
          <w:lang w:val="en-US" w:eastAsia="zh-CN"/>
        </w:rPr>
        <w:t>公司</w:t>
      </w:r>
    </w:p>
    <w:p w14:paraId="0ECC01E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4.</w:t>
      </w:r>
      <w:r>
        <w:rPr>
          <w:rFonts w:hint="default" w:ascii="仿宋_GB2312" w:hAnsi="仿宋_GB2312" w:eastAsia="仿宋_GB2312" w:cs="仿宋_GB2312"/>
          <w:snapToGrid w:val="0"/>
          <w:color w:val="auto"/>
          <w:kern w:val="0"/>
          <w:sz w:val="32"/>
          <w:szCs w:val="32"/>
          <w:lang w:val="en-US" w:eastAsia="zh-CN"/>
        </w:rPr>
        <w:t>演练内容：演练以“盐酸槽罐泄漏流入外环境”为背景，模拟事故发生后，车间员工第一时间触发报警装置，应急指挥部迅速启动《危险化学品泄漏应急预案》。现场处置组携带防化服、中和剂等装备快速抵达，在警戒隔离、侦检溯源、泄漏封堵、废水收集等环节中，严格按照“研判-处置-监测-评估”流程操作。江西省景德镇生态环境监测中心同步开展大气、水体应急监测，执法人员运用便携式水质检测仪等高科技设备，对污染扩散范围实施动态追踪，全程展现“快速响应、科学处置、精准管控”的应急处置体系。</w:t>
      </w:r>
    </w:p>
    <w:p w14:paraId="53A96A5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宋体" w:hAnsi="宋体" w:cs="宋体"/>
          <w:color w:val="auto"/>
          <w:kern w:val="0"/>
          <w:sz w:val="24"/>
          <w:szCs w:val="24"/>
          <w:lang w:val="en-US" w:eastAsia="zh-CN" w:bidi="ar"/>
        </w:rPr>
      </w:pPr>
      <w:r>
        <w:rPr>
          <w:rFonts w:hint="eastAsia" w:ascii="仿宋_GB2312" w:hAnsi="仿宋_GB2312" w:eastAsia="仿宋_GB2312" w:cs="仿宋_GB2312"/>
          <w:snapToGrid w:val="0"/>
          <w:color w:val="auto"/>
          <w:kern w:val="0"/>
          <w:sz w:val="32"/>
          <w:szCs w:val="32"/>
          <w:lang w:val="en-US" w:eastAsia="zh-CN"/>
        </w:rPr>
        <w:t>5.</w:t>
      </w:r>
      <w:r>
        <w:rPr>
          <w:rFonts w:hint="default" w:ascii="仿宋_GB2312" w:hAnsi="仿宋_GB2312" w:eastAsia="仿宋_GB2312" w:cs="仿宋_GB2312"/>
          <w:snapToGrid w:val="0"/>
          <w:color w:val="auto"/>
          <w:kern w:val="0"/>
          <w:sz w:val="32"/>
          <w:szCs w:val="32"/>
          <w:lang w:val="en-US" w:eastAsia="zh-CN"/>
        </w:rPr>
        <w:t>演练成效：通过“演练+比武”的创新形式，不仅验证了应急预案的科学性、应急设施的可靠性，更推动应急队伍在“学、练、比、战”中强化责任意识、提升专业素养</w:t>
      </w:r>
      <w:r>
        <w:rPr>
          <w:rFonts w:hint="eastAsia" w:ascii="仿宋_GB2312" w:hAnsi="仿宋_GB2312" w:eastAsia="仿宋_GB2312" w:cs="仿宋_GB2312"/>
          <w:snapToGrid w:val="0"/>
          <w:color w:val="auto"/>
          <w:kern w:val="0"/>
          <w:sz w:val="32"/>
          <w:szCs w:val="32"/>
          <w:lang w:val="en-US" w:eastAsia="zh-CN"/>
        </w:rPr>
        <w:t>。</w:t>
      </w:r>
    </w:p>
    <w:p w14:paraId="0BCC2FB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lang w:val="en-US" w:eastAsia="zh-CN"/>
        </w:rPr>
      </w:pPr>
      <w:r>
        <w:rPr>
          <w:rFonts w:hint="eastAsia" w:ascii="仿宋_GB2312" w:hAnsi="仿宋_GB2312" w:eastAsia="仿宋_GB2312" w:cs="仿宋_GB2312"/>
          <w:b/>
          <w:bCs/>
          <w:snapToGrid w:val="0"/>
          <w:color w:val="auto"/>
          <w:kern w:val="0"/>
          <w:sz w:val="32"/>
          <w:szCs w:val="32"/>
          <w:lang w:val="en-US" w:eastAsia="zh-CN"/>
        </w:rPr>
        <w:t>（三）演练总结与改进</w:t>
      </w:r>
    </w:p>
    <w:p w14:paraId="0C92187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eastAsia="zh-CN"/>
        </w:rPr>
      </w:pPr>
      <w:r>
        <w:rPr>
          <w:rFonts w:hint="default" w:ascii="仿宋_GB2312" w:hAnsi="仿宋_GB2312" w:eastAsia="仿宋_GB2312" w:cs="仿宋_GB2312"/>
          <w:snapToGrid w:val="0"/>
          <w:color w:val="auto"/>
          <w:kern w:val="0"/>
          <w:sz w:val="32"/>
          <w:szCs w:val="32"/>
          <w:lang w:val="en-US" w:eastAsia="zh-CN"/>
        </w:rPr>
        <w:t>每次演练结束后，指挥部办公室组织各参演单位开展总结评估，梳理演练过程中存在的问题，分析原因，形成总结报告，提出改进措施。针对演练中发现的预案不完善、应急物资不足、部门协同不畅等问题，及时修订预案</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补充应急物资</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完善协同机制</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lang w:val="en-US" w:eastAsia="zh-CN"/>
        </w:rPr>
        <w:t>提升应急处置能力。</w:t>
      </w:r>
    </w:p>
    <w:p w14:paraId="69C5B03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sectPr>
          <w:pgSz w:w="11906" w:h="16838"/>
          <w:pgMar w:top="2098" w:right="1474" w:bottom="1984" w:left="1587" w:header="851" w:footer="992" w:gutter="0"/>
          <w:pgNumType w:fmt="decimal"/>
          <w:cols w:space="425" w:num="1"/>
          <w:docGrid w:type="lines" w:linePitch="312" w:charSpace="0"/>
        </w:sectPr>
      </w:pPr>
    </w:p>
    <w:p w14:paraId="3202BF3B">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eastAsia" w:ascii="方正小标宋简体" w:hAnsi="方正小标宋简体" w:eastAsia="方正小标宋简体" w:cs="方正小标宋简体"/>
          <w:b w:val="0"/>
          <w:bCs/>
          <w:color w:val="auto"/>
        </w:rPr>
      </w:pPr>
      <w:bookmarkStart w:id="225" w:name="_Toc8829"/>
      <w:bookmarkStart w:id="226" w:name="_Toc15343"/>
      <w:bookmarkStart w:id="227" w:name="_Toc16286"/>
      <w:bookmarkStart w:id="228" w:name="_Toc18511"/>
      <w:r>
        <w:rPr>
          <w:rFonts w:hint="eastAsia" w:ascii="方正小标宋简体" w:hAnsi="方正小标宋简体" w:eastAsia="方正小标宋简体" w:cs="方正小标宋简体"/>
          <w:b w:val="0"/>
          <w:bCs/>
          <w:color w:val="auto"/>
        </w:rPr>
        <w:t>监督管理</w:t>
      </w:r>
      <w:bookmarkEnd w:id="225"/>
      <w:bookmarkEnd w:id="226"/>
      <w:bookmarkEnd w:id="227"/>
      <w:bookmarkEnd w:id="228"/>
    </w:p>
    <w:p w14:paraId="43652CE8">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eastAsia" w:ascii="黑体" w:hAnsi="黑体" w:eastAsia="黑体" w:cs="黑体"/>
          <w:b w:val="0"/>
          <w:bCs w:val="0"/>
          <w:snapToGrid w:val="0"/>
          <w:color w:val="auto"/>
          <w:spacing w:val="0"/>
          <w:kern w:val="0"/>
          <w:sz w:val="32"/>
          <w:szCs w:val="32"/>
        </w:rPr>
      </w:pPr>
      <w:bookmarkStart w:id="229" w:name="_Toc29013"/>
      <w:bookmarkStart w:id="230" w:name="_Toc13935"/>
      <w:bookmarkStart w:id="231" w:name="_Toc20551"/>
      <w:bookmarkStart w:id="232" w:name="_Toc30878"/>
      <w:r>
        <w:rPr>
          <w:rFonts w:hint="eastAsia" w:ascii="黑体" w:hAnsi="黑体" w:eastAsia="黑体" w:cs="黑体"/>
          <w:b w:val="0"/>
          <w:bCs w:val="0"/>
          <w:snapToGrid w:val="0"/>
          <w:color w:val="auto"/>
          <w:spacing w:val="0"/>
          <w:kern w:val="0"/>
          <w:sz w:val="32"/>
          <w:szCs w:val="32"/>
        </w:rPr>
        <w:t>预案与演练</w:t>
      </w:r>
      <w:bookmarkEnd w:id="229"/>
      <w:bookmarkEnd w:id="230"/>
      <w:bookmarkEnd w:id="231"/>
      <w:bookmarkEnd w:id="232"/>
    </w:p>
    <w:p w14:paraId="1BA34CB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bookmarkStart w:id="233" w:name="_Toc21474"/>
      <w:r>
        <w:rPr>
          <w:rFonts w:hint="default" w:ascii="仿宋_GB2312" w:hAnsi="仿宋_GB2312" w:eastAsia="仿宋_GB2312" w:cs="仿宋_GB2312"/>
          <w:snapToGrid w:val="0"/>
          <w:color w:val="auto"/>
          <w:spacing w:val="0"/>
          <w:kern w:val="0"/>
          <w:sz w:val="32"/>
          <w:szCs w:val="32"/>
        </w:rPr>
        <w:t>相关部门和企业，应按照本预案，制定本部门、本系统环境应急预案，定期组织不同类型的环境应急演练，提高防范和处置突发环境事件的技能，增强实战能力。通过演练，熟悉、检验各部门和企业应急预案的可行性，提高政府的组织指挥与协调，各部门之间的协同作战能力和企业处置突发环境事件的能力。</w:t>
      </w:r>
    </w:p>
    <w:p w14:paraId="5094C0E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随着应急救援相关法律法规的制定、修改和完善</w:t>
      </w:r>
      <w:r>
        <w:rPr>
          <w:rFonts w:hint="eastAsia" w:ascii="仿宋_GB2312" w:hAnsi="仿宋_GB2312" w:eastAsia="仿宋_GB2312" w:cs="仿宋_GB2312"/>
          <w:snapToGrid w:val="0"/>
          <w:color w:val="auto"/>
          <w:spacing w:val="0"/>
          <w:kern w:val="0"/>
          <w:sz w:val="32"/>
          <w:szCs w:val="32"/>
          <w:lang w:eastAsia="zh-CN"/>
        </w:rPr>
        <w:t>，各</w:t>
      </w:r>
      <w:r>
        <w:rPr>
          <w:rFonts w:hint="default" w:ascii="仿宋_GB2312" w:hAnsi="仿宋_GB2312" w:eastAsia="仿宋_GB2312" w:cs="仿宋_GB2312"/>
          <w:snapToGrid w:val="0"/>
          <w:color w:val="auto"/>
          <w:spacing w:val="0"/>
          <w:kern w:val="0"/>
          <w:sz w:val="32"/>
          <w:szCs w:val="32"/>
        </w:rPr>
        <w:t>部门职责、应急资源发生变化，或者在应急和实战演练过程中发现存在问题或出现新的情况，应及时修订完善各级、各部门环境应急预案。</w:t>
      </w:r>
    </w:p>
    <w:p w14:paraId="4DF86F3C">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234" w:name="_Toc13996"/>
      <w:bookmarkStart w:id="235" w:name="_Toc7014"/>
      <w:bookmarkStart w:id="236" w:name="_Toc11824"/>
      <w:r>
        <w:rPr>
          <w:rFonts w:hint="default" w:ascii="黑体" w:hAnsi="黑体" w:eastAsia="黑体" w:cs="黑体"/>
          <w:b w:val="0"/>
          <w:bCs w:val="0"/>
          <w:snapToGrid w:val="0"/>
          <w:color w:val="auto"/>
          <w:spacing w:val="0"/>
          <w:kern w:val="0"/>
          <w:sz w:val="32"/>
          <w:szCs w:val="32"/>
        </w:rPr>
        <w:t>宣传</w:t>
      </w:r>
      <w:bookmarkEnd w:id="233"/>
      <w:bookmarkEnd w:id="234"/>
      <w:bookmarkEnd w:id="235"/>
      <w:bookmarkEnd w:id="236"/>
    </w:p>
    <w:p w14:paraId="78EEB31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加强生态环境保护科普宣传教育工作，利用互联网、电视、广播、报纸等新闻媒体进行环境污染防治及应对突发环境事件灾害知识的宣传，对公众开展环境污染灾害避险、自救、互救等知识教育，增强全民防灾减灾意识。</w:t>
      </w:r>
    </w:p>
    <w:p w14:paraId="07F87637">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237" w:name="_Toc26118"/>
      <w:bookmarkStart w:id="238" w:name="_Toc23822"/>
      <w:bookmarkStart w:id="239" w:name="_Toc4703"/>
      <w:bookmarkStart w:id="240" w:name="_Toc8519"/>
      <w:r>
        <w:rPr>
          <w:rFonts w:hint="default" w:ascii="黑体" w:hAnsi="黑体" w:eastAsia="黑体" w:cs="黑体"/>
          <w:b w:val="0"/>
          <w:bCs w:val="0"/>
          <w:snapToGrid w:val="0"/>
          <w:color w:val="auto"/>
          <w:spacing w:val="0"/>
          <w:kern w:val="0"/>
          <w:sz w:val="32"/>
          <w:szCs w:val="32"/>
        </w:rPr>
        <w:t>应急能力考评</w:t>
      </w:r>
      <w:bookmarkEnd w:id="237"/>
      <w:bookmarkEnd w:id="238"/>
      <w:bookmarkEnd w:id="239"/>
      <w:bookmarkEnd w:id="240"/>
    </w:p>
    <w:p w14:paraId="6A29674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为保障全</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环境应急体系始终处于良好的战备状态，实行自上而下的监督、检查和考评工作机制。考评的内容包括对环境应急机构的设置情况、制度和工作程序的建立与执行情况、队伍的建设和人员培训与考核的情况、应急装备和经费管理与使用的情况等。</w:t>
      </w:r>
    </w:p>
    <w:p w14:paraId="54F9BF6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由</w:t>
      </w:r>
      <w:r>
        <w:rPr>
          <w:rFonts w:hint="eastAsia" w:ascii="仿宋_GB2312" w:hAnsi="仿宋_GB2312" w:eastAsia="仿宋_GB2312" w:cs="仿宋_GB2312"/>
          <w:snapToGrid w:val="0"/>
          <w:color w:val="auto"/>
          <w:spacing w:val="0"/>
          <w:kern w:val="0"/>
          <w:sz w:val="32"/>
          <w:szCs w:val="32"/>
          <w:lang w:val="en-US" w:eastAsia="zh-CN"/>
        </w:rPr>
        <w:t>区</w:t>
      </w:r>
      <w:r>
        <w:rPr>
          <w:rFonts w:hint="default" w:ascii="仿宋_GB2312" w:hAnsi="仿宋_GB2312" w:eastAsia="仿宋_GB2312" w:cs="仿宋_GB2312"/>
          <w:snapToGrid w:val="0"/>
          <w:color w:val="auto"/>
          <w:spacing w:val="0"/>
          <w:kern w:val="0"/>
          <w:sz w:val="32"/>
          <w:szCs w:val="32"/>
        </w:rPr>
        <w:t>应急委员会负责对</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生态环境局、各相关专业部门的考评工作；由</w:t>
      </w:r>
      <w:r>
        <w:rPr>
          <w:rFonts w:hint="eastAsia" w:ascii="仿宋_GB2312" w:hAnsi="仿宋_GB2312" w:eastAsia="仿宋_GB2312" w:cs="仿宋_GB2312"/>
          <w:snapToGrid w:val="0"/>
          <w:color w:val="auto"/>
          <w:spacing w:val="0"/>
          <w:kern w:val="0"/>
          <w:sz w:val="32"/>
          <w:szCs w:val="32"/>
          <w:lang w:val="en-US" w:eastAsia="zh-CN"/>
        </w:rPr>
        <w:t>景德镇市昌江</w:t>
      </w:r>
      <w:r>
        <w:rPr>
          <w:rFonts w:hint="default" w:ascii="仿宋_GB2312" w:hAnsi="仿宋_GB2312" w:eastAsia="仿宋_GB2312" w:cs="仿宋_GB2312"/>
          <w:snapToGrid w:val="0"/>
          <w:color w:val="auto"/>
          <w:spacing w:val="0"/>
          <w:kern w:val="0"/>
          <w:sz w:val="32"/>
          <w:szCs w:val="32"/>
        </w:rPr>
        <w:t>生态环境局负责对企业的考评工作。考评可采取定期和抽查两种方式。</w:t>
      </w:r>
    </w:p>
    <w:p w14:paraId="0961C1B9">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snapToGrid w:val="0"/>
          <w:color w:val="auto"/>
          <w:spacing w:val="0"/>
          <w:kern w:val="0"/>
          <w:sz w:val="32"/>
          <w:szCs w:val="32"/>
        </w:rPr>
      </w:pPr>
      <w:bookmarkStart w:id="241" w:name="_Toc29920"/>
      <w:bookmarkStart w:id="242" w:name="_Toc27225"/>
      <w:bookmarkStart w:id="243" w:name="_Toc19926"/>
      <w:bookmarkStart w:id="244" w:name="_Toc32275"/>
      <w:r>
        <w:rPr>
          <w:rFonts w:hint="default" w:ascii="黑体" w:hAnsi="黑体" w:eastAsia="黑体" w:cs="黑体"/>
          <w:b w:val="0"/>
          <w:bCs w:val="0"/>
          <w:snapToGrid w:val="0"/>
          <w:color w:val="auto"/>
          <w:spacing w:val="0"/>
          <w:kern w:val="0"/>
          <w:sz w:val="32"/>
          <w:szCs w:val="32"/>
        </w:rPr>
        <w:t>奖励及责任追究</w:t>
      </w:r>
      <w:bookmarkEnd w:id="241"/>
      <w:bookmarkEnd w:id="242"/>
      <w:bookmarkEnd w:id="243"/>
      <w:bookmarkEnd w:id="244"/>
    </w:p>
    <w:p w14:paraId="3A8CC450">
      <w:pPr>
        <w:pStyle w:val="36"/>
        <w:pageBreakBefore w:val="0"/>
        <w:kinsoku/>
        <w:wordWrap/>
        <w:overflowPunct/>
        <w:topLinePunct w:val="0"/>
        <w:autoSpaceDE/>
        <w:autoSpaceDN/>
        <w:bidi w:val="0"/>
        <w:adjustRightInd/>
        <w:snapToGrid/>
        <w:spacing w:line="600" w:lineRule="exact"/>
        <w:textAlignment w:val="auto"/>
        <w:rPr>
          <w:rFonts w:hint="eastAsia" w:ascii="楷体_GB2312" w:hAnsi="楷体_GB2312" w:eastAsia="楷体_GB2312" w:cs="楷体_GB2312"/>
          <w:b/>
          <w:bCs/>
          <w:snapToGrid w:val="0"/>
          <w:color w:val="auto"/>
          <w:spacing w:val="0"/>
          <w:kern w:val="0"/>
          <w:sz w:val="32"/>
          <w:szCs w:val="32"/>
        </w:rPr>
      </w:pPr>
      <w:r>
        <w:rPr>
          <w:rFonts w:hint="eastAsia" w:ascii="楷体_GB2312" w:hAnsi="楷体_GB2312" w:eastAsia="楷体_GB2312" w:cs="楷体_GB2312"/>
          <w:b/>
          <w:bCs/>
          <w:snapToGrid w:val="0"/>
          <w:color w:val="auto"/>
          <w:spacing w:val="0"/>
          <w:kern w:val="0"/>
          <w:sz w:val="32"/>
          <w:szCs w:val="32"/>
        </w:rPr>
        <w:t>奖励</w:t>
      </w:r>
    </w:p>
    <w:p w14:paraId="2A16D96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在突发环境事件应急救援工作中，有下列事迹之一的单位和个人，应依据有关规定给予奖励：</w:t>
      </w:r>
    </w:p>
    <w:p w14:paraId="1A423A1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（1）出色完成突发环境事件应急处置任务，成绩显著的；</w:t>
      </w:r>
    </w:p>
    <w:p w14:paraId="521EEC4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（2）对防止或处置突发环境事件有功，使国家、集体和人民群众的生命财产免受或者减少损失的；</w:t>
      </w:r>
    </w:p>
    <w:p w14:paraId="5C97350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（3）对事件应急准备与响应提出重大建议，实施效果显著的；</w:t>
      </w:r>
    </w:p>
    <w:p w14:paraId="2B22EC7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（4）有其他特殊贡献的。</w:t>
      </w:r>
    </w:p>
    <w:p w14:paraId="57C04E95">
      <w:pPr>
        <w:pStyle w:val="36"/>
        <w:pageBreakBefore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
          <w:bCs/>
          <w:snapToGrid w:val="0"/>
          <w:color w:val="auto"/>
          <w:spacing w:val="0"/>
          <w:kern w:val="0"/>
          <w:sz w:val="32"/>
          <w:szCs w:val="32"/>
        </w:rPr>
      </w:pPr>
      <w:r>
        <w:rPr>
          <w:rFonts w:hint="default" w:ascii="楷体_GB2312" w:hAnsi="楷体_GB2312" w:eastAsia="楷体_GB2312" w:cs="楷体_GB2312"/>
          <w:b/>
          <w:bCs/>
          <w:snapToGrid w:val="0"/>
          <w:color w:val="auto"/>
          <w:spacing w:val="0"/>
          <w:kern w:val="0"/>
          <w:sz w:val="32"/>
          <w:szCs w:val="32"/>
        </w:rPr>
        <w:t>责任追究</w:t>
      </w:r>
    </w:p>
    <w:p w14:paraId="19750C1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在突发环境事件应急工作中，有下列行为之一的，按照有关法律和规定，对有关责任人员视情节和危害后果，由其所在单位或者上级机关给予行政处分；其中，对国家公务员和国家行政机关任命的其他人员，分别由任免机关或者监察机关给予行政处分；构成犯罪的，由司法机关依法追究刑事责任：</w:t>
      </w:r>
    </w:p>
    <w:p w14:paraId="21723A4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（1）不认真履行环保</w:t>
      </w:r>
      <w:r>
        <w:rPr>
          <w:rFonts w:hint="eastAsia" w:ascii="仿宋_GB2312" w:hAnsi="仿宋_GB2312" w:eastAsia="仿宋_GB2312" w:cs="仿宋_GB2312"/>
          <w:snapToGrid w:val="0"/>
          <w:color w:val="auto"/>
          <w:spacing w:val="0"/>
          <w:kern w:val="0"/>
          <w:sz w:val="32"/>
          <w:szCs w:val="32"/>
          <w:lang w:eastAsia="zh-CN"/>
        </w:rPr>
        <w:t>法律法规</w:t>
      </w:r>
      <w:r>
        <w:rPr>
          <w:rFonts w:hint="default" w:ascii="仿宋_GB2312" w:hAnsi="仿宋_GB2312" w:eastAsia="仿宋_GB2312" w:cs="仿宋_GB2312"/>
          <w:snapToGrid w:val="0"/>
          <w:color w:val="auto"/>
          <w:spacing w:val="0"/>
          <w:kern w:val="0"/>
          <w:sz w:val="32"/>
          <w:szCs w:val="32"/>
        </w:rPr>
        <w:t>，而引发环境事件的；</w:t>
      </w:r>
    </w:p>
    <w:p w14:paraId="7A31012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（2）不按照规定制定环境事件应急预案，拒绝承担突发环境事件应急工作义务的；</w:t>
      </w:r>
    </w:p>
    <w:p w14:paraId="03B41FA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（3）不按规定报告、通报突发环境事件真实情况的；</w:t>
      </w:r>
    </w:p>
    <w:p w14:paraId="6C21403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（4）拒不执行突发环境事件应急预案，不服从命令和指挥，或者在事件应急响应时临阵脱逃的；</w:t>
      </w:r>
    </w:p>
    <w:p w14:paraId="2F8AC6E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（5）盗窃、贪污、挪用环境事件应急工作资金、装备和物资的；</w:t>
      </w:r>
    </w:p>
    <w:p w14:paraId="18C2BB7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（6）阻碍突发环境事件应急工作人员依法执行职务或者进行破坏活动的；</w:t>
      </w:r>
    </w:p>
    <w:p w14:paraId="22ECF9A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（7）散布谣言，扰乱社会秩序的；</w:t>
      </w:r>
    </w:p>
    <w:p w14:paraId="60083EF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pPr>
      <w:r>
        <w:rPr>
          <w:rFonts w:hint="default" w:ascii="仿宋_GB2312" w:hAnsi="仿宋_GB2312" w:eastAsia="仿宋_GB2312" w:cs="仿宋_GB2312"/>
          <w:snapToGrid w:val="0"/>
          <w:color w:val="auto"/>
          <w:spacing w:val="0"/>
          <w:kern w:val="0"/>
          <w:sz w:val="32"/>
          <w:szCs w:val="32"/>
        </w:rPr>
        <w:t>（8）有其他对突发环境事件应急工作造成危害行为的。</w:t>
      </w:r>
    </w:p>
    <w:p w14:paraId="4C52104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spacing w:val="0"/>
          <w:kern w:val="0"/>
          <w:sz w:val="32"/>
          <w:szCs w:val="32"/>
        </w:rPr>
        <w:sectPr>
          <w:pgSz w:w="11906" w:h="16838"/>
          <w:pgMar w:top="1440" w:right="1800" w:bottom="1440" w:left="1800" w:header="851" w:footer="992" w:gutter="0"/>
          <w:pgNumType w:fmt="decimal"/>
          <w:cols w:space="425" w:num="1"/>
          <w:docGrid w:type="lines" w:linePitch="312" w:charSpace="0"/>
        </w:sectPr>
      </w:pPr>
    </w:p>
    <w:p w14:paraId="47A4AFFE">
      <w:pPr>
        <w:pStyle w:val="33"/>
        <w:keepNext w:val="0"/>
        <w:keepLines w:val="0"/>
        <w:pageBreakBefore/>
        <w:widowControl/>
        <w:kinsoku/>
        <w:wordWrap/>
        <w:overflowPunct/>
        <w:topLinePunct w:val="0"/>
        <w:autoSpaceDE/>
        <w:autoSpaceDN/>
        <w:bidi w:val="0"/>
        <w:adjustRightInd/>
        <w:snapToGrid/>
        <w:spacing w:after="240" w:afterLines="0"/>
        <w:ind w:left="0" w:firstLine="0" w:firstLineChars="0"/>
        <w:textAlignment w:val="auto"/>
        <w:rPr>
          <w:rFonts w:hint="default" w:ascii="Times New Roman" w:hAnsi="Times New Roman" w:eastAsia="宋体" w:cs="Times New Roman"/>
          <w:b/>
          <w:color w:val="auto"/>
        </w:rPr>
      </w:pPr>
      <w:bookmarkStart w:id="245" w:name="_Toc25620"/>
      <w:bookmarkStart w:id="246" w:name="_Toc24649"/>
      <w:bookmarkStart w:id="247" w:name="_Toc14922"/>
      <w:bookmarkStart w:id="248" w:name="_Toc12551"/>
      <w:r>
        <w:rPr>
          <w:rFonts w:hint="default" w:ascii="Times New Roman" w:hAnsi="Times New Roman" w:eastAsia="宋体" w:cs="Times New Roman"/>
          <w:b/>
          <w:color w:val="auto"/>
        </w:rPr>
        <w:t>附则</w:t>
      </w:r>
      <w:bookmarkEnd w:id="245"/>
      <w:bookmarkEnd w:id="246"/>
      <w:bookmarkEnd w:id="247"/>
      <w:bookmarkEnd w:id="248"/>
    </w:p>
    <w:p w14:paraId="712B269E">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color w:val="auto"/>
          <w:sz w:val="32"/>
          <w:szCs w:val="32"/>
        </w:rPr>
      </w:pPr>
      <w:bookmarkStart w:id="249" w:name="_Toc7833"/>
      <w:bookmarkStart w:id="250" w:name="_Toc7244"/>
      <w:bookmarkStart w:id="251" w:name="_Toc19291"/>
      <w:bookmarkStart w:id="252" w:name="_Toc21431"/>
      <w:r>
        <w:rPr>
          <w:rFonts w:hint="default" w:ascii="黑体" w:hAnsi="黑体" w:eastAsia="黑体" w:cs="黑体"/>
          <w:b w:val="0"/>
          <w:bCs w:val="0"/>
          <w:color w:val="auto"/>
          <w:sz w:val="32"/>
          <w:szCs w:val="32"/>
        </w:rPr>
        <w:t>预案的解释</w:t>
      </w:r>
      <w:bookmarkEnd w:id="249"/>
      <w:bookmarkEnd w:id="250"/>
      <w:bookmarkEnd w:id="251"/>
      <w:bookmarkEnd w:id="252"/>
    </w:p>
    <w:p w14:paraId="6A895DB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本预案由</w:t>
      </w:r>
      <w:r>
        <w:rPr>
          <w:rFonts w:hint="eastAsia" w:ascii="仿宋_GB2312" w:hAnsi="仿宋_GB2312" w:eastAsia="仿宋_GB2312" w:cs="仿宋_GB2312"/>
          <w:color w:val="auto"/>
          <w:kern w:val="0"/>
          <w:sz w:val="32"/>
          <w:szCs w:val="32"/>
          <w:lang w:val="en-US" w:eastAsia="zh-CN"/>
        </w:rPr>
        <w:t>景德镇市昌江</w:t>
      </w:r>
      <w:r>
        <w:rPr>
          <w:rFonts w:hint="default" w:ascii="仿宋_GB2312" w:hAnsi="仿宋_GB2312" w:eastAsia="仿宋_GB2312" w:cs="仿宋_GB2312"/>
          <w:color w:val="auto"/>
          <w:kern w:val="0"/>
          <w:sz w:val="32"/>
          <w:szCs w:val="32"/>
        </w:rPr>
        <w:t>生态环境局报</w:t>
      </w:r>
      <w:r>
        <w:rPr>
          <w:rFonts w:hint="eastAsia" w:ascii="仿宋_GB2312" w:hAnsi="仿宋_GB2312" w:eastAsia="仿宋_GB2312" w:cs="仿宋_GB2312"/>
          <w:color w:val="auto"/>
          <w:kern w:val="0"/>
          <w:sz w:val="32"/>
          <w:szCs w:val="32"/>
          <w:lang w:val="en-US" w:eastAsia="zh-CN"/>
        </w:rPr>
        <w:t>昌江区</w:t>
      </w:r>
      <w:r>
        <w:rPr>
          <w:rFonts w:hint="default" w:ascii="仿宋_GB2312" w:hAnsi="仿宋_GB2312" w:eastAsia="仿宋_GB2312" w:cs="仿宋_GB2312"/>
          <w:color w:val="auto"/>
          <w:kern w:val="0"/>
          <w:sz w:val="32"/>
          <w:szCs w:val="32"/>
        </w:rPr>
        <w:t>人民政府批准后印发实施，同时负责具体应用中的问题解释工作。</w:t>
      </w:r>
    </w:p>
    <w:p w14:paraId="053BBD72">
      <w:pPr>
        <w:pStyle w:val="34"/>
        <w:pageBreakBefore w:val="0"/>
        <w:widowControl/>
        <w:kinsoku/>
        <w:wordWrap/>
        <w:overflowPunct/>
        <w:topLinePunct w:val="0"/>
        <w:autoSpaceDE/>
        <w:autoSpaceDN/>
        <w:bidi w:val="0"/>
        <w:adjustRightInd/>
        <w:snapToGrid/>
        <w:spacing w:before="0" w:line="600" w:lineRule="exact"/>
        <w:ind w:left="-562" w:leftChars="0" w:firstLine="562" w:firstLineChars="0"/>
        <w:jc w:val="both"/>
        <w:textAlignment w:val="auto"/>
        <w:rPr>
          <w:rFonts w:hint="default" w:ascii="黑体" w:hAnsi="黑体" w:eastAsia="黑体" w:cs="黑体"/>
          <w:b w:val="0"/>
          <w:bCs w:val="0"/>
          <w:color w:val="auto"/>
          <w:sz w:val="32"/>
          <w:szCs w:val="32"/>
        </w:rPr>
      </w:pPr>
      <w:bookmarkStart w:id="253" w:name="_Toc23367"/>
      <w:bookmarkStart w:id="254" w:name="_Toc7759"/>
      <w:bookmarkStart w:id="255" w:name="_Toc2173"/>
      <w:bookmarkStart w:id="256" w:name="_Toc22918"/>
      <w:r>
        <w:rPr>
          <w:rFonts w:hint="default" w:ascii="黑体" w:hAnsi="黑体" w:eastAsia="黑体" w:cs="黑体"/>
          <w:b w:val="0"/>
          <w:bCs w:val="0"/>
          <w:color w:val="auto"/>
          <w:sz w:val="32"/>
          <w:szCs w:val="32"/>
        </w:rPr>
        <w:t>预案的实施时间</w:t>
      </w:r>
      <w:bookmarkEnd w:id="253"/>
      <w:bookmarkEnd w:id="254"/>
      <w:bookmarkEnd w:id="255"/>
      <w:bookmarkEnd w:id="256"/>
    </w:p>
    <w:p w14:paraId="09D5EEE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sectPr>
          <w:pgSz w:w="11906" w:h="16838"/>
          <w:pgMar w:top="1440" w:right="1800" w:bottom="1440" w:left="1800" w:header="851" w:footer="992" w:gutter="0"/>
          <w:pgNumType w:fmt="decimal"/>
          <w:cols w:space="425" w:num="1"/>
          <w:docGrid w:type="lines" w:linePitch="312" w:charSpace="0"/>
        </w:sectPr>
      </w:pPr>
      <w:r>
        <w:rPr>
          <w:rFonts w:hint="default" w:ascii="仿宋_GB2312" w:hAnsi="仿宋_GB2312" w:eastAsia="仿宋_GB2312" w:cs="仿宋_GB2312"/>
          <w:color w:val="auto"/>
          <w:kern w:val="0"/>
          <w:sz w:val="32"/>
          <w:szCs w:val="32"/>
        </w:rPr>
        <w:t>本预案自发布之日起实施。</w:t>
      </w:r>
    </w:p>
    <w:p w14:paraId="467505FB">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both"/>
        <w:textAlignment w:val="auto"/>
        <w:rPr>
          <w:rFonts w:hint="eastAsia" w:ascii="黑体" w:hAnsi="黑体" w:eastAsia="黑体" w:cs="黑体"/>
          <w:b w:val="0"/>
          <w:bCs w:val="0"/>
          <w:color w:val="auto"/>
          <w:sz w:val="32"/>
          <w:szCs w:val="32"/>
        </w:rPr>
      </w:pPr>
      <w:bookmarkStart w:id="257" w:name="_Toc18056"/>
      <w:bookmarkStart w:id="258" w:name="_Toc2815"/>
      <w:bookmarkStart w:id="259" w:name="_Toc21711"/>
      <w:bookmarkStart w:id="260" w:name="_Toc7530"/>
      <w:r>
        <w:rPr>
          <w:rFonts w:hint="eastAsia" w:ascii="黑体" w:hAnsi="黑体" w:eastAsia="黑体" w:cs="黑体"/>
          <w:b w:val="0"/>
          <w:bCs w:val="0"/>
          <w:color w:val="auto"/>
          <w:sz w:val="32"/>
          <w:szCs w:val="32"/>
        </w:rPr>
        <w:t>附件1</w:t>
      </w:r>
    </w:p>
    <w:p w14:paraId="4535CC79">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both"/>
        <w:textAlignment w:val="auto"/>
        <w:rPr>
          <w:rFonts w:hint="eastAsia" w:ascii="黑体" w:hAnsi="黑体" w:eastAsia="黑体" w:cs="黑体"/>
          <w:b w:val="0"/>
          <w:bCs w:val="0"/>
          <w:color w:val="auto"/>
          <w:sz w:val="32"/>
          <w:szCs w:val="32"/>
        </w:rPr>
      </w:pPr>
    </w:p>
    <w:p w14:paraId="25923205">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center"/>
        <w:textAlignment w:val="auto"/>
        <w:rPr>
          <w:rFonts w:hint="eastAsia" w:ascii="黑体" w:hAnsi="黑体" w:eastAsia="黑体" w:cs="黑体"/>
          <w:b w:val="0"/>
          <w:bCs w:val="0"/>
          <w:color w:val="auto"/>
          <w:sz w:val="44"/>
          <w:szCs w:val="44"/>
        </w:rPr>
      </w:pPr>
      <w:r>
        <w:rPr>
          <w:rFonts w:hint="eastAsia" w:ascii="黑体" w:hAnsi="黑体" w:eastAsia="黑体" w:cs="黑体"/>
          <w:b w:val="0"/>
          <w:bCs w:val="0"/>
          <w:color w:val="auto"/>
          <w:sz w:val="44"/>
          <w:szCs w:val="44"/>
        </w:rPr>
        <w:t>组织体系机构图</w:t>
      </w:r>
      <w:bookmarkEnd w:id="257"/>
      <w:bookmarkEnd w:id="258"/>
      <w:bookmarkEnd w:id="259"/>
      <w:bookmarkEnd w:id="260"/>
    </w:p>
    <w:p w14:paraId="549C0977">
      <w:pPr>
        <w:rPr>
          <w:rFonts w:hint="eastAsia"/>
        </w:rPr>
      </w:pPr>
    </w:p>
    <w:p w14:paraId="57BD539E">
      <w:pPr>
        <w:rPr>
          <w:rFonts w:hint="eastAsia"/>
        </w:rPr>
      </w:pPr>
    </w:p>
    <w:p w14:paraId="393614D8">
      <w:pPr>
        <w:pStyle w:val="3"/>
        <w:numPr>
          <w:ilvl w:val="0"/>
          <w:numId w:val="0"/>
        </w:numPr>
        <w:ind w:left="-852"/>
        <w:outlineLvl w:val="9"/>
        <w:rPr>
          <w:rFonts w:hint="default" w:ascii="Times New Roman" w:hAnsi="Times New Roman" w:cs="Times New Roman"/>
          <w:b/>
          <w:bCs/>
          <w:color w:val="auto"/>
          <w:kern w:val="2"/>
          <w:sz w:val="28"/>
        </w:rPr>
      </w:pPr>
      <w:bookmarkStart w:id="261" w:name="_Toc10434"/>
      <w:bookmarkStart w:id="262" w:name="_Toc26145"/>
      <w:r>
        <w:rPr>
          <w:rFonts w:hint="default" w:ascii="Times New Roman" w:hAnsi="Times New Roman" w:cs="Times New Roman"/>
          <w:color w:val="auto"/>
        </w:rPr>
        <w:drawing>
          <wp:inline distT="0" distB="0" distL="114300" distR="114300">
            <wp:extent cx="6153150" cy="3526790"/>
            <wp:effectExtent l="0" t="0" r="0" b="165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1"/>
                    <a:stretch>
                      <a:fillRect/>
                    </a:stretch>
                  </pic:blipFill>
                  <pic:spPr>
                    <a:xfrm>
                      <a:off x="0" y="0"/>
                      <a:ext cx="6153150" cy="3526790"/>
                    </a:xfrm>
                    <a:prstGeom prst="rect">
                      <a:avLst/>
                    </a:prstGeom>
                    <a:noFill/>
                    <a:ln>
                      <a:noFill/>
                    </a:ln>
                  </pic:spPr>
                </pic:pic>
              </a:graphicData>
            </a:graphic>
          </wp:inline>
        </w:drawing>
      </w:r>
      <w:bookmarkEnd w:id="261"/>
      <w:bookmarkEnd w:id="262"/>
    </w:p>
    <w:p w14:paraId="0A0321FB">
      <w:pPr>
        <w:ind w:firstLine="562"/>
        <w:rPr>
          <w:rFonts w:hint="default" w:ascii="Times New Roman" w:hAnsi="Times New Roman" w:cs="Times New Roman"/>
          <w:b/>
          <w:bCs/>
          <w:color w:val="auto"/>
          <w:sz w:val="28"/>
          <w:szCs w:val="20"/>
        </w:rPr>
      </w:pPr>
    </w:p>
    <w:p w14:paraId="3F4755E2">
      <w:pPr>
        <w:pStyle w:val="29"/>
        <w:ind w:firstLine="562"/>
        <w:rPr>
          <w:rFonts w:hint="default" w:ascii="Times New Roman" w:hAnsi="Times New Roman" w:eastAsia="宋体" w:cs="Times New Roman"/>
          <w:b/>
          <w:bCs/>
          <w:color w:val="auto"/>
          <w:sz w:val="28"/>
          <w:szCs w:val="20"/>
        </w:rPr>
      </w:pPr>
    </w:p>
    <w:p w14:paraId="7C5A22DF">
      <w:pPr>
        <w:pStyle w:val="29"/>
        <w:ind w:firstLine="562"/>
        <w:rPr>
          <w:rFonts w:hint="default" w:ascii="Times New Roman" w:hAnsi="Times New Roman" w:eastAsia="宋体" w:cs="Times New Roman"/>
          <w:b/>
          <w:bCs/>
          <w:color w:val="auto"/>
          <w:sz w:val="28"/>
          <w:szCs w:val="20"/>
        </w:rPr>
      </w:pPr>
    </w:p>
    <w:p w14:paraId="13BA977F">
      <w:pPr>
        <w:pStyle w:val="29"/>
        <w:ind w:firstLine="562"/>
        <w:rPr>
          <w:rFonts w:hint="default" w:ascii="Times New Roman" w:hAnsi="Times New Roman" w:eastAsia="宋体" w:cs="Times New Roman"/>
          <w:b/>
          <w:bCs/>
          <w:color w:val="auto"/>
          <w:sz w:val="28"/>
          <w:szCs w:val="20"/>
        </w:rPr>
      </w:pPr>
    </w:p>
    <w:p w14:paraId="7B825225">
      <w:pPr>
        <w:pStyle w:val="29"/>
        <w:ind w:firstLine="562"/>
        <w:rPr>
          <w:rFonts w:hint="default" w:ascii="Times New Roman" w:hAnsi="Times New Roman" w:eastAsia="宋体" w:cs="Times New Roman"/>
          <w:b/>
          <w:bCs/>
          <w:color w:val="auto"/>
          <w:sz w:val="28"/>
          <w:szCs w:val="20"/>
        </w:rPr>
      </w:pPr>
    </w:p>
    <w:p w14:paraId="5D622E49">
      <w:pPr>
        <w:pStyle w:val="29"/>
        <w:rPr>
          <w:rFonts w:hint="default" w:ascii="Times New Roman" w:hAnsi="Times New Roman" w:cs="Times New Roman"/>
          <w:color w:val="auto"/>
        </w:rPr>
      </w:pPr>
      <w:r>
        <w:rPr>
          <w:rFonts w:hint="default" w:ascii="Times New Roman" w:hAnsi="Times New Roman" w:cs="Times New Roman"/>
          <w:color w:val="auto"/>
        </w:rPr>
        <w:br w:type="page"/>
      </w:r>
    </w:p>
    <w:p w14:paraId="3BC66E72">
      <w:pPr>
        <w:pStyle w:val="34"/>
        <w:keepNext/>
        <w:keepLines/>
        <w:pageBreakBefore w:val="0"/>
        <w:widowControl/>
        <w:numPr>
          <w:ilvl w:val="1"/>
          <w:numId w:val="0"/>
        </w:numPr>
        <w:kinsoku/>
        <w:wordWrap/>
        <w:overflowPunct/>
        <w:topLinePunct w:val="0"/>
        <w:autoSpaceDE/>
        <w:autoSpaceDN/>
        <w:bidi w:val="0"/>
        <w:adjustRightInd/>
        <w:snapToGrid/>
        <w:spacing w:before="0" w:line="560" w:lineRule="exact"/>
        <w:jc w:val="both"/>
        <w:textAlignment w:val="auto"/>
        <w:rPr>
          <w:rFonts w:hint="default" w:ascii="黑体" w:hAnsi="黑体" w:eastAsia="黑体" w:cs="黑体"/>
          <w:b w:val="0"/>
          <w:bCs w:val="0"/>
          <w:color w:val="auto"/>
          <w:sz w:val="32"/>
          <w:szCs w:val="32"/>
        </w:rPr>
      </w:pPr>
      <w:bookmarkStart w:id="263" w:name="_Toc28069"/>
      <w:bookmarkStart w:id="264" w:name="_Toc1577"/>
      <w:bookmarkStart w:id="265" w:name="_Toc28199"/>
      <w:r>
        <w:rPr>
          <w:rFonts w:hint="default" w:ascii="黑体" w:hAnsi="黑体" w:eastAsia="黑体" w:cs="黑体"/>
          <w:b w:val="0"/>
          <w:bCs w:val="0"/>
          <w:color w:val="auto"/>
          <w:sz w:val="32"/>
          <w:szCs w:val="32"/>
        </w:rPr>
        <w:t>附件2</w:t>
      </w:r>
    </w:p>
    <w:p w14:paraId="6E6F72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rPr>
      </w:pPr>
    </w:p>
    <w:p w14:paraId="3D233E74">
      <w:pPr>
        <w:pStyle w:val="34"/>
        <w:keepNext/>
        <w:keepLines/>
        <w:pageBreakBefore w:val="0"/>
        <w:widowControl/>
        <w:numPr>
          <w:ilvl w:val="1"/>
          <w:numId w:val="0"/>
        </w:numPr>
        <w:kinsoku/>
        <w:wordWrap/>
        <w:overflowPunct/>
        <w:topLinePunct w:val="0"/>
        <w:autoSpaceDE/>
        <w:autoSpaceDN/>
        <w:bidi w:val="0"/>
        <w:adjustRightInd/>
        <w:snapToGrid/>
        <w:spacing w:before="0" w:line="560" w:lineRule="exact"/>
        <w:jc w:val="center"/>
        <w:textAlignment w:val="auto"/>
        <w:rPr>
          <w:rFonts w:hint="default" w:ascii="黑体" w:hAnsi="黑体" w:eastAsia="黑体" w:cs="黑体"/>
          <w:b w:val="0"/>
          <w:bCs w:val="0"/>
          <w:color w:val="auto"/>
          <w:sz w:val="44"/>
          <w:szCs w:val="44"/>
        </w:rPr>
      </w:pPr>
      <w:r>
        <w:rPr>
          <w:rFonts w:hint="default" w:ascii="黑体" w:hAnsi="黑体" w:eastAsia="黑体" w:cs="黑体"/>
          <w:b w:val="0"/>
          <w:bCs w:val="0"/>
          <w:color w:val="auto"/>
          <w:sz w:val="44"/>
          <w:szCs w:val="44"/>
        </w:rPr>
        <w:t>应急部门联系方式</w:t>
      </w:r>
      <w:bookmarkEnd w:id="263"/>
      <w:bookmarkEnd w:id="264"/>
      <w:bookmarkEnd w:id="265"/>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4416"/>
        <w:gridCol w:w="1359"/>
        <w:gridCol w:w="2345"/>
      </w:tblGrid>
      <w:tr w14:paraId="498F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blHeader/>
          <w:jc w:val="center"/>
        </w:trPr>
        <w:tc>
          <w:tcPr>
            <w:tcW w:w="517" w:type="pct"/>
            <w:vAlign w:val="center"/>
          </w:tcPr>
          <w:p w14:paraId="079FE12E">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eastAsia" w:ascii="黑体" w:hAnsi="黑体" w:eastAsia="黑体" w:cs="黑体"/>
                <w:b w:val="0"/>
                <w:bCs w:val="0"/>
                <w:color w:val="auto"/>
                <w:sz w:val="32"/>
                <w:szCs w:val="32"/>
                <w:shd w:val="clear" w:color="auto" w:fill="FFFFFF"/>
                <w:lang w:val="en-US" w:eastAsia="zh-CN"/>
              </w:rPr>
            </w:pPr>
            <w:r>
              <w:rPr>
                <w:rFonts w:hint="eastAsia" w:ascii="黑体" w:hAnsi="黑体" w:eastAsia="黑体" w:cs="黑体"/>
                <w:b w:val="0"/>
                <w:bCs w:val="0"/>
                <w:color w:val="auto"/>
                <w:sz w:val="32"/>
                <w:szCs w:val="32"/>
                <w:shd w:val="clear" w:color="auto" w:fill="FFFFFF"/>
                <w:lang w:val="en-US" w:eastAsia="zh-CN"/>
              </w:rPr>
              <w:t>序号</w:t>
            </w:r>
          </w:p>
        </w:tc>
        <w:tc>
          <w:tcPr>
            <w:tcW w:w="2437" w:type="pct"/>
            <w:vAlign w:val="center"/>
          </w:tcPr>
          <w:p w14:paraId="6348E89C">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单位</w:t>
            </w:r>
          </w:p>
        </w:tc>
        <w:tc>
          <w:tcPr>
            <w:tcW w:w="750" w:type="pct"/>
            <w:vAlign w:val="center"/>
          </w:tcPr>
          <w:p w14:paraId="2DB79E0B">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eastAsia" w:ascii="黑体" w:hAnsi="黑体" w:eastAsia="黑体" w:cs="黑体"/>
                <w:b w:val="0"/>
                <w:bCs w:val="0"/>
                <w:color w:val="auto"/>
                <w:sz w:val="32"/>
                <w:szCs w:val="32"/>
                <w:shd w:val="clear" w:color="auto" w:fill="FFFFFF"/>
                <w:lang w:val="en-US" w:eastAsia="zh-CN"/>
              </w:rPr>
            </w:pPr>
            <w:r>
              <w:rPr>
                <w:rFonts w:hint="eastAsia" w:ascii="黑体" w:hAnsi="黑体" w:eastAsia="黑体" w:cs="黑体"/>
                <w:b w:val="0"/>
                <w:bCs w:val="0"/>
                <w:color w:val="auto"/>
                <w:sz w:val="32"/>
                <w:szCs w:val="32"/>
                <w:shd w:val="clear" w:color="auto" w:fill="FFFFFF"/>
                <w:lang w:val="en-US" w:eastAsia="zh-CN"/>
              </w:rPr>
              <w:t>联系人</w:t>
            </w:r>
          </w:p>
        </w:tc>
        <w:tc>
          <w:tcPr>
            <w:tcW w:w="1294" w:type="pct"/>
            <w:vAlign w:val="center"/>
          </w:tcPr>
          <w:p w14:paraId="24894CA9">
            <w:pPr>
              <w:keepNext w:val="0"/>
              <w:keepLines w:val="0"/>
              <w:pageBreakBefore w:val="0"/>
              <w:widowControl/>
              <w:kinsoku/>
              <w:wordWrap/>
              <w:overflowPunct/>
              <w:topLinePunct w:val="0"/>
              <w:autoSpaceDE/>
              <w:autoSpaceDN/>
              <w:bidi w:val="0"/>
              <w:adjustRightInd/>
              <w:snapToGrid/>
              <w:spacing w:line="312" w:lineRule="auto"/>
              <w:ind w:firstLine="0" w:firstLineChars="0"/>
              <w:jc w:val="center"/>
              <w:textAlignment w:val="auto"/>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联系电话</w:t>
            </w:r>
          </w:p>
        </w:tc>
      </w:tr>
      <w:tr w14:paraId="4008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17" w:type="pct"/>
            <w:vAlign w:val="center"/>
          </w:tcPr>
          <w:p w14:paraId="0A4AAFA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w:t>
            </w:r>
          </w:p>
        </w:tc>
        <w:tc>
          <w:tcPr>
            <w:tcW w:w="2437" w:type="pct"/>
            <w:vAlign w:val="center"/>
          </w:tcPr>
          <w:p w14:paraId="773E2310">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昌江区委办公室</w:t>
            </w:r>
          </w:p>
        </w:tc>
        <w:tc>
          <w:tcPr>
            <w:tcW w:w="750" w:type="pct"/>
            <w:vAlign w:val="center"/>
          </w:tcPr>
          <w:p w14:paraId="788613F6">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宁俊锋</w:t>
            </w:r>
          </w:p>
        </w:tc>
        <w:tc>
          <w:tcPr>
            <w:tcW w:w="1294" w:type="pct"/>
            <w:vAlign w:val="center"/>
          </w:tcPr>
          <w:p w14:paraId="3BCCBA23">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15207088913</w:t>
            </w:r>
          </w:p>
        </w:tc>
      </w:tr>
      <w:tr w14:paraId="1AB2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517" w:type="pct"/>
            <w:vAlign w:val="center"/>
          </w:tcPr>
          <w:p w14:paraId="2EB25EF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2</w:t>
            </w:r>
          </w:p>
        </w:tc>
        <w:tc>
          <w:tcPr>
            <w:tcW w:w="2437" w:type="pct"/>
            <w:vAlign w:val="center"/>
          </w:tcPr>
          <w:p w14:paraId="0905950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昌江区政府办公室</w:t>
            </w:r>
          </w:p>
        </w:tc>
        <w:tc>
          <w:tcPr>
            <w:tcW w:w="750" w:type="pct"/>
            <w:vAlign w:val="center"/>
          </w:tcPr>
          <w:p w14:paraId="24F1816F">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周晓华</w:t>
            </w:r>
          </w:p>
        </w:tc>
        <w:tc>
          <w:tcPr>
            <w:tcW w:w="1294" w:type="pct"/>
            <w:vAlign w:val="center"/>
          </w:tcPr>
          <w:p w14:paraId="2C3E4E6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15807986897</w:t>
            </w:r>
          </w:p>
        </w:tc>
      </w:tr>
      <w:tr w14:paraId="47E6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17" w:type="pct"/>
            <w:vAlign w:val="center"/>
          </w:tcPr>
          <w:p w14:paraId="17A1FF6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3</w:t>
            </w:r>
          </w:p>
        </w:tc>
        <w:tc>
          <w:tcPr>
            <w:tcW w:w="2437" w:type="pct"/>
            <w:vAlign w:val="center"/>
          </w:tcPr>
          <w:p w14:paraId="627B941F">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昌江区委宣传部</w:t>
            </w:r>
          </w:p>
        </w:tc>
        <w:tc>
          <w:tcPr>
            <w:tcW w:w="750" w:type="pct"/>
            <w:vAlign w:val="center"/>
          </w:tcPr>
          <w:p w14:paraId="06CAF833">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许荣崽</w:t>
            </w:r>
          </w:p>
        </w:tc>
        <w:tc>
          <w:tcPr>
            <w:tcW w:w="1294" w:type="pct"/>
            <w:vAlign w:val="center"/>
          </w:tcPr>
          <w:p w14:paraId="39F0FD2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13707981320</w:t>
            </w:r>
          </w:p>
        </w:tc>
      </w:tr>
      <w:tr w14:paraId="1D3B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17" w:type="pct"/>
            <w:vAlign w:val="center"/>
          </w:tcPr>
          <w:p w14:paraId="6582433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4</w:t>
            </w:r>
          </w:p>
        </w:tc>
        <w:tc>
          <w:tcPr>
            <w:tcW w:w="2437" w:type="pct"/>
            <w:vAlign w:val="center"/>
          </w:tcPr>
          <w:p w14:paraId="765A266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景德镇市公安局昌江分局</w:t>
            </w:r>
          </w:p>
        </w:tc>
        <w:tc>
          <w:tcPr>
            <w:tcW w:w="750" w:type="pct"/>
            <w:vAlign w:val="center"/>
          </w:tcPr>
          <w:p w14:paraId="71C062CD">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袁智强</w:t>
            </w:r>
          </w:p>
        </w:tc>
        <w:tc>
          <w:tcPr>
            <w:tcW w:w="1294" w:type="pct"/>
            <w:vAlign w:val="center"/>
          </w:tcPr>
          <w:p w14:paraId="7445A78A">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0798-8335996</w:t>
            </w:r>
          </w:p>
        </w:tc>
      </w:tr>
      <w:tr w14:paraId="6843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17" w:type="pct"/>
            <w:vAlign w:val="center"/>
          </w:tcPr>
          <w:p w14:paraId="032BFF4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5</w:t>
            </w:r>
          </w:p>
        </w:tc>
        <w:tc>
          <w:tcPr>
            <w:tcW w:w="2437" w:type="pct"/>
            <w:vAlign w:val="center"/>
          </w:tcPr>
          <w:p w14:paraId="771D4C7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区农业农村水利局</w:t>
            </w:r>
          </w:p>
        </w:tc>
        <w:tc>
          <w:tcPr>
            <w:tcW w:w="750" w:type="pct"/>
            <w:vAlign w:val="center"/>
          </w:tcPr>
          <w:p w14:paraId="080EB15F">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王三平</w:t>
            </w:r>
          </w:p>
        </w:tc>
        <w:tc>
          <w:tcPr>
            <w:tcW w:w="1294" w:type="pct"/>
            <w:vAlign w:val="center"/>
          </w:tcPr>
          <w:p w14:paraId="41BD8DA7">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13907983402</w:t>
            </w:r>
          </w:p>
        </w:tc>
      </w:tr>
      <w:tr w14:paraId="394F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517" w:type="pct"/>
            <w:vAlign w:val="center"/>
          </w:tcPr>
          <w:p w14:paraId="3FDE01D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6</w:t>
            </w:r>
          </w:p>
        </w:tc>
        <w:tc>
          <w:tcPr>
            <w:tcW w:w="2437" w:type="pct"/>
            <w:vAlign w:val="center"/>
          </w:tcPr>
          <w:p w14:paraId="5B0427EC">
            <w:pPr>
              <w:pStyle w:val="44"/>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景德镇市自然资源和规划局</w:t>
            </w:r>
          </w:p>
          <w:p w14:paraId="5A5308AB">
            <w:pPr>
              <w:pStyle w:val="44"/>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昌江分局</w:t>
            </w:r>
          </w:p>
        </w:tc>
        <w:tc>
          <w:tcPr>
            <w:tcW w:w="750" w:type="pct"/>
            <w:vAlign w:val="center"/>
          </w:tcPr>
          <w:p w14:paraId="1F08B21B">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吴  翔</w:t>
            </w:r>
          </w:p>
        </w:tc>
        <w:tc>
          <w:tcPr>
            <w:tcW w:w="1294" w:type="pct"/>
            <w:vAlign w:val="center"/>
          </w:tcPr>
          <w:p w14:paraId="165AC92A">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15170309969</w:t>
            </w:r>
          </w:p>
        </w:tc>
      </w:tr>
      <w:tr w14:paraId="4487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33B199B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7</w:t>
            </w:r>
          </w:p>
        </w:tc>
        <w:tc>
          <w:tcPr>
            <w:tcW w:w="2437" w:type="pct"/>
            <w:vAlign w:val="center"/>
          </w:tcPr>
          <w:p w14:paraId="179FDA40">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区林业局</w:t>
            </w:r>
          </w:p>
        </w:tc>
        <w:tc>
          <w:tcPr>
            <w:tcW w:w="750" w:type="pct"/>
            <w:vAlign w:val="center"/>
          </w:tcPr>
          <w:p w14:paraId="3FD6BBBD">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江燕红</w:t>
            </w:r>
          </w:p>
        </w:tc>
        <w:tc>
          <w:tcPr>
            <w:tcW w:w="1294" w:type="pct"/>
            <w:vAlign w:val="center"/>
          </w:tcPr>
          <w:p w14:paraId="66ADF76A">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15307989595</w:t>
            </w:r>
          </w:p>
        </w:tc>
      </w:tr>
      <w:tr w14:paraId="6CEF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17" w:type="pct"/>
            <w:vAlign w:val="center"/>
          </w:tcPr>
          <w:p w14:paraId="7853B5B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8</w:t>
            </w:r>
          </w:p>
        </w:tc>
        <w:tc>
          <w:tcPr>
            <w:tcW w:w="2437" w:type="pct"/>
            <w:vAlign w:val="center"/>
          </w:tcPr>
          <w:p w14:paraId="3673D2E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区民政局</w:t>
            </w:r>
          </w:p>
        </w:tc>
        <w:tc>
          <w:tcPr>
            <w:tcW w:w="750" w:type="pct"/>
            <w:vAlign w:val="center"/>
          </w:tcPr>
          <w:p w14:paraId="2E101B4E">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周庆辉</w:t>
            </w:r>
          </w:p>
        </w:tc>
        <w:tc>
          <w:tcPr>
            <w:tcW w:w="1294" w:type="pct"/>
            <w:vAlign w:val="center"/>
          </w:tcPr>
          <w:p w14:paraId="45AB8453">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18679868182</w:t>
            </w:r>
          </w:p>
        </w:tc>
      </w:tr>
      <w:tr w14:paraId="5FB0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551ABD5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9</w:t>
            </w:r>
          </w:p>
        </w:tc>
        <w:tc>
          <w:tcPr>
            <w:tcW w:w="2437" w:type="pct"/>
            <w:vAlign w:val="center"/>
          </w:tcPr>
          <w:p w14:paraId="51B84BA0">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区财政局</w:t>
            </w:r>
          </w:p>
        </w:tc>
        <w:tc>
          <w:tcPr>
            <w:tcW w:w="750" w:type="pct"/>
            <w:vAlign w:val="center"/>
          </w:tcPr>
          <w:p w14:paraId="4D07D97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李展图</w:t>
            </w:r>
          </w:p>
        </w:tc>
        <w:tc>
          <w:tcPr>
            <w:tcW w:w="1294" w:type="pct"/>
            <w:vAlign w:val="center"/>
          </w:tcPr>
          <w:p w14:paraId="514E00DA">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15079829880</w:t>
            </w:r>
          </w:p>
        </w:tc>
      </w:tr>
      <w:tr w14:paraId="19D8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707458E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10</w:t>
            </w:r>
          </w:p>
        </w:tc>
        <w:tc>
          <w:tcPr>
            <w:tcW w:w="2437" w:type="pct"/>
            <w:vAlign w:val="center"/>
          </w:tcPr>
          <w:p w14:paraId="0C544A19">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区交通运输局</w:t>
            </w:r>
          </w:p>
        </w:tc>
        <w:tc>
          <w:tcPr>
            <w:tcW w:w="750" w:type="pct"/>
            <w:vAlign w:val="center"/>
          </w:tcPr>
          <w:p w14:paraId="4E9E3D9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侯志军</w:t>
            </w:r>
          </w:p>
        </w:tc>
        <w:tc>
          <w:tcPr>
            <w:tcW w:w="1294" w:type="pct"/>
            <w:vAlign w:val="center"/>
          </w:tcPr>
          <w:p w14:paraId="17F4623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18907986604</w:t>
            </w:r>
          </w:p>
        </w:tc>
      </w:tr>
      <w:tr w14:paraId="3DDF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30402B2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11</w:t>
            </w:r>
          </w:p>
        </w:tc>
        <w:tc>
          <w:tcPr>
            <w:tcW w:w="2437" w:type="pct"/>
            <w:vAlign w:val="center"/>
          </w:tcPr>
          <w:p w14:paraId="133C547B">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区卫健委</w:t>
            </w:r>
          </w:p>
        </w:tc>
        <w:tc>
          <w:tcPr>
            <w:tcW w:w="750" w:type="pct"/>
            <w:vAlign w:val="center"/>
          </w:tcPr>
          <w:p w14:paraId="4CF40035">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史方立</w:t>
            </w:r>
          </w:p>
        </w:tc>
        <w:tc>
          <w:tcPr>
            <w:tcW w:w="1294" w:type="pct"/>
            <w:vAlign w:val="center"/>
          </w:tcPr>
          <w:p w14:paraId="6D59729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13576413939</w:t>
            </w:r>
          </w:p>
        </w:tc>
      </w:tr>
      <w:tr w14:paraId="7FDC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127880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12</w:t>
            </w:r>
          </w:p>
        </w:tc>
        <w:tc>
          <w:tcPr>
            <w:tcW w:w="2437" w:type="pct"/>
            <w:vAlign w:val="center"/>
          </w:tcPr>
          <w:p w14:paraId="293E5D7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区应急管理局</w:t>
            </w:r>
          </w:p>
        </w:tc>
        <w:tc>
          <w:tcPr>
            <w:tcW w:w="750" w:type="pct"/>
            <w:vAlign w:val="center"/>
          </w:tcPr>
          <w:p w14:paraId="0D783BC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桂荣鉴</w:t>
            </w:r>
          </w:p>
        </w:tc>
        <w:tc>
          <w:tcPr>
            <w:tcW w:w="1294" w:type="pct"/>
            <w:vAlign w:val="center"/>
          </w:tcPr>
          <w:p w14:paraId="0E158F7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13979826112</w:t>
            </w:r>
          </w:p>
        </w:tc>
      </w:tr>
      <w:tr w14:paraId="4A33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AA485B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13</w:t>
            </w:r>
          </w:p>
        </w:tc>
        <w:tc>
          <w:tcPr>
            <w:tcW w:w="2437" w:type="pct"/>
            <w:vAlign w:val="center"/>
          </w:tcPr>
          <w:p w14:paraId="37B4CAE9">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区市场监管局</w:t>
            </w:r>
          </w:p>
        </w:tc>
        <w:tc>
          <w:tcPr>
            <w:tcW w:w="750" w:type="pct"/>
            <w:vAlign w:val="center"/>
          </w:tcPr>
          <w:p w14:paraId="1C5F4FFB">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黄洪波</w:t>
            </w:r>
          </w:p>
        </w:tc>
        <w:tc>
          <w:tcPr>
            <w:tcW w:w="1294" w:type="pct"/>
            <w:vAlign w:val="center"/>
          </w:tcPr>
          <w:p w14:paraId="0A02E902">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15179823277</w:t>
            </w:r>
          </w:p>
        </w:tc>
      </w:tr>
      <w:tr w14:paraId="4A36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7C0A4DB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14</w:t>
            </w:r>
          </w:p>
        </w:tc>
        <w:tc>
          <w:tcPr>
            <w:tcW w:w="2437" w:type="pct"/>
            <w:vAlign w:val="center"/>
          </w:tcPr>
          <w:p w14:paraId="3A8F077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区城市管理局</w:t>
            </w:r>
          </w:p>
        </w:tc>
        <w:tc>
          <w:tcPr>
            <w:tcW w:w="750" w:type="pct"/>
            <w:vAlign w:val="center"/>
          </w:tcPr>
          <w:p w14:paraId="7C4CF60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李  嵩</w:t>
            </w:r>
          </w:p>
        </w:tc>
        <w:tc>
          <w:tcPr>
            <w:tcW w:w="1294" w:type="pct"/>
            <w:vAlign w:val="center"/>
          </w:tcPr>
          <w:p w14:paraId="1F4F1A9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13576418881</w:t>
            </w:r>
          </w:p>
        </w:tc>
      </w:tr>
      <w:tr w14:paraId="614B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3CAAE1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15</w:t>
            </w:r>
          </w:p>
        </w:tc>
        <w:tc>
          <w:tcPr>
            <w:tcW w:w="2437" w:type="pct"/>
            <w:vAlign w:val="center"/>
          </w:tcPr>
          <w:p w14:paraId="7A9A89E7">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区住建局</w:t>
            </w:r>
          </w:p>
        </w:tc>
        <w:tc>
          <w:tcPr>
            <w:tcW w:w="750" w:type="pct"/>
            <w:vAlign w:val="center"/>
          </w:tcPr>
          <w:p w14:paraId="578ED733">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谭新成</w:t>
            </w:r>
          </w:p>
        </w:tc>
        <w:tc>
          <w:tcPr>
            <w:tcW w:w="1294" w:type="pct"/>
            <w:vAlign w:val="center"/>
          </w:tcPr>
          <w:p w14:paraId="3552D827">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13707981697</w:t>
            </w:r>
          </w:p>
        </w:tc>
      </w:tr>
      <w:tr w14:paraId="2082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613784A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16</w:t>
            </w:r>
          </w:p>
        </w:tc>
        <w:tc>
          <w:tcPr>
            <w:tcW w:w="2437" w:type="pct"/>
            <w:vAlign w:val="center"/>
          </w:tcPr>
          <w:p w14:paraId="05B09C6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区商务局</w:t>
            </w:r>
          </w:p>
        </w:tc>
        <w:tc>
          <w:tcPr>
            <w:tcW w:w="750" w:type="pct"/>
            <w:vAlign w:val="center"/>
          </w:tcPr>
          <w:p w14:paraId="70CBF3F9">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方桂平</w:t>
            </w:r>
          </w:p>
        </w:tc>
        <w:tc>
          <w:tcPr>
            <w:tcW w:w="1294" w:type="pct"/>
            <w:vAlign w:val="center"/>
          </w:tcPr>
          <w:p w14:paraId="3FE3AE5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13807980112</w:t>
            </w:r>
          </w:p>
        </w:tc>
      </w:tr>
      <w:tr w14:paraId="4915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CB11CA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17</w:t>
            </w:r>
          </w:p>
        </w:tc>
        <w:tc>
          <w:tcPr>
            <w:tcW w:w="2437" w:type="pct"/>
            <w:vAlign w:val="center"/>
          </w:tcPr>
          <w:p w14:paraId="31E6724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区发改委</w:t>
            </w:r>
          </w:p>
        </w:tc>
        <w:tc>
          <w:tcPr>
            <w:tcW w:w="750" w:type="pct"/>
            <w:vAlign w:val="center"/>
          </w:tcPr>
          <w:p w14:paraId="719B6F3D">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曹正义</w:t>
            </w:r>
          </w:p>
        </w:tc>
        <w:tc>
          <w:tcPr>
            <w:tcW w:w="1294" w:type="pct"/>
            <w:vAlign w:val="center"/>
          </w:tcPr>
          <w:p w14:paraId="53DFCF5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13979861759</w:t>
            </w:r>
          </w:p>
        </w:tc>
      </w:tr>
      <w:tr w14:paraId="0246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DD0063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18</w:t>
            </w:r>
          </w:p>
        </w:tc>
        <w:tc>
          <w:tcPr>
            <w:tcW w:w="2437" w:type="pct"/>
            <w:vAlign w:val="center"/>
          </w:tcPr>
          <w:p w14:paraId="799EC446">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区工信局</w:t>
            </w:r>
          </w:p>
        </w:tc>
        <w:tc>
          <w:tcPr>
            <w:tcW w:w="750" w:type="pct"/>
            <w:vAlign w:val="center"/>
          </w:tcPr>
          <w:p w14:paraId="6D7E5777">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董国金</w:t>
            </w:r>
          </w:p>
        </w:tc>
        <w:tc>
          <w:tcPr>
            <w:tcW w:w="1294" w:type="pct"/>
            <w:vAlign w:val="center"/>
          </w:tcPr>
          <w:p w14:paraId="64F2934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13307986619</w:t>
            </w:r>
          </w:p>
        </w:tc>
      </w:tr>
      <w:tr w14:paraId="19F9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A1B4D0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19</w:t>
            </w:r>
          </w:p>
        </w:tc>
        <w:tc>
          <w:tcPr>
            <w:tcW w:w="2437" w:type="pct"/>
            <w:vAlign w:val="center"/>
          </w:tcPr>
          <w:p w14:paraId="74D2546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区教育体育局</w:t>
            </w:r>
          </w:p>
        </w:tc>
        <w:tc>
          <w:tcPr>
            <w:tcW w:w="750" w:type="pct"/>
            <w:vAlign w:val="center"/>
          </w:tcPr>
          <w:p w14:paraId="1EF97402">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陈进辉</w:t>
            </w:r>
          </w:p>
        </w:tc>
        <w:tc>
          <w:tcPr>
            <w:tcW w:w="1294" w:type="pct"/>
            <w:vAlign w:val="center"/>
          </w:tcPr>
          <w:p w14:paraId="6FCEFDF0">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13507983450</w:t>
            </w:r>
          </w:p>
        </w:tc>
      </w:tr>
      <w:tr w14:paraId="6ECF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C18667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20</w:t>
            </w:r>
          </w:p>
        </w:tc>
        <w:tc>
          <w:tcPr>
            <w:tcW w:w="2437" w:type="pct"/>
            <w:vAlign w:val="center"/>
          </w:tcPr>
          <w:p w14:paraId="26D5000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景德镇市昌江生态环境局</w:t>
            </w:r>
          </w:p>
        </w:tc>
        <w:tc>
          <w:tcPr>
            <w:tcW w:w="750" w:type="pct"/>
            <w:vAlign w:val="center"/>
          </w:tcPr>
          <w:p w14:paraId="2AFD81E3">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俞伟炳</w:t>
            </w:r>
          </w:p>
        </w:tc>
        <w:tc>
          <w:tcPr>
            <w:tcW w:w="1294" w:type="pct"/>
            <w:vAlign w:val="center"/>
          </w:tcPr>
          <w:p w14:paraId="2DD45C42">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13707985317</w:t>
            </w:r>
          </w:p>
        </w:tc>
      </w:tr>
      <w:tr w14:paraId="6788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4F9943C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rPr>
              <w:t>2</w:t>
            </w:r>
            <w:r>
              <w:rPr>
                <w:rFonts w:hint="eastAsia" w:ascii="仿宋_GB2312" w:hAnsi="仿宋_GB2312" w:eastAsia="仿宋_GB2312" w:cs="仿宋_GB2312"/>
                <w:b w:val="0"/>
                <w:bCs w:val="0"/>
                <w:color w:val="auto"/>
                <w:sz w:val="32"/>
                <w:szCs w:val="32"/>
                <w:shd w:val="clear" w:color="auto" w:fill="FFFFFF"/>
                <w:lang w:val="en-US" w:eastAsia="zh-CN"/>
              </w:rPr>
              <w:t>1</w:t>
            </w:r>
          </w:p>
        </w:tc>
        <w:tc>
          <w:tcPr>
            <w:tcW w:w="2437" w:type="pct"/>
            <w:vAlign w:val="center"/>
          </w:tcPr>
          <w:p w14:paraId="40405F0D">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区审计局</w:t>
            </w:r>
          </w:p>
        </w:tc>
        <w:tc>
          <w:tcPr>
            <w:tcW w:w="750" w:type="pct"/>
            <w:vAlign w:val="center"/>
          </w:tcPr>
          <w:p w14:paraId="7D3698CE">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肖瑞芳</w:t>
            </w:r>
          </w:p>
        </w:tc>
        <w:tc>
          <w:tcPr>
            <w:tcW w:w="1294" w:type="pct"/>
            <w:vAlign w:val="center"/>
          </w:tcPr>
          <w:p w14:paraId="26FEA2A9">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15079990068</w:t>
            </w:r>
          </w:p>
        </w:tc>
      </w:tr>
      <w:tr w14:paraId="5F7E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2DF46C7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rPr>
              <w:t>2</w:t>
            </w:r>
            <w:r>
              <w:rPr>
                <w:rFonts w:hint="eastAsia" w:ascii="仿宋_GB2312" w:hAnsi="仿宋_GB2312" w:eastAsia="仿宋_GB2312" w:cs="仿宋_GB2312"/>
                <w:b w:val="0"/>
                <w:bCs w:val="0"/>
                <w:color w:val="auto"/>
                <w:sz w:val="32"/>
                <w:szCs w:val="32"/>
                <w:shd w:val="clear" w:color="auto" w:fill="FFFFFF"/>
                <w:lang w:val="en-US" w:eastAsia="zh-CN"/>
              </w:rPr>
              <w:t>2</w:t>
            </w:r>
          </w:p>
        </w:tc>
        <w:tc>
          <w:tcPr>
            <w:tcW w:w="2437" w:type="pct"/>
            <w:vAlign w:val="center"/>
          </w:tcPr>
          <w:p w14:paraId="50BFB7D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lang w:val="en-US" w:eastAsia="zh-CN"/>
              </w:rPr>
              <w:t>昌江</w:t>
            </w:r>
            <w:r>
              <w:rPr>
                <w:rFonts w:hint="eastAsia" w:ascii="仿宋_GB2312" w:hAnsi="仿宋_GB2312" w:eastAsia="仿宋_GB2312" w:cs="仿宋_GB2312"/>
                <w:b w:val="0"/>
                <w:bCs w:val="0"/>
                <w:sz w:val="32"/>
                <w:szCs w:val="32"/>
                <w:lang w:val="en-US" w:eastAsia="zh-CN"/>
              </w:rPr>
              <w:t>区消防救援大队</w:t>
            </w:r>
          </w:p>
        </w:tc>
        <w:tc>
          <w:tcPr>
            <w:tcW w:w="750" w:type="pct"/>
            <w:vAlign w:val="center"/>
          </w:tcPr>
          <w:p w14:paraId="4D65D16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梅志芳</w:t>
            </w:r>
          </w:p>
        </w:tc>
        <w:tc>
          <w:tcPr>
            <w:tcW w:w="1294" w:type="pct"/>
            <w:vAlign w:val="center"/>
          </w:tcPr>
          <w:p w14:paraId="2C20FE5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sz w:val="32"/>
                <w:szCs w:val="32"/>
                <w:lang w:val="en-US" w:eastAsia="zh-CN"/>
              </w:rPr>
              <w:t>13979836119</w:t>
            </w:r>
          </w:p>
        </w:tc>
      </w:tr>
      <w:tr w14:paraId="7575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74B6ED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23</w:t>
            </w:r>
          </w:p>
        </w:tc>
        <w:tc>
          <w:tcPr>
            <w:tcW w:w="2437" w:type="pct"/>
            <w:vAlign w:val="center"/>
          </w:tcPr>
          <w:p w14:paraId="40485B5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昌江产业园管理委员会</w:t>
            </w:r>
          </w:p>
        </w:tc>
        <w:tc>
          <w:tcPr>
            <w:tcW w:w="750" w:type="pct"/>
            <w:vAlign w:val="center"/>
          </w:tcPr>
          <w:p w14:paraId="1BB7A805">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张宜晨</w:t>
            </w:r>
          </w:p>
        </w:tc>
        <w:tc>
          <w:tcPr>
            <w:tcW w:w="1294" w:type="pct"/>
            <w:vAlign w:val="center"/>
          </w:tcPr>
          <w:p w14:paraId="021B3B36">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15607088900</w:t>
            </w:r>
          </w:p>
        </w:tc>
      </w:tr>
      <w:tr w14:paraId="426C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251E5C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24</w:t>
            </w:r>
          </w:p>
        </w:tc>
        <w:tc>
          <w:tcPr>
            <w:tcW w:w="2437" w:type="pct"/>
            <w:vAlign w:val="center"/>
          </w:tcPr>
          <w:p w14:paraId="2BD9EF1E">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昌江产业园污水处理厂</w:t>
            </w:r>
          </w:p>
        </w:tc>
        <w:tc>
          <w:tcPr>
            <w:tcW w:w="750" w:type="pct"/>
            <w:vAlign w:val="center"/>
          </w:tcPr>
          <w:p w14:paraId="0EDEDC11">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吴建银</w:t>
            </w:r>
          </w:p>
        </w:tc>
        <w:tc>
          <w:tcPr>
            <w:tcW w:w="1294" w:type="pct"/>
            <w:vAlign w:val="center"/>
          </w:tcPr>
          <w:p w14:paraId="1178F8F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13361788437</w:t>
            </w:r>
          </w:p>
        </w:tc>
      </w:tr>
      <w:tr w14:paraId="190D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60AB177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25</w:t>
            </w:r>
          </w:p>
        </w:tc>
        <w:tc>
          <w:tcPr>
            <w:tcW w:w="2437" w:type="pct"/>
            <w:vAlign w:val="center"/>
          </w:tcPr>
          <w:p w14:paraId="6AE18B2E">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景德镇市自来水公司</w:t>
            </w:r>
          </w:p>
        </w:tc>
        <w:tc>
          <w:tcPr>
            <w:tcW w:w="750" w:type="pct"/>
            <w:vAlign w:val="center"/>
          </w:tcPr>
          <w:p w14:paraId="64C89B44">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方辉</w:t>
            </w:r>
          </w:p>
        </w:tc>
        <w:tc>
          <w:tcPr>
            <w:tcW w:w="1294" w:type="pct"/>
            <w:vAlign w:val="center"/>
          </w:tcPr>
          <w:p w14:paraId="2AB2E6A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13979883837</w:t>
            </w:r>
          </w:p>
        </w:tc>
      </w:tr>
      <w:tr w14:paraId="1AE8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D26708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26</w:t>
            </w:r>
          </w:p>
        </w:tc>
        <w:tc>
          <w:tcPr>
            <w:tcW w:w="2437" w:type="pct"/>
            <w:vAlign w:val="center"/>
          </w:tcPr>
          <w:p w14:paraId="29D27239">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景德镇华润燃气有限公司</w:t>
            </w:r>
          </w:p>
        </w:tc>
        <w:tc>
          <w:tcPr>
            <w:tcW w:w="750" w:type="pct"/>
            <w:vAlign w:val="center"/>
          </w:tcPr>
          <w:p w14:paraId="15AF32AF">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缪永林</w:t>
            </w:r>
          </w:p>
        </w:tc>
        <w:tc>
          <w:tcPr>
            <w:tcW w:w="1294" w:type="pct"/>
            <w:vAlign w:val="center"/>
          </w:tcPr>
          <w:p w14:paraId="655327C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17779820112</w:t>
            </w:r>
          </w:p>
        </w:tc>
      </w:tr>
      <w:tr w14:paraId="4FC6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6C08FDD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27</w:t>
            </w:r>
          </w:p>
        </w:tc>
        <w:tc>
          <w:tcPr>
            <w:tcW w:w="2437" w:type="pct"/>
            <w:vAlign w:val="center"/>
          </w:tcPr>
          <w:p w14:paraId="3056D360">
            <w:pPr>
              <w:pStyle w:val="44"/>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国网江西省电力有限公司景德镇市昌江区供电分公司</w:t>
            </w:r>
          </w:p>
        </w:tc>
        <w:tc>
          <w:tcPr>
            <w:tcW w:w="750" w:type="pct"/>
            <w:vAlign w:val="center"/>
          </w:tcPr>
          <w:p w14:paraId="23CEEF32">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孟德智</w:t>
            </w:r>
          </w:p>
        </w:tc>
        <w:tc>
          <w:tcPr>
            <w:tcW w:w="1294" w:type="pct"/>
            <w:vAlign w:val="center"/>
          </w:tcPr>
          <w:p w14:paraId="61BDE5B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13879874744</w:t>
            </w:r>
          </w:p>
        </w:tc>
      </w:tr>
      <w:tr w14:paraId="62D3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0EDD3CE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28</w:t>
            </w:r>
          </w:p>
        </w:tc>
        <w:tc>
          <w:tcPr>
            <w:tcW w:w="2437" w:type="pct"/>
            <w:vAlign w:val="center"/>
          </w:tcPr>
          <w:p w14:paraId="5B694829">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中国移动景德镇分公司</w:t>
            </w:r>
          </w:p>
        </w:tc>
        <w:tc>
          <w:tcPr>
            <w:tcW w:w="750" w:type="pct"/>
            <w:vAlign w:val="center"/>
          </w:tcPr>
          <w:p w14:paraId="6AE38E90">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郭  卓</w:t>
            </w:r>
          </w:p>
        </w:tc>
        <w:tc>
          <w:tcPr>
            <w:tcW w:w="1294" w:type="pct"/>
            <w:vAlign w:val="center"/>
          </w:tcPr>
          <w:p w14:paraId="263A119C">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13607986548</w:t>
            </w:r>
          </w:p>
        </w:tc>
      </w:tr>
      <w:tr w14:paraId="7663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188DFA4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29</w:t>
            </w:r>
          </w:p>
        </w:tc>
        <w:tc>
          <w:tcPr>
            <w:tcW w:w="2437" w:type="pct"/>
            <w:vAlign w:val="center"/>
          </w:tcPr>
          <w:p w14:paraId="2CFAFFEF">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中国电信景德镇分公司</w:t>
            </w:r>
          </w:p>
        </w:tc>
        <w:tc>
          <w:tcPr>
            <w:tcW w:w="750" w:type="pct"/>
            <w:vAlign w:val="center"/>
          </w:tcPr>
          <w:p w14:paraId="34CDB29F">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方显苗</w:t>
            </w:r>
          </w:p>
        </w:tc>
        <w:tc>
          <w:tcPr>
            <w:tcW w:w="1294" w:type="pct"/>
            <w:vAlign w:val="center"/>
          </w:tcPr>
          <w:p w14:paraId="6EE90EC3">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18979877088</w:t>
            </w:r>
          </w:p>
        </w:tc>
      </w:tr>
      <w:tr w14:paraId="08EE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17" w:type="pct"/>
            <w:vAlign w:val="center"/>
          </w:tcPr>
          <w:p w14:paraId="507063E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auto"/>
                <w:sz w:val="32"/>
                <w:szCs w:val="32"/>
                <w:shd w:val="clear" w:color="auto" w:fill="FFFFFF"/>
                <w:lang w:val="en-US" w:eastAsia="zh-CN"/>
              </w:rPr>
            </w:pPr>
            <w:r>
              <w:rPr>
                <w:rFonts w:hint="eastAsia" w:ascii="仿宋_GB2312" w:hAnsi="仿宋_GB2312" w:eastAsia="仿宋_GB2312" w:cs="仿宋_GB2312"/>
                <w:b w:val="0"/>
                <w:bCs w:val="0"/>
                <w:color w:val="auto"/>
                <w:sz w:val="32"/>
                <w:szCs w:val="32"/>
                <w:shd w:val="clear" w:color="auto" w:fill="FFFFFF"/>
                <w:lang w:val="en-US" w:eastAsia="zh-CN"/>
              </w:rPr>
              <w:t>30</w:t>
            </w:r>
          </w:p>
        </w:tc>
        <w:tc>
          <w:tcPr>
            <w:tcW w:w="2437" w:type="pct"/>
            <w:vAlign w:val="center"/>
          </w:tcPr>
          <w:p w14:paraId="6FCD9BC2">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中国联通景德镇分公司</w:t>
            </w:r>
          </w:p>
        </w:tc>
        <w:tc>
          <w:tcPr>
            <w:tcW w:w="750" w:type="pct"/>
            <w:vAlign w:val="center"/>
          </w:tcPr>
          <w:p w14:paraId="2CC70748">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李  玲</w:t>
            </w:r>
          </w:p>
        </w:tc>
        <w:tc>
          <w:tcPr>
            <w:tcW w:w="1294" w:type="pct"/>
            <w:vAlign w:val="center"/>
          </w:tcPr>
          <w:p w14:paraId="7D2B4EF0">
            <w:pPr>
              <w:pStyle w:val="44"/>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18679801456</w:t>
            </w:r>
          </w:p>
        </w:tc>
      </w:tr>
    </w:tbl>
    <w:p w14:paraId="1AF2D3EB">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color w:val="auto"/>
          <w:kern w:val="0"/>
          <w:sz w:val="32"/>
          <w:szCs w:val="32"/>
        </w:rPr>
        <w:t>*：</w:t>
      </w:r>
      <w:r>
        <w:rPr>
          <w:rFonts w:hint="default" w:ascii="仿宋_GB2312" w:hAnsi="仿宋_GB2312" w:eastAsia="仿宋_GB2312" w:cs="仿宋_GB2312"/>
          <w:snapToGrid w:val="0"/>
          <w:color w:val="auto"/>
          <w:kern w:val="0"/>
          <w:sz w:val="32"/>
          <w:szCs w:val="32"/>
        </w:rPr>
        <w:t>应急组织指挥机构、现场应急指挥部的组成及工作职责，为本应急预案的重要组成部分，本应急预案列出了所有参与应急指挥、协调活动的单位和联系电话，期间如有人员变化由协调办公室及时</w:t>
      </w:r>
      <w:r>
        <w:rPr>
          <w:rFonts w:hint="eastAsia" w:ascii="仿宋_GB2312" w:hAnsi="仿宋_GB2312" w:eastAsia="仿宋_GB2312" w:cs="仿宋_GB2312"/>
          <w:snapToGrid w:val="0"/>
          <w:color w:val="auto"/>
          <w:kern w:val="0"/>
          <w:sz w:val="32"/>
          <w:szCs w:val="32"/>
          <w:lang w:eastAsia="zh-CN"/>
        </w:rPr>
        <w:t>作出</w:t>
      </w:r>
      <w:r>
        <w:rPr>
          <w:rFonts w:hint="default" w:ascii="仿宋_GB2312" w:hAnsi="仿宋_GB2312" w:eastAsia="仿宋_GB2312" w:cs="仿宋_GB2312"/>
          <w:snapToGrid w:val="0"/>
          <w:color w:val="auto"/>
          <w:kern w:val="0"/>
          <w:sz w:val="32"/>
          <w:szCs w:val="32"/>
        </w:rPr>
        <w:t>更新。</w:t>
      </w:r>
    </w:p>
    <w:p w14:paraId="71D539CD">
      <w:pPr>
        <w:keepNext w:val="0"/>
        <w:keepLines w:val="0"/>
        <w:pageBreakBefore w:val="0"/>
        <w:widowControl/>
        <w:kinsoku/>
        <w:wordWrap/>
        <w:overflowPunct/>
        <w:topLinePunct w:val="0"/>
        <w:autoSpaceDE/>
        <w:autoSpaceDN/>
        <w:bidi w:val="0"/>
        <w:adjustRightInd/>
        <w:snapToGrid/>
        <w:spacing w:line="56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snapToGrid w:val="0"/>
          <w:color w:val="auto"/>
          <w:kern w:val="0"/>
          <w:sz w:val="32"/>
          <w:szCs w:val="32"/>
        </w:rPr>
        <w:t>上述内容均应以预案附件的形式予以明确。</w:t>
      </w:r>
    </w:p>
    <w:p w14:paraId="33E07FB6">
      <w:pPr>
        <w:pStyle w:val="29"/>
        <w:ind w:left="0" w:leftChars="0" w:firstLine="0" w:firstLineChars="0"/>
        <w:rPr>
          <w:rFonts w:hint="default" w:ascii="Times New Roman" w:hAnsi="Times New Roman" w:eastAsia="宋体" w:cs="Times New Roman"/>
          <w:b/>
          <w:bCs/>
          <w:color w:val="auto"/>
          <w:sz w:val="28"/>
          <w:szCs w:val="20"/>
        </w:rPr>
        <w:sectPr>
          <w:footerReference r:id="rId7" w:type="default"/>
          <w:pgSz w:w="11906" w:h="16838"/>
          <w:pgMar w:top="2098" w:right="1474" w:bottom="1984" w:left="1587" w:header="851" w:footer="992" w:gutter="0"/>
          <w:pgNumType w:fmt="decimal"/>
          <w:cols w:space="425" w:num="1"/>
          <w:docGrid w:type="lines" w:linePitch="312" w:charSpace="0"/>
        </w:sectPr>
      </w:pPr>
    </w:p>
    <w:p w14:paraId="29D8BD84">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both"/>
        <w:textAlignment w:val="auto"/>
        <w:rPr>
          <w:rFonts w:hint="default" w:ascii="黑体" w:hAnsi="黑体" w:eastAsia="黑体" w:cs="黑体"/>
          <w:b w:val="0"/>
          <w:bCs w:val="0"/>
          <w:color w:val="auto"/>
          <w:sz w:val="32"/>
          <w:szCs w:val="32"/>
          <w:lang w:val="en-US" w:eastAsia="zh-CN"/>
        </w:rPr>
      </w:pPr>
      <w:bookmarkStart w:id="266" w:name="_Toc297"/>
      <w:bookmarkStart w:id="267" w:name="_Toc5537"/>
      <w:bookmarkStart w:id="268" w:name="_Toc4504"/>
      <w:bookmarkStart w:id="269" w:name="_Toc2742"/>
      <w:r>
        <w:rPr>
          <w:rFonts w:hint="default" w:ascii="黑体" w:hAnsi="黑体" w:eastAsia="黑体" w:cs="黑体"/>
          <w:b w:val="0"/>
          <w:bCs w:val="0"/>
          <w:color w:val="auto"/>
          <w:sz w:val="32"/>
          <w:szCs w:val="32"/>
        </w:rPr>
        <w:t>附件</w:t>
      </w:r>
      <w:r>
        <w:rPr>
          <w:rFonts w:hint="default" w:ascii="黑体" w:hAnsi="黑体" w:eastAsia="黑体" w:cs="黑体"/>
          <w:b w:val="0"/>
          <w:bCs w:val="0"/>
          <w:color w:val="auto"/>
          <w:sz w:val="32"/>
          <w:szCs w:val="32"/>
          <w:lang w:val="en-US" w:eastAsia="zh-CN"/>
        </w:rPr>
        <w:t>3</w:t>
      </w:r>
    </w:p>
    <w:p w14:paraId="48F3C0DE">
      <w:pPr>
        <w:rPr>
          <w:rFonts w:hint="default"/>
          <w:lang w:val="en-US" w:eastAsia="zh-CN"/>
        </w:rPr>
      </w:pPr>
    </w:p>
    <w:p w14:paraId="29BED547">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应急管理工作流程示意图</w:t>
      </w:r>
      <w:bookmarkEnd w:id="266"/>
      <w:bookmarkEnd w:id="267"/>
      <w:bookmarkEnd w:id="268"/>
      <w:bookmarkEnd w:id="269"/>
    </w:p>
    <w:p w14:paraId="0F8D5CFC">
      <w:pPr>
        <w:rPr>
          <w:rFonts w:hint="default"/>
        </w:rPr>
      </w:pPr>
    </w:p>
    <w:p w14:paraId="0E942778">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8480" behindDoc="0" locked="0" layoutInCell="1" allowOverlap="1">
                <wp:simplePos x="0" y="0"/>
                <wp:positionH relativeFrom="column">
                  <wp:posOffset>2480310</wp:posOffset>
                </wp:positionH>
                <wp:positionV relativeFrom="paragraph">
                  <wp:posOffset>69215</wp:posOffset>
                </wp:positionV>
                <wp:extent cx="1259840" cy="288290"/>
                <wp:effectExtent l="4445" t="4445" r="12065" b="12065"/>
                <wp:wrapNone/>
                <wp:docPr id="60" name="文本框 60"/>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21BF28B0">
                            <w:pPr>
                              <w:spacing w:line="240" w:lineRule="auto"/>
                              <w:ind w:firstLine="0" w:firstLineChars="0"/>
                              <w:jc w:val="center"/>
                              <w:rPr>
                                <w:rFonts w:asciiTheme="minorHAnsi" w:hAnsiTheme="minorHAnsi" w:eastAsiaTheme="minorEastAsia" w:cstheme="minorBidi"/>
                                <w:sz w:val="21"/>
                              </w:rPr>
                            </w:pPr>
                            <w:r>
                              <w:rPr>
                                <w:rFonts w:asciiTheme="minorHAnsi" w:hAnsiTheme="minorHAnsi" w:eastAsiaTheme="minorEastAsia" w:cstheme="minorBidi"/>
                                <w:sz w:val="21"/>
                              </w:rPr>
                              <w:t>事发地报警</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5.3pt;margin-top:5.45pt;height:22.7pt;width:99.2pt;z-index:251668480;mso-width-relative:page;mso-height-relative:page;" fillcolor="#FFFFFF" filled="t" stroked="t" coordsize="21600,21600" o:gfxdata="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uYYc99cAAAAJAQAADwAAAAAAAAABACAA&#10;AAAiAAAAZHJzL2Rvd25yZXYueG1sUEsBAhQAFAAAAAgAh07iQMx5nktHAgAAlwQAAA4AAAAAAAAA&#10;AQAgAAAAJgEAAGRycy9lMm9Eb2MueG1sUEsFBgAAAAAGAAYAWQEAAN8FAAAAAA==&#10;">
                <v:fill on="t" focussize="0,0"/>
                <v:stroke color="#000000" miterlimit="8" joinstyle="miter"/>
                <v:imagedata o:title=""/>
                <o:lock v:ext="edit" aspectratio="f"/>
                <v:textbox>
                  <w:txbxContent>
                    <w:p w14:paraId="21BF28B0">
                      <w:pPr>
                        <w:spacing w:line="240" w:lineRule="auto"/>
                        <w:ind w:firstLine="0" w:firstLineChars="0"/>
                        <w:jc w:val="center"/>
                        <w:rPr>
                          <w:rFonts w:asciiTheme="minorHAnsi" w:hAnsiTheme="minorHAnsi" w:eastAsiaTheme="minorEastAsia" w:cstheme="minorBidi"/>
                          <w:sz w:val="21"/>
                        </w:rPr>
                      </w:pPr>
                      <w:r>
                        <w:rPr>
                          <w:rFonts w:asciiTheme="minorHAnsi" w:hAnsiTheme="minorHAnsi" w:eastAsiaTheme="minorEastAsia" w:cstheme="minorBidi"/>
                          <w:sz w:val="21"/>
                        </w:rPr>
                        <w:t>事发地报警</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9504" behindDoc="0" locked="0" layoutInCell="1" allowOverlap="1">
                <wp:simplePos x="0" y="0"/>
                <wp:positionH relativeFrom="column">
                  <wp:posOffset>3075305</wp:posOffset>
                </wp:positionH>
                <wp:positionV relativeFrom="paragraph">
                  <wp:posOffset>357505</wp:posOffset>
                </wp:positionV>
                <wp:extent cx="0" cy="360045"/>
                <wp:effectExtent l="38100" t="0" r="38100" b="1905"/>
                <wp:wrapNone/>
                <wp:docPr id="53" name="直接箭头连接符 53"/>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42.15pt;margin-top:28.15pt;height:28.35pt;width:0pt;z-index:251669504;mso-width-relative:page;mso-height-relative:page;" filled="f" stroked="t" coordsize="21600,21600" o:gfxdata="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2DandgAAAAKAQAADwAAAAAA&#10;AAABACAAAAAiAAAAZHJzL2Rvd25yZXYueG1sUEsBAhQAFAAAAAgAh07iQO1gb9UTAgAA+wMAAA4A&#10;AAAAAAAAAQAgAAAAJwEAAGRycy9lMm9Eb2MueG1sUEsFBgAAAAAGAAYAWQEAAKwFAAAAAA==&#10;">
                <v:fill on="f" focussize="0,0"/>
                <v:stroke color="#000000" joinstyle="round" endarrow="block"/>
                <v:imagedata o:title=""/>
                <o:lock v:ext="edit" aspectratio="f"/>
              </v:shape>
            </w:pict>
          </mc:Fallback>
        </mc:AlternateContent>
      </w:r>
    </w:p>
    <w:p w14:paraId="179E15F1">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2816" behindDoc="0" locked="0" layoutInCell="1" allowOverlap="1">
                <wp:simplePos x="0" y="0"/>
                <wp:positionH relativeFrom="column">
                  <wp:posOffset>94615</wp:posOffset>
                </wp:positionH>
                <wp:positionV relativeFrom="paragraph">
                  <wp:posOffset>293370</wp:posOffset>
                </wp:positionV>
                <wp:extent cx="2005965" cy="300990"/>
                <wp:effectExtent l="5080" t="4445" r="484505" b="18415"/>
                <wp:wrapNone/>
                <wp:docPr id="51" name="矩形标注 51"/>
                <wp:cNvGraphicFramePr/>
                <a:graphic xmlns:a="http://schemas.openxmlformats.org/drawingml/2006/main">
                  <a:graphicData uri="http://schemas.microsoft.com/office/word/2010/wordprocessingShape">
                    <wps:wsp>
                      <wps:cNvSpPr>
                        <a:spLocks noChangeArrowheads="1"/>
                      </wps:cNvSpPr>
                      <wps:spPr bwMode="auto">
                        <a:xfrm>
                          <a:off x="0" y="0"/>
                          <a:ext cx="2005965" cy="300990"/>
                        </a:xfrm>
                        <a:prstGeom prst="wedgeRectCallout">
                          <a:avLst>
                            <a:gd name="adj1" fmla="val 71417"/>
                            <a:gd name="adj2" fmla="val -1324"/>
                          </a:avLst>
                        </a:prstGeom>
                        <a:solidFill>
                          <a:srgbClr val="FFFFFF"/>
                        </a:solidFill>
                        <a:ln w="6350">
                          <a:solidFill>
                            <a:srgbClr val="000000"/>
                          </a:solidFill>
                          <a:miter lim="800000"/>
                        </a:ln>
                        <a:effectLst/>
                      </wps:spPr>
                      <wps:txbx>
                        <w:txbxContent>
                          <w:p w14:paraId="6A331487">
                            <w:pPr>
                              <w:spacing w:line="240" w:lineRule="auto"/>
                              <w:ind w:firstLine="0" w:firstLineChars="0"/>
                              <w:jc w:val="center"/>
                              <w:rPr>
                                <w:rFonts w:asciiTheme="minorHAnsi" w:hAnsiTheme="minorHAnsi" w:eastAsiaTheme="minorEastAsia" w:cstheme="minorBidi"/>
                                <w:spacing w:val="-11"/>
                                <w:sz w:val="21"/>
                              </w:rPr>
                            </w:pPr>
                            <w:r>
                              <w:rPr>
                                <w:rFonts w:hint="eastAsia" w:asciiTheme="minorHAnsi" w:hAnsiTheme="minorHAnsi" w:eastAsiaTheme="minorEastAsia" w:cstheme="minorBidi"/>
                                <w:spacing w:val="-11"/>
                                <w:sz w:val="21"/>
                              </w:rPr>
                              <w:t>事发地乡镇镇</w:t>
                            </w:r>
                            <w:r>
                              <w:rPr>
                                <w:rFonts w:asciiTheme="minorHAnsi" w:hAnsiTheme="minorHAnsi" w:eastAsiaTheme="minorEastAsia" w:cstheme="minorBidi"/>
                                <w:spacing w:val="-11"/>
                                <w:sz w:val="21"/>
                              </w:rPr>
                              <w:t>政府</w:t>
                            </w:r>
                            <w:r>
                              <w:rPr>
                                <w:rFonts w:hint="eastAsia" w:asciiTheme="minorHAnsi" w:hAnsiTheme="minorHAnsi" w:eastAsiaTheme="minorEastAsia" w:cstheme="minorBidi"/>
                                <w:spacing w:val="-11"/>
                                <w:sz w:val="21"/>
                              </w:rPr>
                              <w:t>、街道及管委会</w:t>
                            </w:r>
                          </w:p>
                        </w:txbxContent>
                      </wps:txbx>
                      <wps:bodyPr rot="0" vert="horz" wrap="square" lIns="91440" tIns="45720" rIns="91440" bIns="45720" anchor="t" anchorCtr="0" upright="1">
                        <a:noAutofit/>
                      </wps:bodyPr>
                    </wps:wsp>
                  </a:graphicData>
                </a:graphic>
              </wp:anchor>
            </w:drawing>
          </mc:Choice>
          <mc:Fallback>
            <w:pict>
              <v:shape id="_x0000_s1026" o:spid="_x0000_s1026" o:spt="61" type="#_x0000_t61" style="position:absolute;left:0pt;margin-left:7.45pt;margin-top:23.1pt;height:23.7pt;width:157.95pt;z-index:251682816;mso-width-relative:page;mso-height-relative:page;" fillcolor="#FFFFFF" filled="t" stroked="t" coordsize="21600,21600" o:gfxdata="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e2Co91gAAAAgBAAAPAAAAAAAAAAEAIAAAACIAAABkcnMvZG93&#10;bnJldi54bWxQSwECFAAUAAAACACHTuJALI9OBHQCAADtBAAADgAAAAAAAAABACAAAAAlAQAAZHJz&#10;L2Uyb0RvYy54bWxQSwUGAAAAAAYABgBZAQAACwYAAAAA&#10;" adj="26226,10514">
                <v:fill on="t" focussize="0,0"/>
                <v:stroke weight="0.5pt" color="#000000" miterlimit="8" joinstyle="miter"/>
                <v:imagedata o:title=""/>
                <o:lock v:ext="edit" aspectratio="f"/>
                <v:textbox>
                  <w:txbxContent>
                    <w:p w14:paraId="6A331487">
                      <w:pPr>
                        <w:spacing w:line="240" w:lineRule="auto"/>
                        <w:ind w:firstLine="0" w:firstLineChars="0"/>
                        <w:jc w:val="center"/>
                        <w:rPr>
                          <w:rFonts w:asciiTheme="minorHAnsi" w:hAnsiTheme="minorHAnsi" w:eastAsiaTheme="minorEastAsia" w:cstheme="minorBidi"/>
                          <w:spacing w:val="-11"/>
                          <w:sz w:val="21"/>
                        </w:rPr>
                      </w:pPr>
                      <w:r>
                        <w:rPr>
                          <w:rFonts w:hint="eastAsia" w:asciiTheme="minorHAnsi" w:hAnsiTheme="minorHAnsi" w:eastAsiaTheme="minorEastAsia" w:cstheme="minorBidi"/>
                          <w:spacing w:val="-11"/>
                          <w:sz w:val="21"/>
                        </w:rPr>
                        <w:t>事发地乡镇镇</w:t>
                      </w:r>
                      <w:r>
                        <w:rPr>
                          <w:rFonts w:asciiTheme="minorHAnsi" w:hAnsiTheme="minorHAnsi" w:eastAsiaTheme="minorEastAsia" w:cstheme="minorBidi"/>
                          <w:spacing w:val="-11"/>
                          <w:sz w:val="21"/>
                        </w:rPr>
                        <w:t>政府</w:t>
                      </w:r>
                      <w:r>
                        <w:rPr>
                          <w:rFonts w:hint="eastAsia" w:asciiTheme="minorHAnsi" w:hAnsiTheme="minorHAnsi" w:eastAsiaTheme="minorEastAsia" w:cstheme="minorBidi"/>
                          <w:spacing w:val="-11"/>
                          <w:sz w:val="21"/>
                        </w:rPr>
                        <w:t>、街道及管委会</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0528" behindDoc="0" locked="0" layoutInCell="1" allowOverlap="1">
                <wp:simplePos x="0" y="0"/>
                <wp:positionH relativeFrom="column">
                  <wp:posOffset>2469515</wp:posOffset>
                </wp:positionH>
                <wp:positionV relativeFrom="paragraph">
                  <wp:posOffset>312420</wp:posOffset>
                </wp:positionV>
                <wp:extent cx="1259840" cy="288290"/>
                <wp:effectExtent l="4445" t="4445" r="12065" b="12065"/>
                <wp:wrapNone/>
                <wp:docPr id="50" name="文本框 50"/>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58950246">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先期处置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4.45pt;margin-top:24.6pt;height:22.7pt;width:99.2pt;z-index:251670528;mso-width-relative:page;mso-height-relative:page;" fillcolor="#FFFFFF" filled="t" stroked="t" coordsize="21600,21600" o:gfxdata="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RtPS7ZAAAACQEAAA8AAAAAAAAAAQAg&#10;AAAAIgAAAGRycy9kb3ducmV2LnhtbFBLAQIUABQAAAAIAIdO4kCqIlgPRgIAAJcEAAAOAAAAAAAA&#10;AAEAIAAAACgBAABkcnMvZTJvRG9jLnhtbFBLBQYAAAAABgAGAFkBAADgBQAAAAA=&#10;">
                <v:fill on="t" focussize="0,0"/>
                <v:stroke color="#000000" miterlimit="8" joinstyle="miter"/>
                <v:imagedata o:title=""/>
                <o:lock v:ext="edit" aspectratio="f"/>
                <v:textbox>
                  <w:txbxContent>
                    <w:p w14:paraId="58950246">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先期处置</w:t>
                      </w:r>
                    </w:p>
                  </w:txbxContent>
                </v:textbox>
              </v:shape>
            </w:pict>
          </mc:Fallback>
        </mc:AlternateContent>
      </w:r>
    </w:p>
    <w:p w14:paraId="47EBFD7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1552" behindDoc="0" locked="0" layoutInCell="1" allowOverlap="1">
                <wp:simplePos x="0" y="0"/>
                <wp:positionH relativeFrom="column">
                  <wp:posOffset>3070225</wp:posOffset>
                </wp:positionH>
                <wp:positionV relativeFrom="paragraph">
                  <wp:posOffset>212090</wp:posOffset>
                </wp:positionV>
                <wp:extent cx="0" cy="323850"/>
                <wp:effectExtent l="38100" t="0" r="38100" b="0"/>
                <wp:wrapNone/>
                <wp:docPr id="59" name="直接箭头连接符 59"/>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41.75pt;margin-top:16.7pt;height:25.5pt;width:0pt;z-index:251671552;mso-width-relative:page;mso-height-relative:page;" filled="f" stroked="t" coordsize="21600,21600" o:gfxdata="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eoXYrYAAAACQEAAA8AAAAA&#10;AAAAAQAgAAAAIgAAAGRycy9kb3ducmV2LnhtbFBLAQIUABQAAAAIAIdO4kC+nwVmFAIAAPsDAAAO&#10;AAAAAAAAAAEAIAAAACcBAABkcnMvZTJvRG9jLnhtbFBLBQYAAAAABgAGAFkBAACtBQAAAAA=&#10;">
                <v:fill on="f" focussize="0,0"/>
                <v:stroke color="#000000" joinstyle="round" endarrow="block"/>
                <v:imagedata o:title=""/>
                <o:lock v:ext="edit" aspectratio="f"/>
              </v:shape>
            </w:pict>
          </mc:Fallback>
        </mc:AlternateContent>
      </w:r>
    </w:p>
    <w:p w14:paraId="2640E42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3840" behindDoc="0" locked="0" layoutInCell="1" allowOverlap="1">
                <wp:simplePos x="0" y="0"/>
                <wp:positionH relativeFrom="column">
                  <wp:posOffset>3945890</wp:posOffset>
                </wp:positionH>
                <wp:positionV relativeFrom="paragraph">
                  <wp:posOffset>302895</wp:posOffset>
                </wp:positionV>
                <wp:extent cx="899795" cy="252095"/>
                <wp:effectExtent l="0" t="0" r="0" b="0"/>
                <wp:wrapNone/>
                <wp:docPr id="47" name="文本框 47"/>
                <wp:cNvGraphicFramePr/>
                <a:graphic xmlns:a="http://schemas.openxmlformats.org/drawingml/2006/main">
                  <a:graphicData uri="http://schemas.microsoft.com/office/word/2010/wordprocessingShape">
                    <wps:wsp>
                      <wps:cNvSpPr txBox="1">
                        <a:spLocks noChangeArrowheads="1"/>
                      </wps:cNvSpPr>
                      <wps:spPr bwMode="auto">
                        <a:xfrm>
                          <a:off x="0" y="0"/>
                          <a:ext cx="899795" cy="252095"/>
                        </a:xfrm>
                        <a:prstGeom prst="rect">
                          <a:avLst/>
                        </a:prstGeom>
                        <a:noFill/>
                        <a:ln>
                          <a:noFill/>
                        </a:ln>
                        <a:effectLst/>
                      </wps:spPr>
                      <wps:txbx>
                        <w:txbxContent>
                          <w:p w14:paraId="5F89179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Ⅰ级、Ⅱ</w:t>
                            </w:r>
                            <w:r>
                              <w:rPr>
                                <w:rFonts w:asciiTheme="minorHAnsi" w:hAnsiTheme="minorHAnsi" w:eastAsiaTheme="minorEastAsia" w:cstheme="minorBidi"/>
                                <w:sz w:val="18"/>
                                <w:szCs w:val="18"/>
                              </w:rPr>
                              <w:t>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10.7pt;margin-top:23.85pt;height:19.85pt;width:70.85pt;z-index:251683840;mso-width-relative:page;mso-height-relative:page;" filled="f" stroked="f" coordsize="21600,21600" o:gfxdata="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4LiCu2AAAAAkB&#10;AAAPAAAAAAAAAAEAIAAAACIAAABkcnMvZG93bnJldi54bWxQSwECFAAUAAAACACHTuJAe9MBLBsC&#10;AAAkBAAADgAAAAAAAAABACAAAAAnAQAAZHJzL2Uyb0RvYy54bWxQSwUGAAAAAAYABgBZAQAAtAUA&#10;AAAA&#10;">
                <v:fill on="f" focussize="0,0"/>
                <v:stroke on="f"/>
                <v:imagedata o:title=""/>
                <o:lock v:ext="edit" aspectratio="f"/>
                <v:textbox>
                  <w:txbxContent>
                    <w:p w14:paraId="5F89179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Ⅰ级、Ⅱ</w:t>
                      </w:r>
                      <w:r>
                        <w:rPr>
                          <w:rFonts w:asciiTheme="minorHAnsi" w:hAnsiTheme="minorHAnsi" w:eastAsiaTheme="minorEastAsia" w:cstheme="minorBidi"/>
                          <w:sz w:val="18"/>
                          <w:szCs w:val="18"/>
                        </w:rPr>
                        <w:t>级</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5888" behindDoc="0" locked="0" layoutInCell="1" allowOverlap="1">
                <wp:simplePos x="0" y="0"/>
                <wp:positionH relativeFrom="column">
                  <wp:posOffset>1774825</wp:posOffset>
                </wp:positionH>
                <wp:positionV relativeFrom="paragraph">
                  <wp:posOffset>307340</wp:posOffset>
                </wp:positionV>
                <wp:extent cx="471805" cy="252095"/>
                <wp:effectExtent l="0" t="0" r="0" b="0"/>
                <wp:wrapNone/>
                <wp:docPr id="135" name="文本框 135"/>
                <wp:cNvGraphicFramePr/>
                <a:graphic xmlns:a="http://schemas.openxmlformats.org/drawingml/2006/main">
                  <a:graphicData uri="http://schemas.microsoft.com/office/word/2010/wordprocessingShape">
                    <wps:wsp>
                      <wps:cNvSpPr txBox="1">
                        <a:spLocks noChangeArrowheads="1"/>
                      </wps:cNvSpPr>
                      <wps:spPr bwMode="auto">
                        <a:xfrm>
                          <a:off x="0" y="0"/>
                          <a:ext cx="471805" cy="252095"/>
                        </a:xfrm>
                        <a:prstGeom prst="rect">
                          <a:avLst/>
                        </a:prstGeom>
                        <a:noFill/>
                        <a:ln>
                          <a:noFill/>
                        </a:ln>
                        <a:effectLst/>
                      </wps:spPr>
                      <wps:txbx>
                        <w:txbxContent>
                          <w:p w14:paraId="08F22AA6">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Ⅳ</w:t>
                            </w:r>
                            <w:r>
                              <w:rPr>
                                <w:rFonts w:asciiTheme="minorHAnsi" w:hAnsiTheme="minorHAnsi" w:eastAsiaTheme="minorEastAsia" w:cstheme="minorBidi"/>
                                <w:sz w:val="18"/>
                                <w:szCs w:val="18"/>
                              </w:rPr>
                              <w:t>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39.75pt;margin-top:24.2pt;height:19.85pt;width:37.15pt;z-index:251685888;mso-width-relative:page;mso-height-relative:page;" filled="f" stroked="f" coordsize="21600,21600" o:gfxdata="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dfcBi9cAAAAJ&#10;AQAADwAAAAAAAAABACAAAAAiAAAAZHJzL2Rvd25yZXYueG1sUEsBAhQAFAAAAAgAh07iQFfjOk8d&#10;AgAAJgQAAA4AAAAAAAAAAQAgAAAAJgEAAGRycy9lMm9Eb2MueG1sUEsFBgAAAAAGAAYAWQEAALUF&#10;AAAAAA==&#10;">
                <v:fill on="f" focussize="0,0"/>
                <v:stroke on="f"/>
                <v:imagedata o:title=""/>
                <o:lock v:ext="edit" aspectratio="f"/>
                <v:textbox>
                  <w:txbxContent>
                    <w:p w14:paraId="08F22AA6">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Ⅳ</w:t>
                      </w:r>
                      <w:r>
                        <w:rPr>
                          <w:rFonts w:asciiTheme="minorHAnsi" w:hAnsiTheme="minorHAnsi" w:eastAsiaTheme="minorEastAsia" w:cstheme="minorBidi"/>
                          <w:sz w:val="18"/>
                          <w:szCs w:val="18"/>
                        </w:rPr>
                        <w:t>级</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2576" behindDoc="0" locked="0" layoutInCell="1" allowOverlap="1">
                <wp:simplePos x="0" y="0"/>
                <wp:positionH relativeFrom="column">
                  <wp:posOffset>2466340</wp:posOffset>
                </wp:positionH>
                <wp:positionV relativeFrom="paragraph">
                  <wp:posOffset>142240</wp:posOffset>
                </wp:positionV>
                <wp:extent cx="1259840" cy="288290"/>
                <wp:effectExtent l="4445" t="4445" r="12065" b="12065"/>
                <wp:wrapNone/>
                <wp:docPr id="48" name="文本框 48"/>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75741D01">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事件上报</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4.2pt;margin-top:11.2pt;height:22.7pt;width:99.2pt;z-index:251672576;mso-width-relative:page;mso-height-relative:page;" fillcolor="#FFFFFF" filled="t" stroked="t" coordsize="21600,21600" o:gfxdata="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xjD12QAAAAkBAAAPAAAAAAAAAAEA&#10;IAAAACIAAABkcnMvZG93bnJldi54bWxQSwECFAAUAAAACACHTuJAa3gZUEcCAACXBAAADgAAAAAA&#10;AAABACAAAAAoAQAAZHJzL2Uyb0RvYy54bWxQSwUGAAAAAAYABgBZAQAA4QUAAAAA&#10;">
                <v:fill on="t" focussize="0,0"/>
                <v:stroke color="#000000" miterlimit="8" joinstyle="miter"/>
                <v:imagedata o:title=""/>
                <o:lock v:ext="edit" aspectratio="f"/>
                <v:textbox>
                  <w:txbxContent>
                    <w:p w14:paraId="75741D01">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事件上报</w:t>
                      </w:r>
                    </w:p>
                  </w:txbxContent>
                </v:textbox>
              </v:shape>
            </w:pict>
          </mc:Fallback>
        </mc:AlternateContent>
      </w:r>
    </w:p>
    <w:p w14:paraId="475106BC">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6912" behindDoc="0" locked="0" layoutInCell="1" allowOverlap="1">
                <wp:simplePos x="0" y="0"/>
                <wp:positionH relativeFrom="column">
                  <wp:posOffset>951230</wp:posOffset>
                </wp:positionH>
                <wp:positionV relativeFrom="paragraph">
                  <wp:posOffset>170815</wp:posOffset>
                </wp:positionV>
                <wp:extent cx="3986530" cy="0"/>
                <wp:effectExtent l="0" t="0" r="0" b="0"/>
                <wp:wrapNone/>
                <wp:docPr id="136" name="直接箭头连接符 136"/>
                <wp:cNvGraphicFramePr/>
                <a:graphic xmlns:a="http://schemas.openxmlformats.org/drawingml/2006/main">
                  <a:graphicData uri="http://schemas.microsoft.com/office/word/2010/wordprocessingShape">
                    <wps:wsp>
                      <wps:cNvCnPr>
                        <a:cxnSpLocks noChangeShapeType="1"/>
                      </wps:cNvCnPr>
                      <wps:spPr bwMode="auto">
                        <a:xfrm flipH="1">
                          <a:off x="0" y="0"/>
                          <a:ext cx="398653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flip:x;margin-left:74.9pt;margin-top:13.45pt;height:0pt;width:313.9pt;z-index:251686912;mso-width-relative:page;mso-height-relative:page;" filled="f" stroked="t" coordsize="21600,21600" o:gfxdata="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pZjRtYAAAAJAQAADwAAAAAAAAABACAAAAAiAAAAZHJzL2Rv&#10;d25yZXYueG1sUEsBAhQAFAAAAAgAh07iQHE7XYgDAgAA2gMAAA4AAAAAAAAAAQAgAAAAJQEAAGRy&#10;cy9lMm9Eb2MueG1sUEsFBgAAAAAGAAYAWQEAAJoFA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3600" behindDoc="0" locked="0" layoutInCell="1" allowOverlap="1">
                <wp:simplePos x="0" y="0"/>
                <wp:positionH relativeFrom="column">
                  <wp:posOffset>2730500</wp:posOffset>
                </wp:positionH>
                <wp:positionV relativeFrom="paragraph">
                  <wp:posOffset>376555</wp:posOffset>
                </wp:positionV>
                <wp:extent cx="680085" cy="0"/>
                <wp:effectExtent l="38100" t="0" r="38100" b="5715"/>
                <wp:wrapNone/>
                <wp:docPr id="128" name="肘形连接符 128"/>
                <wp:cNvGraphicFramePr/>
                <a:graphic xmlns:a="http://schemas.openxmlformats.org/drawingml/2006/main">
                  <a:graphicData uri="http://schemas.microsoft.com/office/word/2010/wordprocessingShape">
                    <wps:wsp>
                      <wps:cNvCnPr>
                        <a:cxnSpLocks noChangeShapeType="1"/>
                      </wps:cNvCnPr>
                      <wps:spPr bwMode="auto">
                        <a:xfrm rot="16200000" flipH="1">
                          <a:off x="0" y="0"/>
                          <a:ext cx="680085" cy="0"/>
                        </a:xfrm>
                        <a:prstGeom prst="bentConnector3">
                          <a:avLst>
                            <a:gd name="adj1" fmla="val 50000"/>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flip:x;margin-left:215pt;margin-top:29.65pt;height:0pt;width:53.55pt;rotation:5898240f;z-index:251673600;mso-width-relative:page;mso-height-relative:page;" filled="f" stroked="t" coordsize="21600,21600" o:gfxdata="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44ix51wAAAAkBAAAPAAAAAAAAAAEAIAAAACIAAABkcnMv&#10;ZG93bnJldi54bWxQSwECFAAUAAAACACHTuJAXlx8TD0CAABGBAAADgAAAAAAAAABACAAAAAmAQAA&#10;ZHJzL2Uyb0RvYy54bWxQSwUGAAAAAAYABgBZAQAA1QUAAAAA&#10;" adj="10800">
                <v:fill on="f" focussize="0,0"/>
                <v:stroke color="#000000" miterlimit="8" joinstyle="miter"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4864" behindDoc="0" locked="0" layoutInCell="1" allowOverlap="1">
                <wp:simplePos x="0" y="0"/>
                <wp:positionH relativeFrom="column">
                  <wp:posOffset>3020060</wp:posOffset>
                </wp:positionH>
                <wp:positionV relativeFrom="paragraph">
                  <wp:posOffset>256540</wp:posOffset>
                </wp:positionV>
                <wp:extent cx="495935" cy="252095"/>
                <wp:effectExtent l="0" t="0" r="0" b="0"/>
                <wp:wrapNone/>
                <wp:docPr id="45" name="文本框 45"/>
                <wp:cNvGraphicFramePr/>
                <a:graphic xmlns:a="http://schemas.openxmlformats.org/drawingml/2006/main">
                  <a:graphicData uri="http://schemas.microsoft.com/office/word/2010/wordprocessingShape">
                    <wps:wsp>
                      <wps:cNvSpPr txBox="1">
                        <a:spLocks noChangeArrowheads="1"/>
                      </wps:cNvSpPr>
                      <wps:spPr bwMode="auto">
                        <a:xfrm>
                          <a:off x="0" y="0"/>
                          <a:ext cx="495935" cy="252095"/>
                        </a:xfrm>
                        <a:prstGeom prst="rect">
                          <a:avLst/>
                        </a:prstGeom>
                        <a:noFill/>
                        <a:ln>
                          <a:noFill/>
                        </a:ln>
                        <a:effectLst/>
                      </wps:spPr>
                      <wps:txbx>
                        <w:txbxContent>
                          <w:p w14:paraId="40D505E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Ⅲ级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7.8pt;margin-top:20.2pt;height:19.85pt;width:39.05pt;z-index:251684864;mso-width-relative:page;mso-height-relative:page;" filled="f" stroked="f" coordsize="21600,21600" o:gfxdata="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o2Vt+1wAAAAkB&#10;AAAPAAAAAAAAAAEAIAAAACIAAABkcnMvZG93bnJldi54bWxQSwECFAAUAAAACACHTuJArPnHxBwC&#10;AAAkBAAADgAAAAAAAAABACAAAAAmAQAAZHJzL2Uyb0RvYy54bWxQSwUGAAAAAAYABgBZAQAAtAUA&#10;AAAA&#10;">
                <v:fill on="f" focussize="0,0"/>
                <v:stroke on="f"/>
                <v:imagedata o:title=""/>
                <o:lock v:ext="edit" aspectratio="f"/>
                <v:textbox>
                  <w:txbxContent>
                    <w:p w14:paraId="40D505E5">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Ⅲ级</w:t>
                      </w:r>
                    </w:p>
                  </w:txbxContent>
                </v:textbox>
              </v:shape>
            </w:pict>
          </mc:Fallback>
        </mc:AlternateContent>
      </w:r>
    </w:p>
    <w:p w14:paraId="51FE481D">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8960" behindDoc="0" locked="0" layoutInCell="1" allowOverlap="1">
                <wp:simplePos x="0" y="0"/>
                <wp:positionH relativeFrom="column">
                  <wp:posOffset>660400</wp:posOffset>
                </wp:positionH>
                <wp:positionV relativeFrom="paragraph">
                  <wp:posOffset>63500</wp:posOffset>
                </wp:positionV>
                <wp:extent cx="574040" cy="0"/>
                <wp:effectExtent l="38100" t="0" r="38100" b="16510"/>
                <wp:wrapNone/>
                <wp:docPr id="129" name="直接箭头连接符 129"/>
                <wp:cNvGraphicFramePr/>
                <a:graphic xmlns:a="http://schemas.openxmlformats.org/drawingml/2006/main">
                  <a:graphicData uri="http://schemas.microsoft.com/office/word/2010/wordprocessingShape">
                    <wps:wsp>
                      <wps:cNvCnPr>
                        <a:cxnSpLocks noChangeShapeType="1"/>
                      </wps:cNvCnPr>
                      <wps:spPr bwMode="auto">
                        <a:xfrm rot="5400000">
                          <a:off x="0" y="0"/>
                          <a:ext cx="57404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52pt;margin-top:5pt;height:0pt;width:45.2pt;rotation:5898240f;z-index:251688960;mso-width-relative:page;mso-height-relative:page;" filled="f" stroked="t" coordsize="21600,21600" o:gfxdata="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Zxm5ftUAAAAJAQAA&#10;DwAAAAAAAAABACAAAAAiAAAAZHJzL2Rvd25yZXYueG1sUEsBAhQAFAAAAAgAh07iQA5vTE8cAgAA&#10;CwQAAA4AAAAAAAAAAQAgAAAAJAEAAGRycy9lMm9Eb2MueG1sUEsFBgAAAAAGAAYAWQEAALIFAAAA&#10;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7936" behindDoc="0" locked="0" layoutInCell="1" allowOverlap="1">
                <wp:simplePos x="0" y="0"/>
                <wp:positionH relativeFrom="column">
                  <wp:posOffset>4672330</wp:posOffset>
                </wp:positionH>
                <wp:positionV relativeFrom="paragraph">
                  <wp:posOffset>48260</wp:posOffset>
                </wp:positionV>
                <wp:extent cx="535940" cy="0"/>
                <wp:effectExtent l="38100" t="0" r="38100" b="16510"/>
                <wp:wrapNone/>
                <wp:docPr id="49" name="直接箭头连接符 49"/>
                <wp:cNvGraphicFramePr/>
                <a:graphic xmlns:a="http://schemas.openxmlformats.org/drawingml/2006/main">
                  <a:graphicData uri="http://schemas.microsoft.com/office/word/2010/wordprocessingShape">
                    <wps:wsp>
                      <wps:cNvCnPr>
                        <a:cxnSpLocks noChangeShapeType="1"/>
                      </wps:cNvCnPr>
                      <wps:spPr bwMode="auto">
                        <a:xfrm rot="5400000">
                          <a:off x="0" y="0"/>
                          <a:ext cx="53594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367.9pt;margin-top:3.8pt;height:0pt;width:42.2pt;rotation:5898240f;z-index:251687936;mso-width-relative:page;mso-height-relative:page;" filled="f" stroked="t" coordsize="21600,21600" o:gfxdata="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fFqaH9YAAAAHAQAA&#10;DwAAAAAAAAABACAAAAAiAAAAZHJzL2Rvd25yZXYueG1sUEsBAhQAFAAAAAgAh07iQGRZH0wbAgAA&#10;CQQAAA4AAAAAAAAAAQAgAAAAJQEAAGRycy9lMm9Eb2MueG1sUEsFBgAAAAAGAAYAWQEAALIFAAAA&#10;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5584" behindDoc="0" locked="0" layoutInCell="1" allowOverlap="1">
                <wp:simplePos x="0" y="0"/>
                <wp:positionH relativeFrom="column">
                  <wp:posOffset>202565</wp:posOffset>
                </wp:positionH>
                <wp:positionV relativeFrom="paragraph">
                  <wp:posOffset>350520</wp:posOffset>
                </wp:positionV>
                <wp:extent cx="1595755" cy="515620"/>
                <wp:effectExtent l="5080" t="4445" r="18415" b="13335"/>
                <wp:wrapNone/>
                <wp:docPr id="52" name="文本框 52"/>
                <wp:cNvGraphicFramePr/>
                <a:graphic xmlns:a="http://schemas.openxmlformats.org/drawingml/2006/main">
                  <a:graphicData uri="http://schemas.microsoft.com/office/word/2010/wordprocessingShape">
                    <wps:wsp>
                      <wps:cNvSpPr txBox="1">
                        <a:spLocks noChangeArrowheads="1"/>
                      </wps:cNvSpPr>
                      <wps:spPr bwMode="auto">
                        <a:xfrm>
                          <a:off x="0" y="0"/>
                          <a:ext cx="1595755" cy="515620"/>
                        </a:xfrm>
                        <a:prstGeom prst="rect">
                          <a:avLst/>
                        </a:prstGeom>
                        <a:solidFill>
                          <a:srgbClr val="FFFFFF"/>
                        </a:solidFill>
                        <a:ln w="9525">
                          <a:solidFill>
                            <a:srgbClr val="000000"/>
                          </a:solidFill>
                          <a:miter lim="800000"/>
                        </a:ln>
                        <a:effectLst/>
                      </wps:spPr>
                      <wps:txbx>
                        <w:txbxContent>
                          <w:p w14:paraId="42F3E44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val="en-US" w:eastAsia="zh-CN"/>
                              </w:rPr>
                              <w:t>区</w:t>
                            </w:r>
                            <w:r>
                              <w:rPr>
                                <w:rFonts w:hint="eastAsia" w:asciiTheme="minorHAnsi" w:hAnsiTheme="minorHAnsi" w:eastAsiaTheme="minorEastAsia" w:cstheme="minorBidi"/>
                                <w:sz w:val="21"/>
                              </w:rPr>
                              <w:t>突发环境事件应急指挥部负责，开展具体处置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95pt;margin-top:27.6pt;height:40.6pt;width:125.65pt;z-index:251715584;mso-width-relative:page;mso-height-relative:page;" fillcolor="#FFFFFF" filled="t" stroked="t" coordsize="21600,21600" o:gfxdata="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PppKt2AAAAAkBAAAPAAAAAAAAAAEA&#10;IAAAACIAAABkcnMvZG93bnJldi54bWxQSwECFAAUAAAACACHTuJA4tX7uUgCAACXBAAADgAAAAAA&#10;AAABACAAAAAnAQAAZHJzL2Uyb0RvYy54bWxQSwUGAAAAAAYABgBZAQAA4QUAAAAA&#10;">
                <v:fill on="t" focussize="0,0"/>
                <v:stroke color="#000000" miterlimit="8" joinstyle="miter"/>
                <v:imagedata o:title=""/>
                <o:lock v:ext="edit" aspectratio="f"/>
                <v:textbox>
                  <w:txbxContent>
                    <w:p w14:paraId="42F3E44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val="en-US" w:eastAsia="zh-CN"/>
                        </w:rPr>
                        <w:t>区</w:t>
                      </w:r>
                      <w:r>
                        <w:rPr>
                          <w:rFonts w:hint="eastAsia" w:asciiTheme="minorHAnsi" w:hAnsiTheme="minorHAnsi" w:eastAsiaTheme="minorEastAsia" w:cstheme="minorBidi"/>
                          <w:sz w:val="21"/>
                        </w:rPr>
                        <w:t>突发环境事件应急指挥部负责，开展具体处置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4624" behindDoc="0" locked="0" layoutInCell="1" allowOverlap="1">
                <wp:simplePos x="0" y="0"/>
                <wp:positionH relativeFrom="column">
                  <wp:posOffset>4096385</wp:posOffset>
                </wp:positionH>
                <wp:positionV relativeFrom="paragraph">
                  <wp:posOffset>315595</wp:posOffset>
                </wp:positionV>
                <wp:extent cx="1644015" cy="532130"/>
                <wp:effectExtent l="4445" t="5080" r="8890" b="15240"/>
                <wp:wrapNone/>
                <wp:docPr id="46" name="文本框 46"/>
                <wp:cNvGraphicFramePr/>
                <a:graphic xmlns:a="http://schemas.openxmlformats.org/drawingml/2006/main">
                  <a:graphicData uri="http://schemas.microsoft.com/office/word/2010/wordprocessingShape">
                    <wps:wsp>
                      <wps:cNvSpPr txBox="1">
                        <a:spLocks noChangeArrowheads="1"/>
                      </wps:cNvSpPr>
                      <wps:spPr bwMode="auto">
                        <a:xfrm>
                          <a:off x="0" y="0"/>
                          <a:ext cx="1644015" cy="532130"/>
                        </a:xfrm>
                        <a:prstGeom prst="rect">
                          <a:avLst/>
                        </a:prstGeom>
                        <a:solidFill>
                          <a:srgbClr val="FFFFFF"/>
                        </a:solidFill>
                        <a:ln w="9525">
                          <a:solidFill>
                            <a:srgbClr val="000000"/>
                          </a:solidFill>
                          <a:miter lim="800000"/>
                        </a:ln>
                        <a:effectLst/>
                      </wps:spPr>
                      <wps:txbx>
                        <w:txbxContent>
                          <w:p w14:paraId="4E33342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在省级环境应急指挥机构的指挥下开展处置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22.55pt;margin-top:24.85pt;height:41.9pt;width:129.45pt;z-index:251674624;mso-width-relative:page;mso-height-relative:page;" fillcolor="#FFFFFF" filled="t" stroked="t" coordsize="21600,21600" o:gfxdata="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EAAfDZAAAACgEAAA8AAAAAAAAA&#10;AQAgAAAAIgAAAGRycy9kb3ducmV2LnhtbFBLAQIUABQAAAAIAIdO4kDWo2KqSQIAAJcEAAAOAAAA&#10;AAAAAAEAIAAAACgBAABkcnMvZTJvRG9jLnhtbFBLBQYAAAAABgAGAFkBAADjBQAAAAA=&#10;">
                <v:fill on="t" focussize="0,0"/>
                <v:stroke color="#000000" miterlimit="8" joinstyle="miter"/>
                <v:imagedata o:title=""/>
                <o:lock v:ext="edit" aspectratio="f"/>
                <v:textbox>
                  <w:txbxContent>
                    <w:p w14:paraId="4E33342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在省级环境应急指挥机构的指挥下开展处置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5648" behindDoc="0" locked="0" layoutInCell="1" allowOverlap="1">
                <wp:simplePos x="0" y="0"/>
                <wp:positionH relativeFrom="column">
                  <wp:posOffset>2393315</wp:posOffset>
                </wp:positionH>
                <wp:positionV relativeFrom="paragraph">
                  <wp:posOffset>325755</wp:posOffset>
                </wp:positionV>
                <wp:extent cx="1595755" cy="515620"/>
                <wp:effectExtent l="5080" t="4445" r="18415" b="13335"/>
                <wp:wrapNone/>
                <wp:docPr id="55" name="文本框 55"/>
                <wp:cNvGraphicFramePr/>
                <a:graphic xmlns:a="http://schemas.openxmlformats.org/drawingml/2006/main">
                  <a:graphicData uri="http://schemas.microsoft.com/office/word/2010/wordprocessingShape">
                    <wps:wsp>
                      <wps:cNvSpPr txBox="1">
                        <a:spLocks noChangeArrowheads="1"/>
                      </wps:cNvSpPr>
                      <wps:spPr bwMode="auto">
                        <a:xfrm>
                          <a:off x="0" y="0"/>
                          <a:ext cx="1595755" cy="515620"/>
                        </a:xfrm>
                        <a:prstGeom prst="rect">
                          <a:avLst/>
                        </a:prstGeom>
                        <a:solidFill>
                          <a:srgbClr val="FFFFFF"/>
                        </a:solidFill>
                        <a:ln w="9525">
                          <a:solidFill>
                            <a:srgbClr val="000000"/>
                          </a:solidFill>
                          <a:miter lim="800000"/>
                        </a:ln>
                        <a:effectLst/>
                      </wps:spPr>
                      <wps:txbx>
                        <w:txbxContent>
                          <w:p w14:paraId="042A4FD4">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上报</w:t>
                            </w:r>
                            <w:r>
                              <w:rPr>
                                <w:rFonts w:hint="eastAsia" w:asciiTheme="minorHAnsi" w:hAnsiTheme="minorHAnsi" w:eastAsiaTheme="minorEastAsia" w:cstheme="minorBidi"/>
                                <w:sz w:val="21"/>
                                <w:lang w:val="en-US" w:eastAsia="zh-CN"/>
                              </w:rPr>
                              <w:t>景德镇</w:t>
                            </w:r>
                            <w:r>
                              <w:rPr>
                                <w:rFonts w:hint="eastAsia" w:asciiTheme="minorHAnsi" w:hAnsiTheme="minorHAnsi" w:eastAsiaTheme="minorEastAsia" w:cstheme="minorBidi"/>
                                <w:sz w:val="21"/>
                              </w:rPr>
                              <w:t>市政府，启动相应</w:t>
                            </w:r>
                            <w:r>
                              <w:rPr>
                                <w:rFonts w:asciiTheme="minorHAnsi" w:hAnsiTheme="minorHAnsi" w:eastAsiaTheme="minorEastAsia" w:cstheme="minorBidi"/>
                                <w:sz w:val="21"/>
                              </w:rPr>
                              <w:t>预案，配合</w:t>
                            </w:r>
                            <w:r>
                              <w:rPr>
                                <w:rFonts w:hint="eastAsia" w:asciiTheme="minorHAnsi" w:hAnsiTheme="minorHAnsi" w:eastAsiaTheme="minorEastAsia" w:cstheme="minorBidi"/>
                                <w:sz w:val="21"/>
                              </w:rPr>
                              <w:t>开展处置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45pt;margin-top:25.65pt;height:40.6pt;width:125.65pt;z-index:251675648;mso-width-relative:page;mso-height-relative:page;" fillcolor="#FFFFFF" filled="t" stroked="t" coordsize="21600,21600" o:gfxdata="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QZAwz2QAAAAoBAAAPAAAAAAAAAAEA&#10;IAAAACIAAABkcnMvZG93bnJldi54bWxQSwECFAAUAAAACACHTuJAYAhkEUcCAACXBAAADgAAAAAA&#10;AAABACAAAAAoAQAAZHJzL2Uyb0RvYy54bWxQSwUGAAAAAAYABgBZAQAA4QUAAAAA&#10;">
                <v:fill on="t" focussize="0,0"/>
                <v:stroke color="#000000" miterlimit="8" joinstyle="miter"/>
                <v:imagedata o:title=""/>
                <o:lock v:ext="edit" aspectratio="f"/>
                <v:textbox>
                  <w:txbxContent>
                    <w:p w14:paraId="042A4FD4">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上报</w:t>
                      </w:r>
                      <w:r>
                        <w:rPr>
                          <w:rFonts w:hint="eastAsia" w:asciiTheme="minorHAnsi" w:hAnsiTheme="minorHAnsi" w:eastAsiaTheme="minorEastAsia" w:cstheme="minorBidi"/>
                          <w:sz w:val="21"/>
                          <w:lang w:val="en-US" w:eastAsia="zh-CN"/>
                        </w:rPr>
                        <w:t>景德镇</w:t>
                      </w:r>
                      <w:r>
                        <w:rPr>
                          <w:rFonts w:hint="eastAsia" w:asciiTheme="minorHAnsi" w:hAnsiTheme="minorHAnsi" w:eastAsiaTheme="minorEastAsia" w:cstheme="minorBidi"/>
                          <w:sz w:val="21"/>
                        </w:rPr>
                        <w:t>市政府，启动相应</w:t>
                      </w:r>
                      <w:r>
                        <w:rPr>
                          <w:rFonts w:asciiTheme="minorHAnsi" w:hAnsiTheme="minorHAnsi" w:eastAsiaTheme="minorEastAsia" w:cstheme="minorBidi"/>
                          <w:sz w:val="21"/>
                        </w:rPr>
                        <w:t>预案，配合</w:t>
                      </w:r>
                      <w:r>
                        <w:rPr>
                          <w:rFonts w:hint="eastAsia" w:asciiTheme="minorHAnsi" w:hAnsiTheme="minorHAnsi" w:eastAsiaTheme="minorEastAsia" w:cstheme="minorBidi"/>
                          <w:sz w:val="21"/>
                        </w:rPr>
                        <w:t>开展处置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1008" behindDoc="0" locked="0" layoutInCell="1" allowOverlap="1">
                <wp:simplePos x="0" y="0"/>
                <wp:positionH relativeFrom="column">
                  <wp:posOffset>1748155</wp:posOffset>
                </wp:positionH>
                <wp:positionV relativeFrom="paragraph">
                  <wp:posOffset>379095</wp:posOffset>
                </wp:positionV>
                <wp:extent cx="696595" cy="252095"/>
                <wp:effectExtent l="0" t="0" r="0" b="0"/>
                <wp:wrapNone/>
                <wp:docPr id="56" name="文本框 56"/>
                <wp:cNvGraphicFramePr/>
                <a:graphic xmlns:a="http://schemas.openxmlformats.org/drawingml/2006/main">
                  <a:graphicData uri="http://schemas.microsoft.com/office/word/2010/wordprocessingShape">
                    <wps:wsp>
                      <wps:cNvSpPr txBox="1">
                        <a:spLocks noChangeArrowheads="1"/>
                      </wps:cNvSpPr>
                      <wps:spPr bwMode="auto">
                        <a:xfrm>
                          <a:off x="0" y="0"/>
                          <a:ext cx="696595" cy="252095"/>
                        </a:xfrm>
                        <a:prstGeom prst="rect">
                          <a:avLst/>
                        </a:prstGeom>
                        <a:noFill/>
                        <a:ln>
                          <a:noFill/>
                        </a:ln>
                        <a:effectLst/>
                      </wps:spPr>
                      <wps:txbx>
                        <w:txbxContent>
                          <w:p w14:paraId="686CDD39">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事件升级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37.65pt;margin-top:29.85pt;height:19.85pt;width:54.85pt;z-index:251691008;mso-width-relative:page;mso-height-relative:page;" filled="f" stroked="f" coordsize="21600,21600" o:gfxdata="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e+HjXAAAACQEA&#10;AA8AAAAAAAAAAQAgAAAAIgAAAGRycy9kb3ducmV2LnhtbFBLAQIUABQAAAAIAIdO4kBR7UTXGwIA&#10;ACQEAAAOAAAAAAAAAAEAIAAAACYBAABkcnMvZTJvRG9jLnhtbFBLBQYAAAAABgAGAFkBAACzBQAA&#10;AAA=&#10;">
                <v:fill on="f" focussize="0,0"/>
                <v:stroke on="f"/>
                <v:imagedata o:title=""/>
                <o:lock v:ext="edit" aspectratio="f"/>
                <v:textbox>
                  <w:txbxContent>
                    <w:p w14:paraId="686CDD39">
                      <w:pPr>
                        <w:spacing w:line="240" w:lineRule="auto"/>
                        <w:ind w:firstLine="0" w:firstLineChars="0"/>
                        <w:jc w:val="both"/>
                        <w:rPr>
                          <w:rFonts w:asciiTheme="minorHAnsi" w:hAnsiTheme="minorHAnsi" w:eastAsiaTheme="minorEastAsia" w:cstheme="minorBidi"/>
                          <w:sz w:val="18"/>
                          <w:szCs w:val="18"/>
                        </w:rPr>
                      </w:pPr>
                      <w:r>
                        <w:rPr>
                          <w:rFonts w:hint="eastAsia" w:asciiTheme="minorHAnsi" w:hAnsiTheme="minorHAnsi" w:eastAsiaTheme="minorEastAsia" w:cstheme="minorBidi"/>
                          <w:sz w:val="18"/>
                          <w:szCs w:val="18"/>
                        </w:rPr>
                        <w:t>事件升级</w:t>
                      </w:r>
                    </w:p>
                  </w:txbxContent>
                </v:textbox>
              </v:shape>
            </w:pict>
          </mc:Fallback>
        </mc:AlternateContent>
      </w:r>
    </w:p>
    <w:p w14:paraId="0686A875">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9984" behindDoc="0" locked="0" layoutInCell="1" allowOverlap="1">
                <wp:simplePos x="0" y="0"/>
                <wp:positionH relativeFrom="column">
                  <wp:posOffset>1704975</wp:posOffset>
                </wp:positionH>
                <wp:positionV relativeFrom="paragraph">
                  <wp:posOffset>204470</wp:posOffset>
                </wp:positionV>
                <wp:extent cx="688340" cy="0"/>
                <wp:effectExtent l="0" t="38100" r="16510" b="38100"/>
                <wp:wrapNone/>
                <wp:docPr id="130" name="直接连接符 130"/>
                <wp:cNvGraphicFramePr/>
                <a:graphic xmlns:a="http://schemas.openxmlformats.org/drawingml/2006/main">
                  <a:graphicData uri="http://schemas.microsoft.com/office/word/2010/wordprocessingShape">
                    <wps:wsp>
                      <wps:cNvCnPr>
                        <a:cxnSpLocks noChangeShapeType="1"/>
                      </wps:cNvCnPr>
                      <wps:spPr bwMode="auto">
                        <a:xfrm>
                          <a:off x="0" y="0"/>
                          <a:ext cx="688340" cy="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134.25pt;margin-top:16.1pt;height:0pt;width:54.2pt;z-index:251689984;mso-width-relative:page;mso-height-relative:page;" filled="f" stroked="t" coordsize="21600,21600" o:gfxdata="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&#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j1HEY2gAAAAkBAAAPAAAAAAAAAAEAIAAAACIAAABk&#10;cnMvZG93bnJldi54bWxQSwECFAAUAAAACACHTuJA9zcRSgQCAADpAwAADgAAAAAAAAABACAAAAAp&#10;AQAAZHJzL2Uyb0RvYy54bWxQSwUGAAAAAAYABgBZAQAAnwUAAAAA&#10;">
                <v:fill on="f" focussize="0,0"/>
                <v:stroke color="#000000" joinstyle="round" endarrow="block"/>
                <v:imagedata o:title=""/>
                <o:lock v:ext="edit" aspectratio="f"/>
              </v:line>
            </w:pict>
          </mc:Fallback>
        </mc:AlternateContent>
      </w:r>
    </w:p>
    <w:p w14:paraId="21E32133">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7456" behindDoc="0" locked="0" layoutInCell="1" allowOverlap="1">
                <wp:simplePos x="0" y="0"/>
                <wp:positionH relativeFrom="column">
                  <wp:posOffset>2213610</wp:posOffset>
                </wp:positionH>
                <wp:positionV relativeFrom="paragraph">
                  <wp:posOffset>249555</wp:posOffset>
                </wp:positionV>
                <wp:extent cx="1193800" cy="295275"/>
                <wp:effectExtent l="4445" t="4445" r="20955" b="5080"/>
                <wp:wrapNone/>
                <wp:docPr id="140" name="文本框 140"/>
                <wp:cNvGraphicFramePr/>
                <a:graphic xmlns:a="http://schemas.openxmlformats.org/drawingml/2006/main">
                  <a:graphicData uri="http://schemas.microsoft.com/office/word/2010/wordprocessingShape">
                    <wps:wsp>
                      <wps:cNvSpPr txBox="1">
                        <a:spLocks noChangeArrowheads="1"/>
                      </wps:cNvSpPr>
                      <wps:spPr bwMode="auto">
                        <a:xfrm>
                          <a:off x="0" y="0"/>
                          <a:ext cx="1193800" cy="295275"/>
                        </a:xfrm>
                        <a:prstGeom prst="rect">
                          <a:avLst/>
                        </a:prstGeom>
                        <a:solidFill>
                          <a:srgbClr val="FFFFFF"/>
                        </a:solidFill>
                        <a:ln w="9525">
                          <a:solidFill>
                            <a:srgbClr val="000000"/>
                          </a:solidFill>
                          <a:miter lim="800000"/>
                        </a:ln>
                        <a:effectLst/>
                      </wps:spPr>
                      <wps:txbx>
                        <w:txbxContent>
                          <w:p w14:paraId="42D163FC">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现场处置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3pt;margin-top:19.65pt;height:23.25pt;width:94pt;z-index:251667456;mso-width-relative:page;mso-height-relative:page;" fillcolor="#FFFFFF" filled="t" stroked="t" coordsize="21600,21600" o:gfxdata="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8HWj22AAAAAkBAAAPAAAAAAAAAAEA&#10;IAAAACIAAABkcnMvZG93bnJldi54bWxQSwECFAAUAAAACACHTuJAOBJ3bUgCAACZBAAADgAAAAAA&#10;AAABACAAAAAnAQAAZHJzL2Uyb0RvYy54bWxQSwUGAAAAAAYABgBZAQAA4QUAAAAA&#10;">
                <v:fill on="t" focussize="0,0"/>
                <v:stroke color="#000000" miterlimit="8" joinstyle="miter"/>
                <v:imagedata o:title=""/>
                <o:lock v:ext="edit" aspectratio="f"/>
                <v:textbox>
                  <w:txbxContent>
                    <w:p w14:paraId="42D163FC">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现场处置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6672" behindDoc="0" locked="0" layoutInCell="1" allowOverlap="1">
                <wp:simplePos x="0" y="0"/>
                <wp:positionH relativeFrom="column">
                  <wp:posOffset>443865</wp:posOffset>
                </wp:positionH>
                <wp:positionV relativeFrom="paragraph">
                  <wp:posOffset>566420</wp:posOffset>
                </wp:positionV>
                <wp:extent cx="986155" cy="635"/>
                <wp:effectExtent l="38100" t="0" r="37465" b="4445"/>
                <wp:wrapNone/>
                <wp:docPr id="131" name="肘形连接符 131"/>
                <wp:cNvGraphicFramePr/>
                <a:graphic xmlns:a="http://schemas.openxmlformats.org/drawingml/2006/main">
                  <a:graphicData uri="http://schemas.microsoft.com/office/word/2010/wordprocessingShape">
                    <wps:wsp>
                      <wps:cNvCnPr>
                        <a:cxnSpLocks noChangeShapeType="1"/>
                      </wps:cNvCnPr>
                      <wps:spPr bwMode="auto">
                        <a:xfrm rot="5400000">
                          <a:off x="0" y="0"/>
                          <a:ext cx="986155" cy="635"/>
                        </a:xfrm>
                        <a:prstGeom prst="bentConnector3">
                          <a:avLst>
                            <a:gd name="adj1" fmla="val 49968"/>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34.95pt;margin-top:44.6pt;height:0.05pt;width:77.65pt;rotation:5898240f;z-index:251676672;mso-width-relative:page;mso-height-relative:page;" filled="f" stroked="t" coordsize="21600,21600" o:gfxdata="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8avXE1wAAAAgBAAAPAAAAAAAAAAEAIAAAACIAAABkcnMvZG93bnJl&#10;di54bWxQSwECFAAUAAAACACHTuJAiB1awTcCAAA9BAAADgAAAAAAAAABACAAAAAmAQAAZHJzL2Uy&#10;b0RvYy54bWxQSwUGAAAAAAYABgBZAQAAzwUAAAAA&#10;" adj="10793">
                <v:fill on="f" focussize="0,0"/>
                <v:stroke color="#000000" miterlimit="8" joinstyle="miter" endarrow="block"/>
                <v:imagedata o:title=""/>
                <o:lock v:ext="edit" aspectratio="f"/>
              </v:shape>
            </w:pict>
          </mc:Fallback>
        </mc:AlternateContent>
      </w:r>
    </w:p>
    <w:p w14:paraId="5E55E6D4">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3536" behindDoc="0" locked="0" layoutInCell="1" allowOverlap="1">
                <wp:simplePos x="0" y="0"/>
                <wp:positionH relativeFrom="column">
                  <wp:posOffset>2212975</wp:posOffset>
                </wp:positionH>
                <wp:positionV relativeFrom="paragraph">
                  <wp:posOffset>148590</wp:posOffset>
                </wp:positionV>
                <wp:extent cx="1190625" cy="295275"/>
                <wp:effectExtent l="4445" t="4445" r="5080" b="5080"/>
                <wp:wrapNone/>
                <wp:docPr id="145" name="文本框 145"/>
                <wp:cNvGraphicFramePr/>
                <a:graphic xmlns:a="http://schemas.openxmlformats.org/drawingml/2006/main">
                  <a:graphicData uri="http://schemas.microsoft.com/office/word/2010/wordprocessingShape">
                    <wps:wsp>
                      <wps:cNvSpPr txBox="1">
                        <a:spLocks noChangeArrowheads="1"/>
                      </wps:cNvSpPr>
                      <wps:spPr bwMode="auto">
                        <a:xfrm>
                          <a:off x="0" y="0"/>
                          <a:ext cx="1190625" cy="295275"/>
                        </a:xfrm>
                        <a:prstGeom prst="rect">
                          <a:avLst/>
                        </a:prstGeom>
                        <a:solidFill>
                          <a:srgbClr val="FFFFFF"/>
                        </a:solidFill>
                        <a:ln w="9525">
                          <a:solidFill>
                            <a:srgbClr val="000000"/>
                          </a:solidFill>
                          <a:miter lim="800000"/>
                        </a:ln>
                        <a:effectLst/>
                      </wps:spPr>
                      <wps:txbx>
                        <w:txbxContent>
                          <w:p w14:paraId="08C97D9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转移安置人员</w:t>
                            </w:r>
                          </w:p>
                          <w:p w14:paraId="274DA395">
                            <w:pPr>
                              <w:spacing w:line="240" w:lineRule="auto"/>
                              <w:ind w:firstLine="0" w:firstLineChars="0"/>
                              <w:jc w:val="both"/>
                              <w:rPr>
                                <w:rFonts w:asciiTheme="minorHAnsi" w:hAnsiTheme="minorHAnsi" w:eastAsiaTheme="minorEastAsia" w:cstheme="minorBidi"/>
                                <w:sz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25pt;margin-top:11.7pt;height:23.25pt;width:93.75pt;z-index:251713536;mso-width-relative:page;mso-height-relative:page;" fillcolor="#FFFFFF" filled="t" stroked="t" coordsize="21600,21600" o:gfxdata="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1OJdNNkAAAAJAQAADwAAAAAAAAAB&#10;ACAAAAAiAAAAZHJzL2Rvd25yZXYueG1sUEsBAhQAFAAAAAgAh07iQC1UqNdIAgAAmQQAAA4AAAAA&#10;AAAAAQAgAAAAKAEAAGRycy9lMm9Eb2MueG1sUEsFBgAAAAAGAAYAWQEAAOIFAAAAAA==&#10;">
                <v:fill on="t" focussize="0,0"/>
                <v:stroke color="#000000" miterlimit="8" joinstyle="miter"/>
                <v:imagedata o:title=""/>
                <o:lock v:ext="edit" aspectratio="f"/>
                <v:textbox>
                  <w:txbxContent>
                    <w:p w14:paraId="08C97D90">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转移安置人员</w:t>
                      </w:r>
                    </w:p>
                    <w:p w14:paraId="274DA395">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5104" behindDoc="0" locked="0" layoutInCell="1" allowOverlap="1">
                <wp:simplePos x="0" y="0"/>
                <wp:positionH relativeFrom="column">
                  <wp:posOffset>1985645</wp:posOffset>
                </wp:positionH>
                <wp:positionV relativeFrom="paragraph">
                  <wp:posOffset>236855</wp:posOffset>
                </wp:positionV>
                <wp:extent cx="222250" cy="635"/>
                <wp:effectExtent l="0" t="0" r="0" b="0"/>
                <wp:wrapNone/>
                <wp:docPr id="151" name="直接连接符 151"/>
                <wp:cNvGraphicFramePr/>
                <a:graphic xmlns:a="http://schemas.openxmlformats.org/drawingml/2006/main">
                  <a:graphicData uri="http://schemas.microsoft.com/office/word/2010/wordprocessingShape">
                    <wps:wsp>
                      <wps:cNvCnPr>
                        <a:cxnSpLocks noChangeShapeType="1"/>
                      </wps:cNvCnPr>
                      <wps:spPr bwMode="auto">
                        <a:xfrm>
                          <a:off x="0" y="0"/>
                          <a:ext cx="222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35pt;margin-top:18.65pt;height:0.05pt;width:17.5pt;z-index:251695104;mso-width-relative:page;mso-height-relative:page;" filled="f" stroked="t" coordsize="21600,21600" o:gfxdata="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wJvNv&#10;1gAAAAkBAAAPAAAAAAAAAAEAIAAAACIAAABkcnMvZG93bnJldi54bWxQSwECFAAUAAAACACHTuJA&#10;gON8POoBAAC9AwAADgAAAAAAAAABACAAAAAlAQAAZHJzL2Uyb0RvYy54bWxQSwUGAAAAAAYABgBZ&#10;AQAAgQ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3056" behindDoc="0" locked="0" layoutInCell="1" allowOverlap="1">
                <wp:simplePos x="0" y="0"/>
                <wp:positionH relativeFrom="column">
                  <wp:posOffset>1978025</wp:posOffset>
                </wp:positionH>
                <wp:positionV relativeFrom="paragraph">
                  <wp:posOffset>6350</wp:posOffset>
                </wp:positionV>
                <wp:extent cx="6350" cy="1572895"/>
                <wp:effectExtent l="4445" t="0" r="8255" b="8255"/>
                <wp:wrapNone/>
                <wp:docPr id="150" name="直接连接符 150"/>
                <wp:cNvGraphicFramePr/>
                <a:graphic xmlns:a="http://schemas.openxmlformats.org/drawingml/2006/main">
                  <a:graphicData uri="http://schemas.microsoft.com/office/word/2010/wordprocessingShape">
                    <wps:wsp>
                      <wps:cNvCnPr>
                        <a:cxnSpLocks noChangeShapeType="1"/>
                      </wps:cNvCnPr>
                      <wps:spPr bwMode="auto">
                        <a:xfrm flipH="1">
                          <a:off x="0" y="0"/>
                          <a:ext cx="6350" cy="157289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flip:x;margin-left:155.75pt;margin-top:0.5pt;height:123.85pt;width:0.5pt;z-index:251693056;mso-width-relative:page;mso-height-relative:page;" filled="f" stroked="t" coordsize="21600,21600" o:gfxdata="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EPicq1QAAAAkBAAAPAAAAAAAAAAEAIAAAACIAAABkcnMvZG93bnJldi54bWxQSwECFAAU&#10;AAAACACHTuJAHaSx7PQBAADJAwAADgAAAAAAAAABACAAAAAkAQAAZHJzL2Uyb0RvYy54bWxQSwUG&#10;AAAAAAYABgBZAQAAig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4080" behindDoc="0" locked="0" layoutInCell="1" allowOverlap="1">
                <wp:simplePos x="0" y="0"/>
                <wp:positionH relativeFrom="column">
                  <wp:posOffset>1984375</wp:posOffset>
                </wp:positionH>
                <wp:positionV relativeFrom="paragraph">
                  <wp:posOffset>5715</wp:posOffset>
                </wp:positionV>
                <wp:extent cx="222250" cy="635"/>
                <wp:effectExtent l="0" t="0" r="0" b="0"/>
                <wp:wrapNone/>
                <wp:docPr id="146" name="直接连接符 146"/>
                <wp:cNvGraphicFramePr/>
                <a:graphic xmlns:a="http://schemas.openxmlformats.org/drawingml/2006/main">
                  <a:graphicData uri="http://schemas.microsoft.com/office/word/2010/wordprocessingShape">
                    <wps:wsp>
                      <wps:cNvCnPr>
                        <a:cxnSpLocks noChangeShapeType="1"/>
                      </wps:cNvCnPr>
                      <wps:spPr bwMode="auto">
                        <a:xfrm>
                          <a:off x="0" y="0"/>
                          <a:ext cx="222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25pt;margin-top:0.45pt;height:0.05pt;width:17.5pt;z-index:251694080;mso-width-relative:page;mso-height-relative:page;" filled="f" stroked="t" coordsize="21600,21600" o:gfxdata="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W2lje0wAA&#10;AAYBAAAPAAAAAAAAAAEAIAAAACIAAABkcnMvZG93bnJldi54bWxQSwECFAAUAAAACACHTuJAi7ur&#10;teoBAAC9AwAADgAAAAAAAAABACAAAAAiAQAAZHJzL2Uyb0RvYy54bWxQSwUGAAAAAAYABgBZAQAA&#10;fgUAAAAA&#10;">
                <v:fill on="f" focussize="0,0"/>
                <v:stroke color="#000000" joinstyle="round"/>
                <v:imagedata o:title=""/>
                <o:lock v:ext="edit" aspectratio="f"/>
              </v:line>
            </w:pict>
          </mc:Fallback>
        </mc:AlternateContent>
      </w:r>
    </w:p>
    <w:p w14:paraId="6A5C0299">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2032" behindDoc="0" locked="0" layoutInCell="1" allowOverlap="1">
                <wp:simplePos x="0" y="0"/>
                <wp:positionH relativeFrom="column">
                  <wp:posOffset>1979930</wp:posOffset>
                </wp:positionH>
                <wp:positionV relativeFrom="paragraph">
                  <wp:posOffset>142875</wp:posOffset>
                </wp:positionV>
                <wp:extent cx="226695" cy="635"/>
                <wp:effectExtent l="0" t="0" r="0" b="0"/>
                <wp:wrapNone/>
                <wp:docPr id="141" name="直接连接符 141"/>
                <wp:cNvGraphicFramePr/>
                <a:graphic xmlns:a="http://schemas.openxmlformats.org/drawingml/2006/main">
                  <a:graphicData uri="http://schemas.microsoft.com/office/word/2010/wordprocessingShape">
                    <wps:wsp>
                      <wps:cNvCnPr>
                        <a:cxnSpLocks noChangeShapeType="1"/>
                      </wps:cNvCnPr>
                      <wps:spPr bwMode="auto">
                        <a:xfrm>
                          <a:off x="0" y="0"/>
                          <a:ext cx="22669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5.9pt;margin-top:11.25pt;height:0.05pt;width:17.85pt;z-index:251692032;mso-width-relative:page;mso-height-relative:page;" filled="f" stroked="t" coordsize="21600,21600" o:gfxdata="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W&#10;HMe71wAAAAkBAAAPAAAAAAAAAAEAIAAAACIAAABkcnMvZG93bnJldi54bWxQSwECFAAUAAAACACH&#10;TuJA7CbvguwBAAC9AwAADgAAAAAAAAABACAAAAAm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2512" behindDoc="0" locked="0" layoutInCell="1" allowOverlap="1">
                <wp:simplePos x="0" y="0"/>
                <wp:positionH relativeFrom="column">
                  <wp:posOffset>2214880</wp:posOffset>
                </wp:positionH>
                <wp:positionV relativeFrom="paragraph">
                  <wp:posOffset>304165</wp:posOffset>
                </wp:positionV>
                <wp:extent cx="1188085" cy="289560"/>
                <wp:effectExtent l="4445" t="4445" r="7620" b="10795"/>
                <wp:wrapNone/>
                <wp:docPr id="143" name="文本框 143"/>
                <wp:cNvGraphicFramePr/>
                <a:graphic xmlns:a="http://schemas.openxmlformats.org/drawingml/2006/main">
                  <a:graphicData uri="http://schemas.microsoft.com/office/word/2010/wordprocessingShape">
                    <wps:wsp>
                      <wps:cNvSpPr txBox="1">
                        <a:spLocks noChangeArrowheads="1"/>
                      </wps:cNvSpPr>
                      <wps:spPr bwMode="auto">
                        <a:xfrm>
                          <a:off x="0" y="0"/>
                          <a:ext cx="1188085" cy="289560"/>
                        </a:xfrm>
                        <a:prstGeom prst="rect">
                          <a:avLst/>
                        </a:prstGeom>
                        <a:noFill/>
                        <a:ln w="9525">
                          <a:solidFill>
                            <a:srgbClr val="000000"/>
                          </a:solidFill>
                          <a:miter lim="800000"/>
                        </a:ln>
                        <a:effectLst/>
                      </wps:spPr>
                      <wps:txbx>
                        <w:txbxContent>
                          <w:p w14:paraId="7B7CBA1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应急监测</w:t>
                            </w:r>
                          </w:p>
                          <w:p w14:paraId="75A48D48">
                            <w:pPr>
                              <w:spacing w:line="240" w:lineRule="auto"/>
                              <w:ind w:firstLine="0" w:firstLineChars="0"/>
                              <w:jc w:val="both"/>
                              <w:rPr>
                                <w:rFonts w:asciiTheme="minorHAnsi" w:hAnsiTheme="minorHAnsi" w:eastAsiaTheme="minorEastAsia" w:cstheme="minorBidi"/>
                                <w:sz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4pt;margin-top:23.95pt;height:22.8pt;width:93.55pt;z-index:251712512;mso-width-relative:page;mso-height-relative:page;" filled="f" stroked="t" coordsize="21600,21600" o:gfxdata="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2kqHdgAAAAJAQAADwAAAAAAAAABACAA&#10;AAAiAAAAZHJzL2Rvd25yZXYueG1sUEsBAhQAFAAAAAgAh07iQBntECVGAgAAcAQAAA4AAAAAAAAA&#10;AQAgAAAAJwEAAGRycy9lMm9Eb2MueG1sUEsFBgAAAAAGAAYAWQEAAN8FAAAAAA==&#10;">
                <v:fill on="f" focussize="0,0"/>
                <v:stroke color="#000000" miterlimit="8" joinstyle="miter"/>
                <v:imagedata o:title=""/>
                <o:lock v:ext="edit" aspectratio="f"/>
                <v:textbox>
                  <w:txbxContent>
                    <w:p w14:paraId="7B7CBA1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应急监测</w:t>
                      </w:r>
                    </w:p>
                    <w:p w14:paraId="75A48D48">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4560" behindDoc="0" locked="0" layoutInCell="1" allowOverlap="1">
                <wp:simplePos x="0" y="0"/>
                <wp:positionH relativeFrom="column">
                  <wp:posOffset>2215515</wp:posOffset>
                </wp:positionH>
                <wp:positionV relativeFrom="paragraph">
                  <wp:posOffset>36830</wp:posOffset>
                </wp:positionV>
                <wp:extent cx="1188085" cy="270510"/>
                <wp:effectExtent l="4445" t="5080" r="7620" b="10160"/>
                <wp:wrapNone/>
                <wp:docPr id="142" name="文本框 142"/>
                <wp:cNvGraphicFramePr/>
                <a:graphic xmlns:a="http://schemas.openxmlformats.org/drawingml/2006/main">
                  <a:graphicData uri="http://schemas.microsoft.com/office/word/2010/wordprocessingShape">
                    <wps:wsp>
                      <wps:cNvSpPr txBox="1"/>
                      <wps:spPr>
                        <a:xfrm>
                          <a:off x="0" y="0"/>
                          <a:ext cx="1188085" cy="2705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F26F26F">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医学救援</w:t>
                            </w:r>
                          </w:p>
                          <w:p w14:paraId="036742BA">
                            <w:pPr>
                              <w:spacing w:line="240" w:lineRule="auto"/>
                              <w:ind w:firstLine="0" w:firstLineChars="0"/>
                              <w:jc w:val="both"/>
                              <w:rPr>
                                <w:rFonts w:asciiTheme="minorHAnsi" w:hAnsiTheme="minorHAnsi" w:eastAsiaTheme="minorEastAsia" w:cstheme="minorBidi"/>
                                <w:sz w:val="21"/>
                              </w:rPr>
                            </w:pPr>
                          </w:p>
                        </w:txbxContent>
                      </wps:txbx>
                      <wps:bodyPr upright="1"/>
                    </wps:wsp>
                  </a:graphicData>
                </a:graphic>
              </wp:anchor>
            </w:drawing>
          </mc:Choice>
          <mc:Fallback>
            <w:pict>
              <v:shape id="_x0000_s1026" o:spid="_x0000_s1026" o:spt="202" type="#_x0000_t202" style="position:absolute;left:0pt;margin-left:174.45pt;margin-top:2.9pt;height:21.3pt;width:93.55pt;z-index:251714560;mso-width-relative:page;mso-height-relative:page;" fillcolor="#FFFFFF" filled="t" stroked="t" coordsize="21600,21600" o:gfxdata="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C9xArYAAAACAEAAA8AAAAA&#10;AAAAAQAgAAAAIgAAAGRycy9kb3ducmV2LnhtbFBLAQIUABQAAAAIAIdO4kCaHW+PFAIAAEgEAAAO&#10;AAAAAAAAAAEAIAAAACcBAABkcnMvZTJvRG9jLnhtbFBLBQYAAAAABgAGAFkBAACtBQAAAAA=&#10;">
                <v:fill on="t" focussize="0,0"/>
                <v:stroke color="#000000" joinstyle="miter"/>
                <v:imagedata o:title=""/>
                <o:lock v:ext="edit" aspectratio="f"/>
                <v:textbox>
                  <w:txbxContent>
                    <w:p w14:paraId="4F26F26F">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医学救援</w:t>
                      </w:r>
                    </w:p>
                    <w:p w14:paraId="036742BA">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7696" behindDoc="0" locked="0" layoutInCell="1" allowOverlap="1">
                <wp:simplePos x="0" y="0"/>
                <wp:positionH relativeFrom="column">
                  <wp:posOffset>328295</wp:posOffset>
                </wp:positionH>
                <wp:positionV relativeFrom="paragraph">
                  <wp:posOffset>282575</wp:posOffset>
                </wp:positionV>
                <wp:extent cx="1259840" cy="288290"/>
                <wp:effectExtent l="4445" t="4445" r="12065" b="12065"/>
                <wp:wrapNone/>
                <wp:docPr id="144" name="文本框 144"/>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2A5FDD3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85pt;margin-top:22.25pt;height:22.7pt;width:99.2pt;z-index:251677696;mso-width-relative:page;mso-height-relative:page;" fillcolor="#FFFFFF" filled="t" stroked="t" coordsize="21600,21600" o:gfxdata="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KBom/YAAAACAEAAA8AAAAAAAAAAQAg&#10;AAAAIgAAAGRycy9kb3ducmV2LnhtbFBLAQIUABQAAAAIAIdO4kDpavhIRwIAAJkEAAAOAAAAAAAA&#10;AAEAIAAAACcBAABkcnMvZTJvRG9jLnhtbFBLBQYAAAAABgAGAFkBAADgBQAAAAA=&#10;">
                <v:fill on="t" focussize="0,0"/>
                <v:stroke color="#000000" miterlimit="8" joinstyle="miter"/>
                <v:imagedata o:title=""/>
                <o:lock v:ext="edit" aspectratio="f"/>
                <v:textbox>
                  <w:txbxContent>
                    <w:p w14:paraId="2A5FDD3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应急处置</w:t>
                      </w:r>
                    </w:p>
                  </w:txbxContent>
                </v:textbox>
              </v:shape>
            </w:pict>
          </mc:Fallback>
        </mc:AlternateContent>
      </w:r>
    </w:p>
    <w:p w14:paraId="5DD18D1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6128" behindDoc="0" locked="0" layoutInCell="1" allowOverlap="1">
                <wp:simplePos x="0" y="0"/>
                <wp:positionH relativeFrom="column">
                  <wp:posOffset>1584960</wp:posOffset>
                </wp:positionH>
                <wp:positionV relativeFrom="paragraph">
                  <wp:posOffset>29845</wp:posOffset>
                </wp:positionV>
                <wp:extent cx="630555" cy="635"/>
                <wp:effectExtent l="0" t="0" r="0" b="0"/>
                <wp:wrapNone/>
                <wp:docPr id="20" name="直接连接符 20"/>
                <wp:cNvGraphicFramePr/>
                <a:graphic xmlns:a="http://schemas.openxmlformats.org/drawingml/2006/main">
                  <a:graphicData uri="http://schemas.microsoft.com/office/word/2010/wordprocessingShape">
                    <wps:wsp>
                      <wps:cNvCnPr>
                        <a:cxnSpLocks noChangeShapeType="1"/>
                      </wps:cNvCnPr>
                      <wps:spPr bwMode="auto">
                        <a:xfrm>
                          <a:off x="0" y="0"/>
                          <a:ext cx="63055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24.8pt;margin-top:2.35pt;height:0.05pt;width:49.65pt;z-index:251696128;mso-width-relative:page;mso-height-relative:page;" filled="f" stroked="t" coordsize="21600,21600" o:gfxdata="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s/hH3&#10;1QAAAAcBAAAPAAAAAAAAAAEAIAAAACIAAABkcnMvZG93bnJldi54bWxQSwECFAAUAAAACACHTuJA&#10;3J1SNOsBAAC7AwAADgAAAAAAAAABACAAAAAkAQAAZHJzL2Uyb0RvYy54bWxQSwUGAAAAAAYABgBZ&#10;AQAAgQ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7152" behindDoc="0" locked="0" layoutInCell="1" allowOverlap="1">
                <wp:simplePos x="0" y="0"/>
                <wp:positionH relativeFrom="column">
                  <wp:posOffset>2216150</wp:posOffset>
                </wp:positionH>
                <wp:positionV relativeFrom="paragraph">
                  <wp:posOffset>196215</wp:posOffset>
                </wp:positionV>
                <wp:extent cx="1188085" cy="285750"/>
                <wp:effectExtent l="4445" t="4445" r="7620" b="14605"/>
                <wp:wrapNone/>
                <wp:docPr id="147" name="文本框 147"/>
                <wp:cNvGraphicFramePr/>
                <a:graphic xmlns:a="http://schemas.openxmlformats.org/drawingml/2006/main">
                  <a:graphicData uri="http://schemas.microsoft.com/office/word/2010/wordprocessingShape">
                    <wps:wsp>
                      <wps:cNvSpPr txBox="1">
                        <a:spLocks noChangeArrowheads="1"/>
                      </wps:cNvSpPr>
                      <wps:spPr bwMode="auto">
                        <a:xfrm>
                          <a:off x="0" y="0"/>
                          <a:ext cx="1188085" cy="285997"/>
                        </a:xfrm>
                        <a:prstGeom prst="rect">
                          <a:avLst/>
                        </a:prstGeom>
                        <a:noFill/>
                        <a:ln w="9525">
                          <a:solidFill>
                            <a:srgbClr val="000000"/>
                          </a:solidFill>
                          <a:miter lim="800000"/>
                        </a:ln>
                        <a:effectLst/>
                      </wps:spPr>
                      <wps:txbx>
                        <w:txbxContent>
                          <w:p w14:paraId="6E5F68A3">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eastAsia="zh-CN"/>
                              </w:rPr>
                              <w:t>现</w:t>
                            </w:r>
                            <w:r>
                              <w:rPr>
                                <w:rFonts w:hint="eastAsia" w:asciiTheme="minorHAnsi" w:hAnsiTheme="minorHAnsi" w:eastAsiaTheme="minorEastAsia" w:cstheme="minorBidi"/>
                                <w:sz w:val="21"/>
                              </w:rPr>
                              <w:t>场监管</w:t>
                            </w:r>
                            <w:r>
                              <w:rPr>
                                <w:rFonts w:asciiTheme="minorHAnsi" w:hAnsiTheme="minorHAnsi" w:eastAsiaTheme="minorEastAsia" w:cstheme="minorBidi"/>
                                <w:sz w:val="21"/>
                              </w:rPr>
                              <w:t>和调控</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5pt;margin-top:15.45pt;height:22.5pt;width:93.55pt;z-index:251697152;mso-width-relative:page;mso-height-relative:page;" filled="f" stroked="t" coordsize="21600,21600" o:gfxdata="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eQJ9h1wAAAAkBAAAPAAAAAAAAAAEAIAAA&#10;ACIAAABkcnMvZG93bnJldi54bWxQSwECFAAUAAAACACHTuJAtwzQjUYCAABwBAAADgAAAAAAAAAB&#10;ACAAAAAmAQAAZHJzL2Uyb0RvYy54bWxQSwUGAAAAAAYABgBZAQAA3gUAAAAA&#10;">
                <v:fill on="f" focussize="0,0"/>
                <v:stroke color="#000000" miterlimit="8" joinstyle="miter"/>
                <v:imagedata o:title=""/>
                <o:lock v:ext="edit" aspectratio="f"/>
                <v:textbox>
                  <w:txbxContent>
                    <w:p w14:paraId="6E5F68A3">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lang w:eastAsia="zh-CN"/>
                        </w:rPr>
                        <w:t>现</w:t>
                      </w:r>
                      <w:r>
                        <w:rPr>
                          <w:rFonts w:hint="eastAsia" w:asciiTheme="minorHAnsi" w:hAnsiTheme="minorHAnsi" w:eastAsiaTheme="minorEastAsia" w:cstheme="minorBidi"/>
                          <w:sz w:val="21"/>
                        </w:rPr>
                        <w:t>场监管</w:t>
                      </w:r>
                      <w:r>
                        <w:rPr>
                          <w:rFonts w:asciiTheme="minorHAnsi" w:hAnsiTheme="minorHAnsi" w:eastAsiaTheme="minorEastAsia" w:cstheme="minorBidi"/>
                          <w:sz w:val="21"/>
                        </w:rPr>
                        <w:t>和调控</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7392" behindDoc="0" locked="0" layoutInCell="1" allowOverlap="1">
                <wp:simplePos x="0" y="0"/>
                <wp:positionH relativeFrom="column">
                  <wp:posOffset>-223520</wp:posOffset>
                </wp:positionH>
                <wp:positionV relativeFrom="paragraph">
                  <wp:posOffset>275590</wp:posOffset>
                </wp:positionV>
                <wp:extent cx="324485" cy="419100"/>
                <wp:effectExtent l="0" t="0" r="0" b="0"/>
                <wp:wrapNone/>
                <wp:docPr id="149" name="文本框 149"/>
                <wp:cNvGraphicFramePr/>
                <a:graphic xmlns:a="http://schemas.openxmlformats.org/drawingml/2006/main">
                  <a:graphicData uri="http://schemas.microsoft.com/office/word/2010/wordprocessingShape">
                    <wps:wsp>
                      <wps:cNvSpPr txBox="1">
                        <a:spLocks noChangeArrowheads="1"/>
                      </wps:cNvSpPr>
                      <wps:spPr bwMode="auto">
                        <a:xfrm>
                          <a:off x="0" y="0"/>
                          <a:ext cx="324485" cy="419100"/>
                        </a:xfrm>
                        <a:prstGeom prst="rect">
                          <a:avLst/>
                        </a:prstGeom>
                        <a:noFill/>
                        <a:ln>
                          <a:noFill/>
                        </a:ln>
                        <a:effectLst/>
                      </wps:spPr>
                      <wps:txbx>
                        <w:txbxContent>
                          <w:p w14:paraId="70FB6FEF">
                            <w:pPr>
                              <w:spacing w:line="240" w:lineRule="auto"/>
                              <w:ind w:firstLine="0" w:firstLineChars="0"/>
                              <w:jc w:val="both"/>
                              <w:rPr>
                                <w:rFonts w:asciiTheme="minorHAnsi" w:hAnsiTheme="minorHAnsi" w:eastAsiaTheme="minorEastAsia" w:cstheme="minorBidi"/>
                                <w:sz w:val="21"/>
                              </w:rPr>
                            </w:pPr>
                            <w:r>
                              <w:rPr>
                                <w:rFonts w:asciiTheme="minorHAnsi" w:hAnsiTheme="minorHAnsi" w:eastAsiaTheme="minorEastAsia" w:cstheme="minorBidi"/>
                                <w:sz w:val="21"/>
                              </w:rPr>
                              <w:t>否</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6pt;margin-top:21.7pt;height:33pt;width:25.55pt;z-index:251707392;mso-width-relative:page;mso-height-relative:page;" filled="f" stroked="f" coordsize="21600,21600" o:gfxdata="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3TfM9cAAAAJ&#10;AQAADwAAAAAAAAABACAAAAAiAAAAZHJzL2Rvd25yZXYueG1sUEsBAhQAFAAAAAgAh07iQFQMoI4d&#10;AgAAJgQAAA4AAAAAAAAAAQAgAAAAJgEAAGRycy9lMm9Eb2MueG1sUEsFBgAAAAAGAAYAWQEAALUF&#10;AAAAAA==&#10;">
                <v:fill on="f" focussize="0,0"/>
                <v:stroke on="f"/>
                <v:imagedata o:title=""/>
                <o:lock v:ext="edit" aspectratio="f"/>
                <v:textbox>
                  <w:txbxContent>
                    <w:p w14:paraId="70FB6FEF">
                      <w:pPr>
                        <w:spacing w:line="240" w:lineRule="auto"/>
                        <w:ind w:firstLine="0" w:firstLineChars="0"/>
                        <w:jc w:val="both"/>
                        <w:rPr>
                          <w:rFonts w:asciiTheme="minorHAnsi" w:hAnsiTheme="minorHAnsi" w:eastAsiaTheme="minorEastAsia" w:cstheme="minorBidi"/>
                          <w:sz w:val="21"/>
                        </w:rPr>
                      </w:pPr>
                      <w:r>
                        <w:rPr>
                          <w:rFonts w:asciiTheme="minorHAnsi" w:hAnsiTheme="minorHAnsi" w:eastAsiaTheme="minorEastAsia" w:cstheme="minorBidi"/>
                          <w:sz w:val="21"/>
                        </w:rPr>
                        <w:t>否</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8720" behindDoc="0" locked="0" layoutInCell="1" allowOverlap="1">
                <wp:simplePos x="0" y="0"/>
                <wp:positionH relativeFrom="column">
                  <wp:posOffset>697865</wp:posOffset>
                </wp:positionH>
                <wp:positionV relativeFrom="paragraph">
                  <wp:posOffset>413385</wp:posOffset>
                </wp:positionV>
                <wp:extent cx="477520" cy="0"/>
                <wp:effectExtent l="38100" t="0" r="38100" b="17780"/>
                <wp:wrapNone/>
                <wp:docPr id="22" name="直接箭头连接符 22"/>
                <wp:cNvGraphicFramePr/>
                <a:graphic xmlns:a="http://schemas.openxmlformats.org/drawingml/2006/main">
                  <a:graphicData uri="http://schemas.microsoft.com/office/word/2010/wordprocessingShape">
                    <wps:wsp>
                      <wps:cNvCnPr>
                        <a:cxnSpLocks noChangeShapeType="1"/>
                      </wps:cNvCnPr>
                      <wps:spPr bwMode="auto">
                        <a:xfrm rot="5400000">
                          <a:off x="0" y="0"/>
                          <a:ext cx="47752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54.95pt;margin-top:32.55pt;height:0pt;width:37.6pt;rotation:5898240f;z-index:251678720;mso-width-relative:page;mso-height-relative:page;" filled="f" stroked="t" coordsize="21600,21600" o:gfxdata="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fcYRfXAAAACQEA&#10;AA8AAAAAAAAAAQAgAAAAIgAAAGRycy9kb3ducmV2LnhtbFBLAQIUABQAAAAIAIdO4kCg/Ol0GwIA&#10;AAkEAAAOAAAAAAAAAAEAIAAAACYBAABkcnMvZTJvRG9jLnhtbFBLBQYAAAAABgAGAFkBAACzBQAA&#10;A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6368" behindDoc="0" locked="0" layoutInCell="1" allowOverlap="1">
                <wp:simplePos x="0" y="0"/>
                <wp:positionH relativeFrom="column">
                  <wp:posOffset>-172720</wp:posOffset>
                </wp:positionH>
                <wp:positionV relativeFrom="paragraph">
                  <wp:posOffset>6985</wp:posOffset>
                </wp:positionV>
                <wp:extent cx="501015" cy="1270"/>
                <wp:effectExtent l="0" t="36830" r="13335" b="38100"/>
                <wp:wrapNone/>
                <wp:docPr id="21" name="肘形连接符 21"/>
                <wp:cNvGraphicFramePr/>
                <a:graphic xmlns:a="http://schemas.openxmlformats.org/drawingml/2006/main">
                  <a:graphicData uri="http://schemas.microsoft.com/office/word/2010/wordprocessingShape">
                    <wps:wsp>
                      <wps:cNvCnPr>
                        <a:cxnSpLocks noChangeShapeType="1"/>
                      </wps:cNvCnPr>
                      <wps:spPr bwMode="auto">
                        <a:xfrm>
                          <a:off x="0" y="0"/>
                          <a:ext cx="501015" cy="1270"/>
                        </a:xfrm>
                        <a:prstGeom prst="bentConnector3">
                          <a:avLst>
                            <a:gd name="adj1" fmla="val 49935"/>
                          </a:avLst>
                        </a:prstGeom>
                        <a:noFill/>
                        <a:ln w="9525">
                          <a:solidFill>
                            <a:srgbClr val="000000"/>
                          </a:solidFill>
                          <a:miter lim="800000"/>
                          <a:tailEnd type="triangle" w="med" len="med"/>
                        </a:ln>
                        <a:effectLst/>
                      </wps:spPr>
                      <wps:bodyPr/>
                    </wps:wsp>
                  </a:graphicData>
                </a:graphic>
              </wp:anchor>
            </w:drawing>
          </mc:Choice>
          <mc:Fallback>
            <w:pict>
              <v:shape id="_x0000_s1026" o:spid="_x0000_s1026" o:spt="34" type="#_x0000_t34" style="position:absolute;left:0pt;margin-left:-13.6pt;margin-top:0.55pt;height:0.1pt;width:39.45pt;z-index:251706368;mso-width-relative:page;mso-height-relative:page;" filled="f" stroked="t" coordsize="21600,21600" o:gfxdata="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m68sa1QAAAAYBAAAPAAAAAAAAAAEAIAAAACIAAABkcnMvZG93bnJldi54bWxQSwECFAAU&#10;AAAACACHTuJAxdDlky0CAAAuBAAADgAAAAAAAAABACAAAAAkAQAAZHJzL2Uyb0RvYy54bWxQSwUG&#10;AAAAAAYABgBZAQAAwwUAAAAA&#10;" adj="10786">
                <v:fill on="f" focussize="0,0"/>
                <v:stroke color="#000000" miterlimit="8" joinstyle="miter"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0224" behindDoc="0" locked="0" layoutInCell="1" allowOverlap="1">
                <wp:simplePos x="0" y="0"/>
                <wp:positionH relativeFrom="column">
                  <wp:posOffset>1984375</wp:posOffset>
                </wp:positionH>
                <wp:positionV relativeFrom="paragraph">
                  <wp:posOffset>263525</wp:posOffset>
                </wp:positionV>
                <wp:extent cx="222250" cy="635"/>
                <wp:effectExtent l="0" t="0" r="0" b="0"/>
                <wp:wrapNone/>
                <wp:docPr id="19" name="直接连接符 19"/>
                <wp:cNvGraphicFramePr/>
                <a:graphic xmlns:a="http://schemas.openxmlformats.org/drawingml/2006/main">
                  <a:graphicData uri="http://schemas.microsoft.com/office/word/2010/wordprocessingShape">
                    <wps:wsp>
                      <wps:cNvCnPr>
                        <a:cxnSpLocks noChangeShapeType="1"/>
                      </wps:cNvCnPr>
                      <wps:spPr bwMode="auto">
                        <a:xfrm>
                          <a:off x="0" y="0"/>
                          <a:ext cx="22225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25pt;margin-top:20.75pt;height:0.05pt;width:17.5pt;z-index:251700224;mso-width-relative:page;mso-height-relative:page;" filled="f" stroked="t" coordsize="21600,21600" o:gfxdata="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oJkRTW&#10;AAAACQEAAA8AAAAAAAAAAQAgAAAAIgAAAGRycy9kb3ducmV2LnhtbFBLAQIUABQAAAAIAIdO4kBl&#10;wZmn6QEAALsDAAAOAAAAAAAAAAEAIAAAACUBAABkcnMvZTJvRG9jLnhtbFBLBQYAAAAABgAGAFkB&#10;AACABQAAAAA=&#10;">
                <v:fill on="f" focussize="0,0"/>
                <v:stroke color="#000000" joinstyle="round"/>
                <v:imagedata o:title=""/>
                <o:lock v:ext="edit" aspectratio="f"/>
              </v:line>
            </w:pict>
          </mc:Fallback>
        </mc:AlternateContent>
      </w:r>
    </w:p>
    <w:p w14:paraId="64C84DD7">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8176" behindDoc="0" locked="0" layoutInCell="1" allowOverlap="1">
                <wp:simplePos x="0" y="0"/>
                <wp:positionH relativeFrom="column">
                  <wp:posOffset>2216150</wp:posOffset>
                </wp:positionH>
                <wp:positionV relativeFrom="paragraph">
                  <wp:posOffset>75565</wp:posOffset>
                </wp:positionV>
                <wp:extent cx="1188085" cy="280035"/>
                <wp:effectExtent l="5080" t="4445" r="10795" b="5080"/>
                <wp:wrapNone/>
                <wp:docPr id="15"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1188085" cy="280035"/>
                        </a:xfrm>
                        <a:prstGeom prst="rect">
                          <a:avLst/>
                        </a:prstGeom>
                        <a:solidFill>
                          <a:srgbClr val="FFFFFF"/>
                        </a:solidFill>
                        <a:ln w="9525">
                          <a:solidFill>
                            <a:srgbClr val="000000"/>
                          </a:solidFill>
                          <a:miter lim="800000"/>
                        </a:ln>
                        <a:effectLst/>
                      </wps:spPr>
                      <wps:txbx>
                        <w:txbxContent>
                          <w:p w14:paraId="398A19D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pacing w:val="-23"/>
                                <w:sz w:val="21"/>
                              </w:rPr>
                              <w:t>信息发布与舆情应</w:t>
                            </w:r>
                            <w:r>
                              <w:rPr>
                                <w:rFonts w:hint="eastAsia" w:asciiTheme="minorHAnsi" w:hAnsiTheme="minorHAnsi" w:eastAsiaTheme="minorEastAsia" w:cstheme="minorBidi"/>
                                <w:sz w:val="21"/>
                              </w:rPr>
                              <w:t>对</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5pt;margin-top:5.95pt;height:22.05pt;width:93.55pt;z-index:251698176;mso-width-relative:page;mso-height-relative:page;" fillcolor="#FFFFFF" filled="t" stroked="t" coordsize="21600,21600" o:gfxdata="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YcvTo2AAAAAkBAAAPAAAAAAAAAAEA&#10;IAAAACIAAABkcnMvZG93bnJldi54bWxQSwECFAAUAAAACACHTuJAYAfjhkgCAACXBAAADgAAAAAA&#10;AAABACAAAAAnAQAAZHJzL2Uyb0RvYy54bWxQSwUGAAAAAAYABgBZAQAA4QUAAAAA&#10;">
                <v:fill on="t" focussize="0,0"/>
                <v:stroke color="#000000" miterlimit="8" joinstyle="miter"/>
                <v:imagedata o:title=""/>
                <o:lock v:ext="edit" aspectratio="f"/>
                <v:textbox>
                  <w:txbxContent>
                    <w:p w14:paraId="398A19D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pacing w:val="-23"/>
                          <w:sz w:val="21"/>
                        </w:rPr>
                        <w:t>信息发布与舆情应</w:t>
                      </w:r>
                      <w:r>
                        <w:rPr>
                          <w:rFonts w:hint="eastAsia" w:asciiTheme="minorHAnsi" w:hAnsiTheme="minorHAnsi" w:eastAsiaTheme="minorEastAsia" w:cstheme="minorBidi"/>
                          <w:sz w:val="21"/>
                        </w:rPr>
                        <w:t>对</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2272" behindDoc="0" locked="0" layoutInCell="1" allowOverlap="1">
                <wp:simplePos x="0" y="0"/>
                <wp:positionH relativeFrom="column">
                  <wp:posOffset>2212340</wp:posOffset>
                </wp:positionH>
                <wp:positionV relativeFrom="paragraph">
                  <wp:posOffset>322580</wp:posOffset>
                </wp:positionV>
                <wp:extent cx="1186815" cy="312420"/>
                <wp:effectExtent l="4445" t="4445" r="12700" b="18415"/>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1186815" cy="312420"/>
                        </a:xfrm>
                        <a:prstGeom prst="rect">
                          <a:avLst/>
                        </a:prstGeom>
                        <a:solidFill>
                          <a:srgbClr val="FFFFFF"/>
                        </a:solidFill>
                        <a:ln w="9525">
                          <a:solidFill>
                            <a:srgbClr val="000000"/>
                          </a:solidFill>
                          <a:miter lim="800000"/>
                        </a:ln>
                        <a:effectLst/>
                      </wps:spPr>
                      <wps:txbx>
                        <w:txbxContent>
                          <w:p w14:paraId="2EABDB8B">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维护社会稳定</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74.2pt;margin-top:25.4pt;height:24.6pt;width:93.45pt;z-index:251702272;mso-width-relative:page;mso-height-relative:page;" fillcolor="#FFFFFF" filled="t" stroked="t" coordsize="21600,21600" o:gfxdata="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Oawt32AAAAAoBAAAPAAAAAAAAAAEA&#10;IAAAACIAAABkcnMvZG93bnJldi54bWxQSwECFAAUAAAACACHTuJAeFqbPEgCAACXBAAADgAAAAAA&#10;AAABACAAAAAnAQAAZHJzL2Uyb0RvYy54bWxQSwUGAAAAAAYABgBZAQAA4QUAAAAA&#10;">
                <v:fill on="t" focussize="0,0"/>
                <v:stroke color="#000000" miterlimit="8" joinstyle="miter"/>
                <v:imagedata o:title=""/>
                <o:lock v:ext="edit" aspectratio="f"/>
                <v:textbox>
                  <w:txbxContent>
                    <w:p w14:paraId="2EABDB8B">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维护社会稳定</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1248" behindDoc="0" locked="0" layoutInCell="1" allowOverlap="1">
                <wp:simplePos x="0" y="0"/>
                <wp:positionH relativeFrom="column">
                  <wp:posOffset>1983740</wp:posOffset>
                </wp:positionH>
                <wp:positionV relativeFrom="paragraph">
                  <wp:posOffset>146685</wp:posOffset>
                </wp:positionV>
                <wp:extent cx="227330" cy="635"/>
                <wp:effectExtent l="0" t="0" r="0" b="0"/>
                <wp:wrapNone/>
                <wp:docPr id="18" name="直接连接符 18"/>
                <wp:cNvGraphicFramePr/>
                <a:graphic xmlns:a="http://schemas.openxmlformats.org/drawingml/2006/main">
                  <a:graphicData uri="http://schemas.microsoft.com/office/word/2010/wordprocessingShape">
                    <wps:wsp>
                      <wps:cNvCnPr>
                        <a:cxnSpLocks noChangeShapeType="1"/>
                      </wps:cNvCnPr>
                      <wps:spPr bwMode="auto">
                        <a:xfrm>
                          <a:off x="0" y="0"/>
                          <a:ext cx="227330"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6.2pt;margin-top:11.55pt;height:0.05pt;width:17.9pt;z-index:251701248;mso-width-relative:page;mso-height-relative:page;" filled="f" stroked="t" coordsize="21600,21600" o:gfxdata="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ti&#10;QEnXAAAACQEAAA8AAAAAAAAAAQAgAAAAIgAAAGRycy9kb3ducmV2LnhtbFBLAQIUABQAAAAIAIdO&#10;4kCFLiD96wEAALsDAAAOAAAAAAAAAAEAIAAAACYBAABkcnMvZTJvRG9jLnhtbFBLBQYAAAAABgAG&#10;AFkBAACDBQ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99200" behindDoc="0" locked="0" layoutInCell="1" allowOverlap="1">
                <wp:simplePos x="0" y="0"/>
                <wp:positionH relativeFrom="column">
                  <wp:posOffset>1976120</wp:posOffset>
                </wp:positionH>
                <wp:positionV relativeFrom="paragraph">
                  <wp:posOffset>391795</wp:posOffset>
                </wp:positionV>
                <wp:extent cx="234315" cy="635"/>
                <wp:effectExtent l="0" t="0" r="0" b="0"/>
                <wp:wrapNone/>
                <wp:docPr id="17" name="直接连接符 17"/>
                <wp:cNvGraphicFramePr/>
                <a:graphic xmlns:a="http://schemas.openxmlformats.org/drawingml/2006/main">
                  <a:graphicData uri="http://schemas.microsoft.com/office/word/2010/wordprocessingShape">
                    <wps:wsp>
                      <wps:cNvCnPr>
                        <a:cxnSpLocks noChangeShapeType="1"/>
                      </wps:cNvCnPr>
                      <wps:spPr bwMode="auto">
                        <a:xfrm>
                          <a:off x="0" y="0"/>
                          <a:ext cx="23431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5.6pt;margin-top:30.85pt;height:0.05pt;width:18.45pt;z-index:251699200;mso-width-relative:page;mso-height-relative:page;" filled="f" stroked="t" coordsize="21600,21600" o:gfxdata="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a&#10;6yzU1wAAAAkBAAAPAAAAAAAAAAEAIAAAACIAAABkcnMvZG93bnJldi54bWxQSwECFAAUAAAACACH&#10;TuJAw2ZH6uwBAAC7AwAADgAAAAAAAAABACAAAAAm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5344" behindDoc="0" locked="0" layoutInCell="1" allowOverlap="1">
                <wp:simplePos x="0" y="0"/>
                <wp:positionH relativeFrom="column">
                  <wp:posOffset>-617220</wp:posOffset>
                </wp:positionH>
                <wp:positionV relativeFrom="paragraph">
                  <wp:posOffset>64135</wp:posOffset>
                </wp:positionV>
                <wp:extent cx="897255" cy="0"/>
                <wp:effectExtent l="5080" t="0" r="13970" b="17145"/>
                <wp:wrapNone/>
                <wp:docPr id="23" name="肘形连接符 23"/>
                <wp:cNvGraphicFramePr/>
                <a:graphic xmlns:a="http://schemas.openxmlformats.org/drawingml/2006/main">
                  <a:graphicData uri="http://schemas.microsoft.com/office/word/2010/wordprocessingShape">
                    <wps:wsp>
                      <wps:cNvCnPr>
                        <a:cxnSpLocks noChangeShapeType="1"/>
                      </wps:cNvCnPr>
                      <wps:spPr bwMode="auto">
                        <a:xfrm rot="16200000" flipV="1">
                          <a:off x="0" y="0"/>
                          <a:ext cx="897255" cy="0"/>
                        </a:xfrm>
                        <a:prstGeom prst="bentConnector3">
                          <a:avLst>
                            <a:gd name="adj1" fmla="val 50000"/>
                          </a:avLst>
                        </a:prstGeom>
                        <a:noFill/>
                        <a:ln w="9525">
                          <a:solidFill>
                            <a:srgbClr val="000000"/>
                          </a:solidFill>
                          <a:miter lim="800000"/>
                        </a:ln>
                        <a:effectLst/>
                      </wps:spPr>
                      <wps:bodyPr/>
                    </wps:wsp>
                  </a:graphicData>
                </a:graphic>
              </wp:anchor>
            </w:drawing>
          </mc:Choice>
          <mc:Fallback>
            <w:pict>
              <v:shape id="_x0000_s1026" o:spid="_x0000_s1026" o:spt="34" type="#_x0000_t34" style="position:absolute;left:0pt;flip:y;margin-left:-48.6pt;margin-top:5.05pt;height:0pt;width:70.65pt;rotation:5898240f;z-index:251705344;mso-width-relative:page;mso-height-relative:page;" filled="f" stroked="t" coordsize="21600,21600" o:gfxdata="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aCym91QAA&#10;AAgBAAAPAAAAAAAAAAEAIAAAACIAAABkcnMvZG93bnJldi54bWxQSwECFAAUAAAACACHTuJAu8b4&#10;fyECAAAWBAAADgAAAAAAAAABACAAAAAkAQAAZHJzL2Uyb0RvYy54bWxQSwUGAAAAAAYABgBZAQAA&#10;twUAAAAA&#10;" adj="10800">
                <v:fill on="f" focussize="0,0"/>
                <v:stroke color="#000000" miterlimit="8" joinstyle="miter"/>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1488" behindDoc="0" locked="0" layoutInCell="1" allowOverlap="1">
                <wp:simplePos x="0" y="0"/>
                <wp:positionH relativeFrom="column">
                  <wp:posOffset>-72390</wp:posOffset>
                </wp:positionH>
                <wp:positionV relativeFrom="paragraph">
                  <wp:posOffset>252095</wp:posOffset>
                </wp:positionV>
                <wp:extent cx="2008505" cy="543560"/>
                <wp:effectExtent l="18415" t="5080" r="30480" b="15240"/>
                <wp:wrapNone/>
                <wp:docPr id="148" name="流程图: 决策 148"/>
                <wp:cNvGraphicFramePr/>
                <a:graphic xmlns:a="http://schemas.openxmlformats.org/drawingml/2006/main">
                  <a:graphicData uri="http://schemas.microsoft.com/office/word/2010/wordprocessingShape">
                    <wps:wsp>
                      <wps:cNvSpPr/>
                      <wps:spPr>
                        <a:xfrm>
                          <a:off x="0" y="0"/>
                          <a:ext cx="2008505" cy="543560"/>
                        </a:xfrm>
                        <a:prstGeom prst="flowChartDecision">
                          <a:avLst/>
                        </a:prstGeom>
                        <a:solidFill>
                          <a:srgbClr val="FFFFFF"/>
                        </a:solidFill>
                        <a:ln w="9525" cap="flat" cmpd="sng">
                          <a:solidFill>
                            <a:srgbClr val="000000"/>
                          </a:solidFill>
                          <a:prstDash val="solid"/>
                          <a:miter/>
                          <a:headEnd type="none" w="med" len="med"/>
                          <a:tailEnd type="none" w="med" len="med"/>
                        </a:ln>
                        <a:effectLst/>
                      </wps:spPr>
                      <wps:txbx>
                        <w:txbxContent>
                          <w:p w14:paraId="490A6EF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事件得到控制</w:t>
                            </w:r>
                          </w:p>
                          <w:p w14:paraId="5C23E8CC">
                            <w:pPr>
                              <w:spacing w:line="240" w:lineRule="auto"/>
                              <w:ind w:firstLine="0" w:firstLineChars="0"/>
                              <w:jc w:val="both"/>
                              <w:rPr>
                                <w:rFonts w:asciiTheme="minorHAnsi" w:hAnsiTheme="minorHAnsi" w:eastAsiaTheme="minorEastAsia" w:cstheme="minorBidi"/>
                                <w:sz w:val="21"/>
                              </w:rPr>
                            </w:pPr>
                          </w:p>
                        </w:txbxContent>
                      </wps:txbx>
                      <wps:bodyPr upright="1"/>
                    </wps:wsp>
                  </a:graphicData>
                </a:graphic>
              </wp:anchor>
            </w:drawing>
          </mc:Choice>
          <mc:Fallback>
            <w:pict>
              <v:shape id="_x0000_s1026" o:spid="_x0000_s1026" o:spt="110" type="#_x0000_t110" style="position:absolute;left:0pt;margin-left:-5.7pt;margin-top:19.85pt;height:42.8pt;width:158.15pt;z-index:251711488;mso-width-relative:page;mso-height-relative:page;" fillcolor="#FFFFFF" filled="t" stroked="t" coordsize="21600,21600" o:gfxdata="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XXQPK2gAAAAoBAAAPAAAAAAAAAAEAIAAAACIAAABkcnMvZG93bnJldi54bWxQSwECFAAUAAAA&#10;CACHTuJAR3xAHiUCAABTBAAADgAAAAAAAAABACAAAAApAQAAZHJzL2Uyb0RvYy54bWxQSwUGAAAA&#10;AAYABgBZAQAAwAUAAAAA&#10;">
                <v:fill on="t" focussize="0,0"/>
                <v:stroke color="#000000" joinstyle="miter"/>
                <v:imagedata o:title=""/>
                <o:lock v:ext="edit" aspectratio="f"/>
                <v:textbox>
                  <w:txbxContent>
                    <w:p w14:paraId="490A6EF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事件得到控制</w:t>
                      </w:r>
                    </w:p>
                    <w:p w14:paraId="5C23E8CC">
                      <w:pPr>
                        <w:spacing w:line="240" w:lineRule="auto"/>
                        <w:ind w:firstLine="0" w:firstLineChars="0"/>
                        <w:jc w:val="both"/>
                        <w:rPr>
                          <w:rFonts w:asciiTheme="minorHAnsi" w:hAnsiTheme="minorHAnsi" w:eastAsiaTheme="minorEastAsia" w:cstheme="minorBidi"/>
                          <w:sz w:val="21"/>
                        </w:rPr>
                      </w:pPr>
                    </w:p>
                  </w:txbxContent>
                </v:textbox>
              </v:shape>
            </w:pict>
          </mc:Fallback>
        </mc:AlternateContent>
      </w:r>
    </w:p>
    <w:p w14:paraId="2C599F90">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8416" behindDoc="0" locked="0" layoutInCell="1" allowOverlap="1">
                <wp:simplePos x="0" y="0"/>
                <wp:positionH relativeFrom="column">
                  <wp:posOffset>640715</wp:posOffset>
                </wp:positionH>
                <wp:positionV relativeFrom="paragraph">
                  <wp:posOffset>378460</wp:posOffset>
                </wp:positionV>
                <wp:extent cx="324485" cy="419100"/>
                <wp:effectExtent l="0" t="0" r="0" b="0"/>
                <wp:wrapNone/>
                <wp:docPr id="12"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324485" cy="419100"/>
                        </a:xfrm>
                        <a:prstGeom prst="rect">
                          <a:avLst/>
                        </a:prstGeom>
                        <a:noFill/>
                        <a:ln>
                          <a:noFill/>
                        </a:ln>
                        <a:effectLst/>
                      </wps:spPr>
                      <wps:txbx>
                        <w:txbxContent>
                          <w:p w14:paraId="37652776">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0.45pt;margin-top:29.8pt;height:33pt;width:25.55pt;z-index:251708416;mso-width-relative:page;mso-height-relative:page;" filled="f" stroked="f" coordsize="21600,21600" o:gfxdata="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5QpqXWAAAACgEA&#10;AA8AAAAAAAAAAQAgAAAAIgAAAGRycy9kb3ducmV2LnhtbFBLAQIUABQAAAAIAIdO4kAslRj8HAIA&#10;ACQEAAAOAAAAAAAAAAEAIAAAACUBAABkcnMvZTJvRG9jLnhtbFBLBQYAAAAABgAGAFkBAACzBQAA&#10;AAA=&#10;">
                <v:fill on="f" focussize="0,0"/>
                <v:stroke on="f"/>
                <v:imagedata o:title=""/>
                <o:lock v:ext="edit" aspectratio="f"/>
                <v:textbox>
                  <w:txbxContent>
                    <w:p w14:paraId="37652776">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是</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4320" behindDoc="0" locked="0" layoutInCell="1" allowOverlap="1">
                <wp:simplePos x="0" y="0"/>
                <wp:positionH relativeFrom="column">
                  <wp:posOffset>-172720</wp:posOffset>
                </wp:positionH>
                <wp:positionV relativeFrom="paragraph">
                  <wp:posOffset>116205</wp:posOffset>
                </wp:positionV>
                <wp:extent cx="233045" cy="0"/>
                <wp:effectExtent l="0" t="0" r="0" b="0"/>
                <wp:wrapNone/>
                <wp:docPr id="11" name="直接箭头连接符 11"/>
                <wp:cNvGraphicFramePr/>
                <a:graphic xmlns:a="http://schemas.openxmlformats.org/drawingml/2006/main">
                  <a:graphicData uri="http://schemas.microsoft.com/office/word/2010/wordprocessingShape">
                    <wps:wsp>
                      <wps:cNvCnPr>
                        <a:cxnSpLocks noChangeShapeType="1"/>
                      </wps:cNvCnPr>
                      <wps:spPr bwMode="auto">
                        <a:xfrm rot="10800000">
                          <a:off x="0" y="0"/>
                          <a:ext cx="23304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6pt;margin-top:9.15pt;height:0pt;width:18.35pt;rotation:11796480f;z-index:251704320;mso-width-relative:page;mso-height-relative:page;" filled="f" stroked="t" coordsize="21600,21600" o:gfxdata="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u+WPbVAAAABwEAAA8AAAAAAAAAAQAgAAAAIgAAAGRycy9kb3du&#10;cmV2LnhtbFBLAQIUABQAAAAIAIdO4kCgMZQSAgIAANwDAAAOAAAAAAAAAAEAIAAAACQBAABkcnMv&#10;ZTJvRG9jLnhtbFBLBQYAAAAABgAGAFkBAACYBQ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3296" behindDoc="0" locked="0" layoutInCell="1" allowOverlap="1">
                <wp:simplePos x="0" y="0"/>
                <wp:positionH relativeFrom="column">
                  <wp:posOffset>936625</wp:posOffset>
                </wp:positionH>
                <wp:positionV relativeFrom="paragraph">
                  <wp:posOffset>298450</wp:posOffset>
                </wp:positionV>
                <wp:extent cx="0" cy="504190"/>
                <wp:effectExtent l="38100" t="0" r="38100" b="10160"/>
                <wp:wrapNone/>
                <wp:docPr id="13" name="直接箭头连接符 13"/>
                <wp:cNvGraphicFramePr/>
                <a:graphic xmlns:a="http://schemas.openxmlformats.org/drawingml/2006/main">
                  <a:graphicData uri="http://schemas.microsoft.com/office/word/2010/wordprocessingShape">
                    <wps:wsp>
                      <wps:cNvCnPr>
                        <a:cxnSpLocks noChangeShapeType="1"/>
                      </wps:cNvCnPr>
                      <wps:spPr bwMode="auto">
                        <a:xfrm>
                          <a:off x="0" y="0"/>
                          <a:ext cx="0" cy="50419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3.75pt;margin-top:23.5pt;height:39.7pt;width:0pt;z-index:251703296;mso-width-relative:page;mso-height-relative:page;" filled="f" stroked="t" coordsize="21600,21600" o:gfxdata="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Q4elbYAAAACgEAAA8AAAAA&#10;AAAAAQAgAAAAIgAAAGRycy9kb3ducmV2LnhtbFBLAQIUABQAAAAIAIdO4kDR3aPDFAIAAPsDAAAO&#10;AAAAAAAAAAEAIAAAACcBAABkcnMvZTJvRG9jLnhtbFBLBQYAAAAABgAGAFkBAACtBQAAAAA=&#10;">
                <v:fill on="f" focussize="0,0"/>
                <v:stroke color="#000000" joinstyle="round" endarrow="block"/>
                <v:imagedata o:title=""/>
                <o:lock v:ext="edit" aspectratio="f"/>
              </v:shape>
            </w:pict>
          </mc:Fallback>
        </mc:AlternateContent>
      </w:r>
    </w:p>
    <w:p w14:paraId="2DCA8B8B">
      <w:pPr>
        <w:spacing w:line="240" w:lineRule="auto"/>
        <w:ind w:firstLine="0" w:firstLineChars="0"/>
        <w:jc w:val="both"/>
        <w:rPr>
          <w:rFonts w:hint="default" w:ascii="Times New Roman" w:hAnsi="Times New Roman" w:eastAsia="仿宋" w:cs="Times New Roman"/>
          <w:color w:val="auto"/>
          <w:sz w:val="32"/>
          <w:szCs w:val="32"/>
        </w:rPr>
      </w:pPr>
    </w:p>
    <w:p w14:paraId="07F8524D">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0768" behindDoc="0" locked="0" layoutInCell="1" allowOverlap="1">
                <wp:simplePos x="0" y="0"/>
                <wp:positionH relativeFrom="column">
                  <wp:posOffset>936625</wp:posOffset>
                </wp:positionH>
                <wp:positionV relativeFrom="paragraph">
                  <wp:posOffset>294640</wp:posOffset>
                </wp:positionV>
                <wp:extent cx="0" cy="360045"/>
                <wp:effectExtent l="38100" t="0" r="38100" b="1905"/>
                <wp:wrapNone/>
                <wp:docPr id="10" name="直接箭头连接符 10"/>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3.75pt;margin-top:23.2pt;height:28.35pt;width:0pt;z-index:251680768;mso-width-relative:page;mso-height-relative:page;" filled="f" stroked="t" coordsize="21600,21600" o:gfxdata="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c9lRNkAAAAKAQAADwAAAAAA&#10;AAABACAAAAAiAAAAZHJzL2Rvd25yZXYueG1sUEsBAhQAFAAAAAgAh07iQHr3bZASAgAA+wMAAA4A&#10;AAAAAAAAAQAgAAAAKAEAAGRycy9lMm9Eb2MueG1sUEsFBgAAAAAGAAYAWQEAAKwFAAAAAA==&#10;">
                <v:fill on="f" focussize="0,0"/>
                <v:stroke color="#000000" joinstyle="round" endarrow="block"/>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79744" behindDoc="0" locked="0" layoutInCell="1" allowOverlap="1">
                <wp:simplePos x="0" y="0"/>
                <wp:positionH relativeFrom="column">
                  <wp:posOffset>328295</wp:posOffset>
                </wp:positionH>
                <wp:positionV relativeFrom="paragraph">
                  <wp:posOffset>6350</wp:posOffset>
                </wp:positionV>
                <wp:extent cx="1259840" cy="288290"/>
                <wp:effectExtent l="4445" t="4445" r="12065" b="12065"/>
                <wp:wrapNone/>
                <wp:docPr id="9" name="文本框 9"/>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561BF8C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应急结束</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85pt;margin-top:0.5pt;height:22.7pt;width:99.2pt;z-index:251679744;mso-width-relative:page;mso-height-relative:page;" fillcolor="#FFFFFF" filled="t" stroked="t" coordsize="21600,21600" o:gfxdata="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SbyWPXAAAABwEAAA8AAAAAAAAAAQAgAAAA&#10;IgAAAGRycy9kb3ducmV2LnhtbFBLAQIUABQAAAAIAIdO4kDD/I5LRQIAAJUEAAAOAAAAAAAAAAEA&#10;IAAAACYBAABkcnMvZTJvRG9jLnhtbFBLBQYAAAAABgAGAFkBAADdBQAAAAA=&#10;">
                <v:fill on="t" focussize="0,0"/>
                <v:stroke color="#000000" miterlimit="8" joinstyle="miter"/>
                <v:imagedata o:title=""/>
                <o:lock v:ext="edit" aspectratio="f"/>
                <v:textbox>
                  <w:txbxContent>
                    <w:p w14:paraId="561BF8C7">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应急结束</w:t>
                      </w:r>
                    </w:p>
                  </w:txbxContent>
                </v:textbox>
              </v:shape>
            </w:pict>
          </mc:Fallback>
        </mc:AlternateContent>
      </w:r>
    </w:p>
    <w:p w14:paraId="5F73B8E7">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3360" behindDoc="0" locked="0" layoutInCell="1" allowOverlap="1">
                <wp:simplePos x="0" y="0"/>
                <wp:positionH relativeFrom="column">
                  <wp:posOffset>1976755</wp:posOffset>
                </wp:positionH>
                <wp:positionV relativeFrom="paragraph">
                  <wp:posOffset>227965</wp:posOffset>
                </wp:positionV>
                <wp:extent cx="828040" cy="316230"/>
                <wp:effectExtent l="4445" t="4445" r="5715" b="22225"/>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828040" cy="316230"/>
                        </a:xfrm>
                        <a:prstGeom prst="rect">
                          <a:avLst/>
                        </a:prstGeom>
                        <a:solidFill>
                          <a:srgbClr val="FFFFFF"/>
                        </a:solidFill>
                        <a:ln w="9525">
                          <a:solidFill>
                            <a:srgbClr val="000000"/>
                          </a:solidFill>
                          <a:miter lim="800000"/>
                        </a:ln>
                        <a:effectLst/>
                      </wps:spPr>
                      <wps:txbx>
                        <w:txbxContent>
                          <w:p w14:paraId="4C70E85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损害评估</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5.65pt;margin-top:17.95pt;height:24.9pt;width:65.2pt;z-index:251663360;mso-width-relative:page;mso-height-relative:page;" fillcolor="#FFFFFF" filled="t" stroked="t" coordsize="21600,21600" o:gfxdata="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j/XRNkAAAAJAQAADwAAAAAAAAABACAA&#10;AAAiAAAAZHJzL2Rvd25yZXYueG1sUEsBAhQAFAAAAAgAh07iQOWnl1lFAgAAlAQAAA4AAAAAAAAA&#10;AQAgAAAAKAEAAGRycy9lMm9Eb2MueG1sUEsFBgAAAAAGAAYAWQEAAN8FAAAAAA==&#10;">
                <v:fill on="t" focussize="0,0"/>
                <v:stroke color="#000000" miterlimit="8" joinstyle="miter"/>
                <v:imagedata o:title=""/>
                <o:lock v:ext="edit" aspectratio="f"/>
                <v:textbox>
                  <w:txbxContent>
                    <w:p w14:paraId="4C70E85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损害评估</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1797685</wp:posOffset>
                </wp:positionH>
                <wp:positionV relativeFrom="paragraph">
                  <wp:posOffset>151130</wp:posOffset>
                </wp:positionV>
                <wp:extent cx="179705" cy="0"/>
                <wp:effectExtent l="0" t="0" r="0" b="0"/>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41.55pt;margin-top:11.9pt;height:0pt;width:14.15pt;z-index:251662336;mso-width-relative:page;mso-height-relative:page;" filled="f" stroked="t" coordsize="21600,21600" o:gfxdata="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IU5B1gAAAAkBAAAPAAAAAAAAAAEAIAAAACIAAABkcnMvZG93bnJldi54bWxQ&#10;SwECFAAUAAAACACHTuJAmrmaGPkBAADLAwAADgAAAAAAAAABACAAAAAlAQAAZHJzL2Uyb0RvYy54&#10;bWxQSwUGAAAAAAYABgBZAQAAkAU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09440" behindDoc="0" locked="0" layoutInCell="1" allowOverlap="1">
                <wp:simplePos x="0" y="0"/>
                <wp:positionH relativeFrom="column">
                  <wp:posOffset>1978025</wp:posOffset>
                </wp:positionH>
                <wp:positionV relativeFrom="paragraph">
                  <wp:posOffset>6350</wp:posOffset>
                </wp:positionV>
                <wp:extent cx="828040" cy="252095"/>
                <wp:effectExtent l="5080" t="4445" r="5080" b="10160"/>
                <wp:wrapNone/>
                <wp:docPr id="14"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828040" cy="252095"/>
                        </a:xfrm>
                        <a:prstGeom prst="rect">
                          <a:avLst/>
                        </a:prstGeom>
                        <a:solidFill>
                          <a:srgbClr val="FFFFFF"/>
                        </a:solidFill>
                        <a:ln w="9525">
                          <a:solidFill>
                            <a:srgbClr val="000000"/>
                          </a:solidFill>
                          <a:miter lim="800000"/>
                        </a:ln>
                        <a:effectLst/>
                      </wps:spPr>
                      <wps:txbx>
                        <w:txbxContent>
                          <w:p w14:paraId="4A0FCEE3">
                            <w:pPr>
                              <w:spacing w:line="240" w:lineRule="exact"/>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善后处置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5.75pt;margin-top:0.5pt;height:19.85pt;width:65.2pt;z-index:251709440;mso-width-relative:page;mso-height-relative:page;" fillcolor="#FFFFFF" filled="t" stroked="t" coordsize="21600,21600" o:gfxdata="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3AzD7XAAAACAEAAA8AAAAAAAAAAQAgAAAA&#10;IgAAAGRycy9kb3ducmV2LnhtbFBLAQIUABQAAAAIAIdO4kAU+WJFRQIAAJYEAAAOAAAAAAAAAAEA&#10;IAAAACYBAABkcnMvZTJvRG9jLnhtbFBLBQYAAAAABgAGAFkBAADdBQAAAAA=&#10;">
                <v:fill on="t" focussize="0,0"/>
                <v:stroke color="#000000" miterlimit="8" joinstyle="miter"/>
                <v:imagedata o:title=""/>
                <o:lock v:ext="edit" aspectratio="f"/>
                <v:textbox>
                  <w:txbxContent>
                    <w:p w14:paraId="4A0FCEE3">
                      <w:pPr>
                        <w:spacing w:line="240" w:lineRule="exact"/>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善后处置</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5408" behindDoc="0" locked="0" layoutInCell="1" allowOverlap="1">
                <wp:simplePos x="0" y="0"/>
                <wp:positionH relativeFrom="column">
                  <wp:posOffset>1798320</wp:posOffset>
                </wp:positionH>
                <wp:positionV relativeFrom="paragraph">
                  <wp:posOffset>152400</wp:posOffset>
                </wp:positionV>
                <wp:extent cx="0" cy="504190"/>
                <wp:effectExtent l="5080" t="0" r="13970" b="10160"/>
                <wp:wrapNone/>
                <wp:docPr id="24" name="直接箭头连接符 24"/>
                <wp:cNvGraphicFramePr/>
                <a:graphic xmlns:a="http://schemas.openxmlformats.org/drawingml/2006/main">
                  <a:graphicData uri="http://schemas.microsoft.com/office/word/2010/wordprocessingShape">
                    <wps:wsp>
                      <wps:cNvCnPr>
                        <a:cxnSpLocks noChangeShapeType="1"/>
                      </wps:cNvCnPr>
                      <wps:spPr bwMode="auto">
                        <a:xfrm>
                          <a:off x="0" y="0"/>
                          <a:ext cx="0" cy="50419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41.6pt;margin-top:12pt;height:39.7pt;width:0pt;z-index:251665408;mso-width-relative:page;mso-height-relative:page;" filled="f" stroked="t" coordsize="21600,21600" o:gfxdata="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jeqArXAAAACgEAAA8AAAAAAAAAAQAgAAAAIgAAAGRycy9kb3ducmV2Lnht&#10;bFBLAQIUABQAAAAIAIdO4kAHCqWz+gEAAM0DAAAOAAAAAAAAAAEAIAAAACYBAABkcnMvZTJvRG9j&#10;LnhtbFBLBQYAAAAABgAGAFkBAACSBQ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4384" behindDoc="0" locked="0" layoutInCell="1" allowOverlap="1">
                <wp:simplePos x="0" y="0"/>
                <wp:positionH relativeFrom="column">
                  <wp:posOffset>1588135</wp:posOffset>
                </wp:positionH>
                <wp:positionV relativeFrom="paragraph">
                  <wp:posOffset>380365</wp:posOffset>
                </wp:positionV>
                <wp:extent cx="392430" cy="1905"/>
                <wp:effectExtent l="0" t="0" r="0" b="0"/>
                <wp:wrapNone/>
                <wp:docPr id="25" name="直接箭头连接符 25"/>
                <wp:cNvGraphicFramePr/>
                <a:graphic xmlns:a="http://schemas.openxmlformats.org/drawingml/2006/main">
                  <a:graphicData uri="http://schemas.microsoft.com/office/word/2010/wordprocessingShape">
                    <wps:wsp>
                      <wps:cNvCnPr>
                        <a:cxnSpLocks noChangeShapeType="1"/>
                      </wps:cNvCnPr>
                      <wps:spPr bwMode="auto">
                        <a:xfrm>
                          <a:off x="0" y="0"/>
                          <a:ext cx="392430" cy="190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25.05pt;margin-top:29.95pt;height:0.15pt;width:30.9pt;z-index:251664384;mso-width-relative:page;mso-height-relative:page;" filled="f" stroked="t" coordsize="21600,21600" o:gfxdata="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CSg5dcAAAAJAQAADwAAAAAAAAABACAAAAAiAAAAZHJzL2Rvd25yZXYu&#10;eG1sUEsBAhQAFAAAAAgAh07iQD9DtTf8AQAA0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81792" behindDoc="0" locked="0" layoutInCell="1" allowOverlap="1">
                <wp:simplePos x="0" y="0"/>
                <wp:positionH relativeFrom="column">
                  <wp:posOffset>328295</wp:posOffset>
                </wp:positionH>
                <wp:positionV relativeFrom="paragraph">
                  <wp:posOffset>246380</wp:posOffset>
                </wp:positionV>
                <wp:extent cx="1259840" cy="288290"/>
                <wp:effectExtent l="4445" t="4445" r="12065" b="12065"/>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259840" cy="288290"/>
                        </a:xfrm>
                        <a:prstGeom prst="rect">
                          <a:avLst/>
                        </a:prstGeom>
                        <a:solidFill>
                          <a:srgbClr val="FFFFFF"/>
                        </a:solidFill>
                        <a:ln w="9525">
                          <a:solidFill>
                            <a:srgbClr val="000000"/>
                          </a:solidFill>
                          <a:miter lim="800000"/>
                        </a:ln>
                        <a:effectLst/>
                      </wps:spPr>
                      <wps:txbx>
                        <w:txbxContent>
                          <w:p w14:paraId="2E685A6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善</w:t>
                            </w:r>
                            <w:r>
                              <w:rPr>
                                <w:rFonts w:asciiTheme="minorHAnsi" w:hAnsiTheme="minorHAnsi" w:eastAsiaTheme="minorEastAsia" w:cstheme="minorBidi"/>
                                <w:sz w:val="21"/>
                              </w:rPr>
                              <w:t>后</w:t>
                            </w:r>
                            <w:r>
                              <w:rPr>
                                <w:rFonts w:hint="eastAsia" w:asciiTheme="minorHAnsi" w:hAnsiTheme="minorHAnsi" w:eastAsiaTheme="minorEastAsia" w:cstheme="minorBidi"/>
                                <w:sz w:val="21"/>
                              </w:rPr>
                              <w:t>工</w:t>
                            </w:r>
                            <w:r>
                              <w:rPr>
                                <w:rFonts w:asciiTheme="minorHAnsi" w:hAnsiTheme="minorHAnsi" w:eastAsiaTheme="minorEastAsia" w:cstheme="minorBidi"/>
                                <w:sz w:val="21"/>
                              </w:rPr>
                              <w:t>作</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85pt;margin-top:19.4pt;height:22.7pt;width:99.2pt;z-index:251681792;mso-width-relative:page;mso-height-relative:page;" fillcolor="#FFFFFF" filled="t" stroked="t" coordsize="21600,21600" o:gfxdata="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yJykK1wAAAAgBAAAPAAAAAAAAAAEAIAAA&#10;ACIAAABkcnMvZG93bnJldi54bWxQSwECFAAUAAAACACHTuJABXi760YCAACVBAAADgAAAAAAAAAB&#10;ACAAAAAmAQAAZHJzL2Uyb0RvYy54bWxQSwUGAAAAAAYABgBZAQAA3gUAAAAA&#10;">
                <v:fill on="t" focussize="0,0"/>
                <v:stroke color="#000000" miterlimit="8" joinstyle="miter"/>
                <v:imagedata o:title=""/>
                <o:lock v:ext="edit" aspectratio="f"/>
                <v:textbox>
                  <w:txbxContent>
                    <w:p w14:paraId="2E685A68">
                      <w:pPr>
                        <w:spacing w:line="240" w:lineRule="auto"/>
                        <w:ind w:firstLine="0" w:firstLineChars="0"/>
                        <w:jc w:val="center"/>
                        <w:rPr>
                          <w:rFonts w:asciiTheme="minorHAnsi" w:hAnsiTheme="minorHAnsi" w:eastAsiaTheme="minorEastAsia" w:cstheme="minorBidi"/>
                          <w:sz w:val="21"/>
                        </w:rPr>
                      </w:pPr>
                      <w:r>
                        <w:rPr>
                          <w:rFonts w:hint="eastAsia" w:asciiTheme="minorHAnsi" w:hAnsiTheme="minorHAnsi" w:eastAsiaTheme="minorEastAsia" w:cstheme="minorBidi"/>
                          <w:sz w:val="21"/>
                        </w:rPr>
                        <w:t>善</w:t>
                      </w:r>
                      <w:r>
                        <w:rPr>
                          <w:rFonts w:asciiTheme="minorHAnsi" w:hAnsiTheme="minorHAnsi" w:eastAsiaTheme="minorEastAsia" w:cstheme="minorBidi"/>
                          <w:sz w:val="21"/>
                        </w:rPr>
                        <w:t>后</w:t>
                      </w:r>
                      <w:r>
                        <w:rPr>
                          <w:rFonts w:hint="eastAsia" w:asciiTheme="minorHAnsi" w:hAnsiTheme="minorHAnsi" w:eastAsiaTheme="minorEastAsia" w:cstheme="minorBidi"/>
                          <w:sz w:val="21"/>
                        </w:rPr>
                        <w:t>工</w:t>
                      </w:r>
                      <w:r>
                        <w:rPr>
                          <w:rFonts w:asciiTheme="minorHAnsi" w:hAnsiTheme="minorHAnsi" w:eastAsiaTheme="minorEastAsia" w:cstheme="minorBidi"/>
                          <w:sz w:val="21"/>
                        </w:rPr>
                        <w:t>作</w:t>
                      </w:r>
                    </w:p>
                  </w:txbxContent>
                </v:textbox>
              </v:shape>
            </w:pict>
          </mc:Fallback>
        </mc:AlternateContent>
      </w:r>
    </w:p>
    <w:p w14:paraId="65A12B13">
      <w:pPr>
        <w:spacing w:line="240" w:lineRule="auto"/>
        <w:ind w:firstLine="0" w:firstLineChars="0"/>
        <w:jc w:val="both"/>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mc:AlternateContent>
          <mc:Choice Requires="wps">
            <w:drawing>
              <wp:anchor distT="0" distB="0" distL="114300" distR="114300" simplePos="0" relativeHeight="251710464" behindDoc="0" locked="0" layoutInCell="1" allowOverlap="1">
                <wp:simplePos x="0" y="0"/>
                <wp:positionH relativeFrom="column">
                  <wp:posOffset>1976755</wp:posOffset>
                </wp:positionH>
                <wp:positionV relativeFrom="paragraph">
                  <wp:posOffset>113665</wp:posOffset>
                </wp:positionV>
                <wp:extent cx="828040" cy="280670"/>
                <wp:effectExtent l="4445" t="4445" r="5715" b="1968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28040" cy="280670"/>
                        </a:xfrm>
                        <a:prstGeom prst="rect">
                          <a:avLst/>
                        </a:prstGeom>
                        <a:solidFill>
                          <a:srgbClr val="FFFFFF"/>
                        </a:solidFill>
                        <a:ln w="9525">
                          <a:solidFill>
                            <a:srgbClr val="000000"/>
                          </a:solidFill>
                          <a:miter lim="800000"/>
                        </a:ln>
                        <a:effectLst/>
                      </wps:spPr>
                      <wps:txbx>
                        <w:txbxContent>
                          <w:p w14:paraId="00630E0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事件调查</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5.65pt;margin-top:8.95pt;height:22.1pt;width:65.2pt;z-index:251710464;mso-width-relative:page;mso-height-relative:page;" fillcolor="#FFFFFF" filled="t" stroked="t" coordsize="21600,21600" o:gfxdata="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IRLcfHYAAAACQEAAA8AAAAAAAAAAQAgAAAA&#10;IgAAAGRycy9kb3ducmV2LnhtbFBLAQIUABQAAAAIAIdO4kDltib2RAIAAJQEAAAOAAAAAAAAAAEA&#10;IAAAACcBAABkcnMvZTJvRG9jLnhtbFBLBQYAAAAABgAGAFkBAADdBQAAAAA=&#10;">
                <v:fill on="t" focussize="0,0"/>
                <v:stroke color="#000000" miterlimit="8" joinstyle="miter"/>
                <v:imagedata o:title=""/>
                <o:lock v:ext="edit" aspectratio="f"/>
                <v:textbox>
                  <w:txbxContent>
                    <w:p w14:paraId="00630E02">
                      <w:pPr>
                        <w:spacing w:line="240" w:lineRule="auto"/>
                        <w:ind w:firstLine="0" w:firstLineChars="0"/>
                        <w:jc w:val="both"/>
                        <w:rPr>
                          <w:rFonts w:asciiTheme="minorHAnsi" w:hAnsiTheme="minorHAnsi" w:eastAsiaTheme="minorEastAsia" w:cstheme="minorBidi"/>
                          <w:sz w:val="21"/>
                        </w:rPr>
                      </w:pPr>
                      <w:r>
                        <w:rPr>
                          <w:rFonts w:hint="eastAsia" w:asciiTheme="minorHAnsi" w:hAnsiTheme="minorHAnsi" w:eastAsiaTheme="minorEastAsia" w:cstheme="minorBidi"/>
                          <w:sz w:val="21"/>
                        </w:rPr>
                        <w:t>事件调查</w:t>
                      </w:r>
                    </w:p>
                  </w:txbxContent>
                </v:textbox>
              </v:shape>
            </w:pict>
          </mc:Fallback>
        </mc:AlternateContent>
      </w:r>
      <w:r>
        <w:rPr>
          <w:rFonts w:hint="default" w:ascii="Times New Roman" w:hAnsi="Times New Roman" w:eastAsia="仿宋" w:cs="Times New Roman"/>
          <w:color w:val="auto"/>
          <w:sz w:val="32"/>
          <w:szCs w:val="32"/>
        </w:rPr>
        <mc:AlternateContent>
          <mc:Choice Requires="wps">
            <w:drawing>
              <wp:anchor distT="0" distB="0" distL="114300" distR="114300" simplePos="0" relativeHeight="251666432" behindDoc="0" locked="0" layoutInCell="1" allowOverlap="1">
                <wp:simplePos x="0" y="0"/>
                <wp:positionH relativeFrom="column">
                  <wp:posOffset>1798320</wp:posOffset>
                </wp:positionH>
                <wp:positionV relativeFrom="paragraph">
                  <wp:posOffset>260350</wp:posOffset>
                </wp:positionV>
                <wp:extent cx="179705" cy="0"/>
                <wp:effectExtent l="0" t="0" r="0" b="0"/>
                <wp:wrapNone/>
                <wp:docPr id="152" name="直接箭头连接符 152"/>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41.6pt;margin-top:20.5pt;height:0pt;width:14.15pt;z-index:251666432;mso-width-relative:page;mso-height-relative:page;" filled="f" stroked="t" coordsize="21600,21600" o:gfxdata="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JhQlV1wAAAAkBAAAPAAAAAAAAAAEAIAAAACIAAABkcnMvZG93bnJldi54&#10;bWxQSwECFAAUAAAACACHTuJAkUCHtfsBAADPAwAADgAAAAAAAAABACAAAAAmAQAAZHJzL2Uyb0Rv&#10;Yy54bWxQSwUGAAAAAAYABgBZAQAAkwUAAAAA&#10;">
                <v:fill on="f" focussize="0,0"/>
                <v:stroke color="#000000" joinstyle="round"/>
                <v:imagedata o:title=""/>
                <o:lock v:ext="edit" aspectratio="f"/>
              </v:shape>
            </w:pict>
          </mc:Fallback>
        </mc:AlternateContent>
      </w:r>
    </w:p>
    <w:p w14:paraId="579DAC87">
      <w:pPr>
        <w:pStyle w:val="20"/>
        <w:shd w:val="clear" w:color="auto" w:fill="FFFFFF"/>
        <w:spacing w:beforeAutospacing="0" w:afterAutospacing="0" w:line="600" w:lineRule="exact"/>
        <w:ind w:firstLine="420"/>
        <w:rPr>
          <w:rFonts w:hint="default" w:ascii="Times New Roman" w:hAnsi="Times New Roman" w:eastAsia="仿宋" w:cs="Times New Roman"/>
          <w:color w:val="auto"/>
          <w:sz w:val="32"/>
          <w:szCs w:val="32"/>
          <w:shd w:val="clear" w:color="auto" w:fill="FFFFFF"/>
        </w:rPr>
        <w:sectPr>
          <w:footerReference r:id="rId8" w:type="default"/>
          <w:pgSz w:w="11906" w:h="16838"/>
          <w:pgMar w:top="2098" w:right="1361" w:bottom="1418" w:left="1588" w:header="680" w:footer="1247" w:gutter="0"/>
          <w:pgNumType w:fmt="decimal"/>
          <w:cols w:space="425" w:num="1"/>
          <w:docGrid w:type="lines" w:linePitch="312" w:charSpace="0"/>
        </w:sectPr>
      </w:pPr>
    </w:p>
    <w:p w14:paraId="45B47857">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both"/>
        <w:textAlignment w:val="auto"/>
        <w:rPr>
          <w:rFonts w:hint="default" w:ascii="黑体" w:hAnsi="黑体" w:eastAsia="黑体" w:cs="黑体"/>
          <w:b w:val="0"/>
          <w:bCs w:val="0"/>
          <w:color w:val="auto"/>
          <w:sz w:val="32"/>
          <w:szCs w:val="32"/>
          <w:lang w:val="en-US" w:eastAsia="zh-CN"/>
        </w:rPr>
      </w:pPr>
      <w:bookmarkStart w:id="270" w:name="_Toc19911"/>
      <w:bookmarkStart w:id="271" w:name="_Toc7512"/>
      <w:bookmarkStart w:id="272" w:name="_Toc11692"/>
      <w:r>
        <w:rPr>
          <w:rFonts w:hint="default" w:ascii="黑体" w:hAnsi="黑体" w:eastAsia="黑体" w:cs="黑体"/>
          <w:b w:val="0"/>
          <w:bCs w:val="0"/>
          <w:color w:val="auto"/>
          <w:sz w:val="32"/>
          <w:szCs w:val="32"/>
        </w:rPr>
        <w:t>附件</w:t>
      </w:r>
      <w:r>
        <w:rPr>
          <w:rFonts w:hint="default" w:ascii="黑体" w:hAnsi="黑体" w:eastAsia="黑体" w:cs="黑体"/>
          <w:b w:val="0"/>
          <w:bCs w:val="0"/>
          <w:color w:val="auto"/>
          <w:sz w:val="32"/>
          <w:szCs w:val="32"/>
          <w:lang w:val="en-US" w:eastAsia="zh-CN"/>
        </w:rPr>
        <w:t>4</w:t>
      </w:r>
    </w:p>
    <w:p w14:paraId="6E7A9593">
      <w:pPr>
        <w:rPr>
          <w:rFonts w:hint="default"/>
          <w:lang w:val="en-US" w:eastAsia="zh-CN"/>
        </w:rPr>
      </w:pPr>
    </w:p>
    <w:p w14:paraId="4ECD0CF3">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突发环境事件分级标准</w:t>
      </w:r>
      <w:bookmarkEnd w:id="270"/>
      <w:bookmarkEnd w:id="271"/>
      <w:bookmarkEnd w:id="272"/>
    </w:p>
    <w:p w14:paraId="00FF936E">
      <w:pPr>
        <w:rPr>
          <w:rFonts w:hint="eastAsia"/>
        </w:rPr>
      </w:pPr>
    </w:p>
    <w:p w14:paraId="0E14636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按照突发环境事件严重性和紧急程度，分为特别重大环境事件（Ⅰ级）、重大环境事件（Ⅱ级）、较大环境事件（Ⅲ级）和一般环境事件（Ⅳ级）。</w:t>
      </w:r>
    </w:p>
    <w:p w14:paraId="47F6F546">
      <w:pPr>
        <w:pStyle w:val="36"/>
        <w:pageBreakBefore w:val="0"/>
        <w:numPr>
          <w:ilvl w:val="2"/>
          <w:numId w:val="0"/>
        </w:numPr>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楷体_GB2312" w:hAnsi="楷体_GB2312" w:eastAsia="楷体_GB2312" w:cs="楷体_GB2312"/>
          <w:snapToGrid w:val="0"/>
          <w:color w:val="auto"/>
          <w:spacing w:val="0"/>
          <w:kern w:val="0"/>
          <w:sz w:val="32"/>
          <w:szCs w:val="32"/>
        </w:rPr>
      </w:pPr>
      <w:r>
        <w:rPr>
          <w:rFonts w:hint="eastAsia" w:ascii="楷体_GB2312" w:hAnsi="楷体_GB2312" w:eastAsia="楷体_GB2312" w:cs="楷体_GB2312"/>
          <w:snapToGrid w:val="0"/>
          <w:color w:val="auto"/>
          <w:spacing w:val="0"/>
          <w:kern w:val="0"/>
          <w:sz w:val="32"/>
          <w:szCs w:val="32"/>
        </w:rPr>
        <w:t>特别重大环境事件（Ⅰ级）</w:t>
      </w:r>
    </w:p>
    <w:p w14:paraId="6C7365D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凡符合下列情形之一的，为特别重大环境事件：</w:t>
      </w:r>
    </w:p>
    <w:p w14:paraId="2E127DD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（1）</w:t>
      </w:r>
      <w:r>
        <w:rPr>
          <w:rFonts w:hint="default" w:ascii="仿宋_GB2312" w:hAnsi="仿宋_GB2312" w:eastAsia="仿宋_GB2312" w:cs="仿宋_GB2312"/>
          <w:snapToGrid w:val="0"/>
          <w:color w:val="auto"/>
          <w:kern w:val="0"/>
          <w:sz w:val="32"/>
          <w:szCs w:val="32"/>
        </w:rPr>
        <w:t>因环境污染直接导致30人以上死亡或100人以上中毒或重伤的；</w:t>
      </w:r>
    </w:p>
    <w:p w14:paraId="0E0CB7B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（2）</w:t>
      </w:r>
      <w:r>
        <w:rPr>
          <w:rFonts w:hint="default" w:ascii="仿宋_GB2312" w:hAnsi="仿宋_GB2312" w:eastAsia="仿宋_GB2312" w:cs="仿宋_GB2312"/>
          <w:snapToGrid w:val="0"/>
          <w:color w:val="auto"/>
          <w:kern w:val="0"/>
          <w:sz w:val="32"/>
          <w:szCs w:val="32"/>
        </w:rPr>
        <w:t>因环境污染疏散、转移人员5万人以上的；</w:t>
      </w:r>
    </w:p>
    <w:p w14:paraId="7F8A532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（3）</w:t>
      </w:r>
      <w:r>
        <w:rPr>
          <w:rFonts w:hint="default" w:ascii="仿宋_GB2312" w:hAnsi="仿宋_GB2312" w:eastAsia="仿宋_GB2312" w:cs="仿宋_GB2312"/>
          <w:snapToGrid w:val="0"/>
          <w:color w:val="auto"/>
          <w:kern w:val="0"/>
          <w:sz w:val="32"/>
          <w:szCs w:val="32"/>
        </w:rPr>
        <w:t>因环境污染造成直接经济损失1亿元以上的；</w:t>
      </w:r>
    </w:p>
    <w:p w14:paraId="5DC2087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（4）</w:t>
      </w:r>
      <w:r>
        <w:rPr>
          <w:rFonts w:hint="default" w:ascii="仿宋_GB2312" w:hAnsi="仿宋_GB2312" w:eastAsia="仿宋_GB2312" w:cs="仿宋_GB2312"/>
          <w:snapToGrid w:val="0"/>
          <w:color w:val="auto"/>
          <w:kern w:val="0"/>
          <w:sz w:val="32"/>
          <w:szCs w:val="32"/>
        </w:rPr>
        <w:t>因环境污染造成区域生态功能丧失或该区域国家重点保护物种灭绝的；</w:t>
      </w:r>
    </w:p>
    <w:p w14:paraId="767BCA7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（5）</w:t>
      </w:r>
      <w:r>
        <w:rPr>
          <w:rFonts w:hint="default" w:ascii="仿宋_GB2312" w:hAnsi="仿宋_GB2312" w:eastAsia="仿宋_GB2312" w:cs="仿宋_GB2312"/>
          <w:snapToGrid w:val="0"/>
          <w:color w:val="auto"/>
          <w:kern w:val="0"/>
          <w:sz w:val="32"/>
          <w:szCs w:val="32"/>
        </w:rPr>
        <w:t>因环境污染造成设区的市级以上城市集中式饮用水水源地取水中断的；</w:t>
      </w:r>
    </w:p>
    <w:p w14:paraId="6685135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（6）</w:t>
      </w:r>
      <w:r>
        <w:rPr>
          <w:rFonts w:hint="default" w:ascii="仿宋_GB2312" w:hAnsi="仿宋_GB2312" w:eastAsia="仿宋_GB2312" w:cs="仿宋_GB2312"/>
          <w:snapToGrid w:val="0"/>
          <w:color w:val="auto"/>
          <w:kern w:val="0"/>
          <w:sz w:val="32"/>
          <w:szCs w:val="32"/>
        </w:rPr>
        <w:t>Ⅰ、Ⅱ类放射源丢失、被盗、失控并造成大范围严重辐射污染后果的；放射性同位素和射线装置失控导致3人以上急性死亡的；放射性物质泄漏，造成大范围辐射污染后果的；</w:t>
      </w:r>
    </w:p>
    <w:p w14:paraId="27FF7A3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（7）</w:t>
      </w:r>
      <w:r>
        <w:rPr>
          <w:rFonts w:hint="default" w:ascii="仿宋_GB2312" w:hAnsi="仿宋_GB2312" w:eastAsia="仿宋_GB2312" w:cs="仿宋_GB2312"/>
          <w:snapToGrid w:val="0"/>
          <w:color w:val="auto"/>
          <w:kern w:val="0"/>
          <w:sz w:val="32"/>
          <w:szCs w:val="32"/>
        </w:rPr>
        <w:t>造成重大跨国境影响的境内突发环境事件。</w:t>
      </w:r>
    </w:p>
    <w:p w14:paraId="6BFB53AE">
      <w:pPr>
        <w:pStyle w:val="36"/>
        <w:pageBreakBefore w:val="0"/>
        <w:numPr>
          <w:ilvl w:val="2"/>
          <w:numId w:val="0"/>
        </w:numPr>
        <w:kinsoku/>
        <w:wordWrap/>
        <w:overflowPunct/>
        <w:topLinePunct w:val="0"/>
        <w:autoSpaceDE/>
        <w:autoSpaceDN/>
        <w:bidi w:val="0"/>
        <w:adjustRightInd/>
        <w:snapToGrid/>
        <w:spacing w:line="600" w:lineRule="exact"/>
        <w:ind w:firstLine="643" w:firstLineChars="200"/>
        <w:jc w:val="both"/>
        <w:textAlignment w:val="auto"/>
        <w:outlineLvl w:val="9"/>
        <w:rPr>
          <w:rFonts w:hint="default" w:ascii="楷体_GB2312" w:hAnsi="楷体_GB2312" w:eastAsia="楷体_GB2312" w:cs="楷体_GB2312"/>
          <w:snapToGrid w:val="0"/>
          <w:color w:val="auto"/>
          <w:spacing w:val="0"/>
          <w:kern w:val="0"/>
          <w:sz w:val="32"/>
          <w:szCs w:val="32"/>
        </w:rPr>
      </w:pPr>
      <w:r>
        <w:rPr>
          <w:rFonts w:hint="default" w:ascii="楷体_GB2312" w:hAnsi="楷体_GB2312" w:eastAsia="楷体_GB2312" w:cs="楷体_GB2312"/>
          <w:snapToGrid w:val="0"/>
          <w:color w:val="auto"/>
          <w:spacing w:val="0"/>
          <w:kern w:val="0"/>
          <w:sz w:val="32"/>
          <w:szCs w:val="32"/>
        </w:rPr>
        <w:t>重大环境事件（Ⅱ级）</w:t>
      </w:r>
    </w:p>
    <w:p w14:paraId="4B0C664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凡符合下列情形之一的，为重大环境事件：</w:t>
      </w:r>
    </w:p>
    <w:p w14:paraId="2BAC062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（1）</w:t>
      </w:r>
      <w:r>
        <w:rPr>
          <w:rFonts w:hint="default" w:ascii="仿宋_GB2312" w:hAnsi="仿宋_GB2312" w:eastAsia="仿宋_GB2312" w:cs="仿宋_GB2312"/>
          <w:snapToGrid w:val="0"/>
          <w:color w:val="auto"/>
          <w:kern w:val="0"/>
          <w:sz w:val="32"/>
          <w:szCs w:val="32"/>
        </w:rPr>
        <w:t>因环境污染直接导致10人以上30人以下死亡或50人以上100人以下中毒或重伤的；</w:t>
      </w:r>
    </w:p>
    <w:p w14:paraId="77837D4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（2）</w:t>
      </w:r>
      <w:r>
        <w:rPr>
          <w:rFonts w:hint="default" w:ascii="仿宋_GB2312" w:hAnsi="仿宋_GB2312" w:eastAsia="仿宋_GB2312" w:cs="仿宋_GB2312"/>
          <w:snapToGrid w:val="0"/>
          <w:color w:val="auto"/>
          <w:kern w:val="0"/>
          <w:sz w:val="32"/>
          <w:szCs w:val="32"/>
        </w:rPr>
        <w:t>因环境污染疏散、转移人员1万人以上5万人以下的；</w:t>
      </w:r>
    </w:p>
    <w:p w14:paraId="034AC86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（3）</w:t>
      </w:r>
      <w:r>
        <w:rPr>
          <w:rFonts w:hint="default" w:ascii="仿宋_GB2312" w:hAnsi="仿宋_GB2312" w:eastAsia="仿宋_GB2312" w:cs="仿宋_GB2312"/>
          <w:snapToGrid w:val="0"/>
          <w:color w:val="auto"/>
          <w:kern w:val="0"/>
          <w:sz w:val="32"/>
          <w:szCs w:val="32"/>
        </w:rPr>
        <w:t>因环境污染造成直接经济损失2000万元以上1亿元以下的；</w:t>
      </w:r>
    </w:p>
    <w:p w14:paraId="6B9BE3F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（4）</w:t>
      </w:r>
      <w:r>
        <w:rPr>
          <w:rFonts w:hint="default" w:ascii="仿宋_GB2312" w:hAnsi="仿宋_GB2312" w:eastAsia="仿宋_GB2312" w:cs="仿宋_GB2312"/>
          <w:snapToGrid w:val="0"/>
          <w:color w:val="auto"/>
          <w:kern w:val="0"/>
          <w:sz w:val="32"/>
          <w:szCs w:val="32"/>
        </w:rPr>
        <w:t>因环境污染造成区域生态功能部分丧失或该区域国家重点保护野生动植物种群大批死亡的；</w:t>
      </w:r>
    </w:p>
    <w:p w14:paraId="2C5BE85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（5）</w:t>
      </w:r>
      <w:r>
        <w:rPr>
          <w:rFonts w:hint="default" w:ascii="仿宋_GB2312" w:hAnsi="仿宋_GB2312" w:eastAsia="仿宋_GB2312" w:cs="仿宋_GB2312"/>
          <w:snapToGrid w:val="0"/>
          <w:color w:val="auto"/>
          <w:kern w:val="0"/>
          <w:sz w:val="32"/>
          <w:szCs w:val="32"/>
        </w:rPr>
        <w:t>因环境污染造成县级城市集中式饮用水水源地取水中断的；</w:t>
      </w:r>
    </w:p>
    <w:p w14:paraId="6C6224F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（6）</w:t>
      </w:r>
      <w:r>
        <w:rPr>
          <w:rFonts w:hint="default" w:ascii="仿宋_GB2312" w:hAnsi="仿宋_GB2312" w:eastAsia="仿宋_GB2312" w:cs="仿宋_GB2312"/>
          <w:snapToGrid w:val="0"/>
          <w:color w:val="auto"/>
          <w:kern w:val="0"/>
          <w:sz w:val="32"/>
          <w:szCs w:val="32"/>
        </w:rPr>
        <w:t>Ⅰ、Ⅱ类放射源丢失、被盗的；放射性同位素和射线装置失控导致3人以下急性死亡或者10人以上急性重度放射病、局部器官残疾的；放射性物质泄漏，造成较大范围辐射污染后果的；</w:t>
      </w:r>
    </w:p>
    <w:p w14:paraId="2866F09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（7）</w:t>
      </w:r>
      <w:r>
        <w:rPr>
          <w:rFonts w:hint="default" w:ascii="仿宋_GB2312" w:hAnsi="仿宋_GB2312" w:eastAsia="仿宋_GB2312" w:cs="仿宋_GB2312"/>
          <w:snapToGrid w:val="0"/>
          <w:color w:val="auto"/>
          <w:kern w:val="0"/>
          <w:sz w:val="32"/>
          <w:szCs w:val="32"/>
        </w:rPr>
        <w:t>造成跨省级行政区域影响的突发环境事件。</w:t>
      </w:r>
    </w:p>
    <w:p w14:paraId="1198E921">
      <w:pPr>
        <w:pStyle w:val="36"/>
        <w:pageBreakBefore w:val="0"/>
        <w:numPr>
          <w:ilvl w:val="2"/>
          <w:numId w:val="0"/>
        </w:numPr>
        <w:kinsoku/>
        <w:wordWrap/>
        <w:overflowPunct/>
        <w:topLinePunct w:val="0"/>
        <w:autoSpaceDE/>
        <w:autoSpaceDN/>
        <w:bidi w:val="0"/>
        <w:adjustRightInd/>
        <w:snapToGrid/>
        <w:spacing w:line="600" w:lineRule="exact"/>
        <w:ind w:firstLine="643" w:firstLineChars="200"/>
        <w:jc w:val="both"/>
        <w:textAlignment w:val="auto"/>
        <w:outlineLvl w:val="9"/>
        <w:rPr>
          <w:rFonts w:hint="default" w:ascii="楷体_GB2312" w:hAnsi="楷体_GB2312" w:eastAsia="楷体_GB2312" w:cs="楷体_GB2312"/>
          <w:snapToGrid w:val="0"/>
          <w:color w:val="auto"/>
          <w:spacing w:val="0"/>
          <w:kern w:val="0"/>
          <w:sz w:val="32"/>
          <w:szCs w:val="32"/>
        </w:rPr>
      </w:pPr>
      <w:r>
        <w:rPr>
          <w:rFonts w:hint="default" w:ascii="楷体_GB2312" w:hAnsi="楷体_GB2312" w:eastAsia="楷体_GB2312" w:cs="楷体_GB2312"/>
          <w:snapToGrid w:val="0"/>
          <w:color w:val="auto"/>
          <w:spacing w:val="0"/>
          <w:kern w:val="0"/>
          <w:sz w:val="32"/>
          <w:szCs w:val="32"/>
        </w:rPr>
        <w:t>较大环境事件（Ⅲ级）</w:t>
      </w:r>
    </w:p>
    <w:p w14:paraId="2CFDA8F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凡符合下列情形之一的，为较大环境事件：</w:t>
      </w:r>
    </w:p>
    <w:p w14:paraId="5FF13F8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（1）</w:t>
      </w:r>
      <w:r>
        <w:rPr>
          <w:rFonts w:hint="default" w:ascii="仿宋_GB2312" w:hAnsi="仿宋_GB2312" w:eastAsia="仿宋_GB2312" w:cs="仿宋_GB2312"/>
          <w:snapToGrid w:val="0"/>
          <w:color w:val="auto"/>
          <w:kern w:val="0"/>
          <w:sz w:val="32"/>
          <w:szCs w:val="32"/>
        </w:rPr>
        <w:t>因环境污染直接导致3人以上10人以下死亡或10人以上50人以下中毒或重伤的；</w:t>
      </w:r>
    </w:p>
    <w:p w14:paraId="7BF01CA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（2）</w:t>
      </w:r>
      <w:r>
        <w:rPr>
          <w:rFonts w:hint="default" w:ascii="仿宋_GB2312" w:hAnsi="仿宋_GB2312" w:eastAsia="仿宋_GB2312" w:cs="仿宋_GB2312"/>
          <w:snapToGrid w:val="0"/>
          <w:color w:val="auto"/>
          <w:kern w:val="0"/>
          <w:sz w:val="32"/>
          <w:szCs w:val="32"/>
        </w:rPr>
        <w:t>因环境污染疏散、转移人员5000人以上1万人以下的；</w:t>
      </w:r>
    </w:p>
    <w:p w14:paraId="08A9FC4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（3）</w:t>
      </w:r>
      <w:r>
        <w:rPr>
          <w:rFonts w:hint="default" w:ascii="仿宋_GB2312" w:hAnsi="仿宋_GB2312" w:eastAsia="仿宋_GB2312" w:cs="仿宋_GB2312"/>
          <w:snapToGrid w:val="0"/>
          <w:color w:val="auto"/>
          <w:kern w:val="0"/>
          <w:sz w:val="32"/>
          <w:szCs w:val="32"/>
        </w:rPr>
        <w:t>因环境污染造成直接经济损失500万元以上2000万元以下的；</w:t>
      </w:r>
    </w:p>
    <w:p w14:paraId="19031B1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（4）</w:t>
      </w:r>
      <w:r>
        <w:rPr>
          <w:rFonts w:hint="default" w:ascii="仿宋_GB2312" w:hAnsi="仿宋_GB2312" w:eastAsia="仿宋_GB2312" w:cs="仿宋_GB2312"/>
          <w:snapToGrid w:val="0"/>
          <w:color w:val="auto"/>
          <w:kern w:val="0"/>
          <w:sz w:val="32"/>
          <w:szCs w:val="32"/>
        </w:rPr>
        <w:t>因环境污染造成国家重点保护的动植物物种受到破坏的；</w:t>
      </w:r>
    </w:p>
    <w:p w14:paraId="7F77E5F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（5）</w:t>
      </w:r>
      <w:r>
        <w:rPr>
          <w:rFonts w:hint="default" w:ascii="仿宋_GB2312" w:hAnsi="仿宋_GB2312" w:eastAsia="仿宋_GB2312" w:cs="仿宋_GB2312"/>
          <w:snapToGrid w:val="0"/>
          <w:color w:val="auto"/>
          <w:kern w:val="0"/>
          <w:sz w:val="32"/>
          <w:szCs w:val="32"/>
        </w:rPr>
        <w:t>因环境污染造成乡镇集中式饮用水水源地取水中断的；</w:t>
      </w:r>
    </w:p>
    <w:p w14:paraId="1B8B27B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（6）</w:t>
      </w:r>
      <w:r>
        <w:rPr>
          <w:rFonts w:hint="default" w:ascii="仿宋_GB2312" w:hAnsi="仿宋_GB2312" w:eastAsia="仿宋_GB2312" w:cs="仿宋_GB2312"/>
          <w:snapToGrid w:val="0"/>
          <w:color w:val="auto"/>
          <w:kern w:val="0"/>
          <w:sz w:val="32"/>
          <w:szCs w:val="32"/>
        </w:rPr>
        <w:t>Ⅲ类放射源丢失、被盗的；放射性同位素和射线装置失控导致10人以下急性重度放射病、局部器官残疾的；放射性物质泄漏，造成小范围辐射污染后果的；</w:t>
      </w:r>
    </w:p>
    <w:p w14:paraId="4F34586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（7）</w:t>
      </w:r>
      <w:r>
        <w:rPr>
          <w:rFonts w:hint="default" w:ascii="仿宋_GB2312" w:hAnsi="仿宋_GB2312" w:eastAsia="仿宋_GB2312" w:cs="仿宋_GB2312"/>
          <w:snapToGrid w:val="0"/>
          <w:color w:val="auto"/>
          <w:kern w:val="0"/>
          <w:sz w:val="32"/>
          <w:szCs w:val="32"/>
        </w:rPr>
        <w:t>造成跨设区的市级行政区域影响的突发环境事件。</w:t>
      </w:r>
    </w:p>
    <w:p w14:paraId="73A7D953">
      <w:pPr>
        <w:pStyle w:val="36"/>
        <w:pageBreakBefore w:val="0"/>
        <w:numPr>
          <w:ilvl w:val="2"/>
          <w:numId w:val="0"/>
        </w:numPr>
        <w:kinsoku/>
        <w:wordWrap/>
        <w:overflowPunct/>
        <w:topLinePunct w:val="0"/>
        <w:autoSpaceDE/>
        <w:autoSpaceDN/>
        <w:bidi w:val="0"/>
        <w:adjustRightInd/>
        <w:snapToGrid/>
        <w:spacing w:line="600" w:lineRule="exact"/>
        <w:ind w:firstLine="643" w:firstLineChars="200"/>
        <w:jc w:val="both"/>
        <w:textAlignment w:val="auto"/>
        <w:outlineLvl w:val="9"/>
        <w:rPr>
          <w:rFonts w:hint="default" w:ascii="楷体_GB2312" w:hAnsi="楷体_GB2312" w:eastAsia="楷体_GB2312" w:cs="楷体_GB2312"/>
          <w:snapToGrid w:val="0"/>
          <w:color w:val="auto"/>
          <w:spacing w:val="0"/>
          <w:kern w:val="0"/>
          <w:sz w:val="32"/>
          <w:szCs w:val="32"/>
        </w:rPr>
      </w:pPr>
      <w:r>
        <w:rPr>
          <w:rFonts w:hint="default" w:ascii="楷体_GB2312" w:hAnsi="楷体_GB2312" w:eastAsia="楷体_GB2312" w:cs="楷体_GB2312"/>
          <w:snapToGrid w:val="0"/>
          <w:color w:val="auto"/>
          <w:spacing w:val="0"/>
          <w:kern w:val="0"/>
          <w:sz w:val="32"/>
          <w:szCs w:val="32"/>
        </w:rPr>
        <w:t>一般环境事件（Ⅳ级）</w:t>
      </w:r>
    </w:p>
    <w:p w14:paraId="79E51FC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凡符合下列情形之一的，为一般环境事件：</w:t>
      </w:r>
    </w:p>
    <w:p w14:paraId="7D36E38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（1）</w:t>
      </w:r>
      <w:r>
        <w:rPr>
          <w:rFonts w:hint="default" w:ascii="仿宋_GB2312" w:hAnsi="仿宋_GB2312" w:eastAsia="仿宋_GB2312" w:cs="仿宋_GB2312"/>
          <w:snapToGrid w:val="0"/>
          <w:color w:val="auto"/>
          <w:kern w:val="0"/>
          <w:sz w:val="32"/>
          <w:szCs w:val="32"/>
        </w:rPr>
        <w:t>因环境污染直接导致3人以下死亡或10人以下中毒或重伤的；</w:t>
      </w:r>
    </w:p>
    <w:p w14:paraId="6EF0074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（2）</w:t>
      </w:r>
      <w:r>
        <w:rPr>
          <w:rFonts w:hint="default" w:ascii="仿宋_GB2312" w:hAnsi="仿宋_GB2312" w:eastAsia="仿宋_GB2312" w:cs="仿宋_GB2312"/>
          <w:snapToGrid w:val="0"/>
          <w:color w:val="auto"/>
          <w:kern w:val="0"/>
          <w:sz w:val="32"/>
          <w:szCs w:val="32"/>
        </w:rPr>
        <w:t>因环境污染疏散、转移人员5000人以下的；</w:t>
      </w:r>
    </w:p>
    <w:p w14:paraId="7E2D002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（3）</w:t>
      </w:r>
      <w:r>
        <w:rPr>
          <w:rFonts w:hint="default" w:ascii="仿宋_GB2312" w:hAnsi="仿宋_GB2312" w:eastAsia="仿宋_GB2312" w:cs="仿宋_GB2312"/>
          <w:snapToGrid w:val="0"/>
          <w:color w:val="auto"/>
          <w:kern w:val="0"/>
          <w:sz w:val="32"/>
          <w:szCs w:val="32"/>
        </w:rPr>
        <w:t>因环境污染造成直接经济损失500万元以下的；</w:t>
      </w:r>
    </w:p>
    <w:p w14:paraId="36D17B0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（4）</w:t>
      </w:r>
      <w:r>
        <w:rPr>
          <w:rFonts w:hint="default" w:ascii="仿宋_GB2312" w:hAnsi="仿宋_GB2312" w:eastAsia="仿宋_GB2312" w:cs="仿宋_GB2312"/>
          <w:snapToGrid w:val="0"/>
          <w:color w:val="auto"/>
          <w:kern w:val="0"/>
          <w:sz w:val="32"/>
          <w:szCs w:val="32"/>
        </w:rPr>
        <w:t>因环境污染造成跨县级行政区域纠纷，引起一般性群体影响的；</w:t>
      </w:r>
    </w:p>
    <w:p w14:paraId="04A0D67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（5）</w:t>
      </w:r>
      <w:r>
        <w:rPr>
          <w:rFonts w:hint="default" w:ascii="仿宋_GB2312" w:hAnsi="仿宋_GB2312" w:eastAsia="仿宋_GB2312" w:cs="仿宋_GB2312"/>
          <w:snapToGrid w:val="0"/>
          <w:color w:val="auto"/>
          <w:kern w:val="0"/>
          <w:sz w:val="32"/>
          <w:szCs w:val="32"/>
        </w:rPr>
        <w:t>Ⅳ、Ⅴ类放射源丢失、被盗的；放射性同位素和射线装置失控导致人员受到超过年剂量限值的照射的；放射性物质泄漏，造成厂区内或设施内局部辐射污染后果的；铀矿冶、伴生矿超标排放，造成环境辐射污染后果的；</w:t>
      </w:r>
    </w:p>
    <w:p w14:paraId="193D508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（6）</w:t>
      </w:r>
      <w:r>
        <w:rPr>
          <w:rFonts w:hint="default" w:ascii="仿宋_GB2312" w:hAnsi="仿宋_GB2312" w:eastAsia="仿宋_GB2312" w:cs="仿宋_GB2312"/>
          <w:snapToGrid w:val="0"/>
          <w:color w:val="auto"/>
          <w:kern w:val="0"/>
          <w:sz w:val="32"/>
          <w:szCs w:val="32"/>
        </w:rPr>
        <w:t>对环境造成一定影响，尚未达到较大突发环境事件级别的。</w:t>
      </w:r>
    </w:p>
    <w:p w14:paraId="1DA3E7D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Times New Roman" w:hAnsi="Times New Roman" w:cs="Times New Roman"/>
          <w:snapToGrid w:val="0"/>
          <w:color w:val="auto"/>
          <w:kern w:val="0"/>
        </w:rPr>
      </w:pPr>
      <w:r>
        <w:rPr>
          <w:rFonts w:hint="default" w:ascii="仿宋_GB2312" w:hAnsi="仿宋_GB2312" w:eastAsia="仿宋_GB2312" w:cs="仿宋_GB2312"/>
          <w:snapToGrid w:val="0"/>
          <w:color w:val="auto"/>
          <w:kern w:val="0"/>
          <w:sz w:val="32"/>
          <w:szCs w:val="32"/>
        </w:rPr>
        <w:t>上述分级标准有关数量的表述中，“以上”含本数，“以下”不含本数。</w:t>
      </w:r>
    </w:p>
    <w:p w14:paraId="406D3E46">
      <w:pPr>
        <w:pStyle w:val="36"/>
        <w:pageBreakBefore w:val="0"/>
        <w:numPr>
          <w:ilvl w:val="2"/>
          <w:numId w:val="0"/>
        </w:numPr>
        <w:kinsoku/>
        <w:wordWrap/>
        <w:overflowPunct/>
        <w:topLinePunct w:val="0"/>
        <w:autoSpaceDE/>
        <w:autoSpaceDN/>
        <w:bidi w:val="0"/>
        <w:adjustRightInd/>
        <w:snapToGrid/>
        <w:spacing w:line="600" w:lineRule="exact"/>
        <w:ind w:firstLine="643" w:firstLineChars="200"/>
        <w:jc w:val="both"/>
        <w:textAlignment w:val="auto"/>
        <w:outlineLvl w:val="9"/>
        <w:rPr>
          <w:rFonts w:hint="default" w:ascii="楷体_GB2312" w:hAnsi="楷体_GB2312" w:eastAsia="楷体_GB2312" w:cs="楷体_GB2312"/>
          <w:snapToGrid w:val="0"/>
          <w:color w:val="auto"/>
          <w:spacing w:val="0"/>
          <w:kern w:val="0"/>
          <w:sz w:val="32"/>
          <w:szCs w:val="32"/>
        </w:rPr>
      </w:pPr>
      <w:r>
        <w:rPr>
          <w:rFonts w:hint="default" w:ascii="楷体_GB2312" w:hAnsi="楷体_GB2312" w:eastAsia="楷体_GB2312" w:cs="楷体_GB2312"/>
          <w:snapToGrid w:val="0"/>
          <w:color w:val="auto"/>
          <w:spacing w:val="0"/>
          <w:kern w:val="0"/>
          <w:sz w:val="32"/>
          <w:szCs w:val="32"/>
        </w:rPr>
        <w:t>无法判明等级的突发环境事件</w:t>
      </w:r>
    </w:p>
    <w:p w14:paraId="297BD0C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发生下列一时无法判明等级的突发环境事件，事件发生地设区的市级或者县级人民政府环境保护主管部门应当按照重大（II 级）或者特别重大（I 级）突发环境事件的报告程序上报：</w:t>
      </w:r>
    </w:p>
    <w:p w14:paraId="45023EF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（1）对饮用水水源保护区造成或者可能造成影响的；</w:t>
      </w:r>
    </w:p>
    <w:p w14:paraId="310A8C3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（2）涉及居民聚居区、学校、医院等敏感区域和敏感人群的；</w:t>
      </w:r>
    </w:p>
    <w:p w14:paraId="7E7C0D2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（3）涉及重金属或者类金属污染的；</w:t>
      </w:r>
    </w:p>
    <w:p w14:paraId="1F5100D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（4）有可能产生跨省或者跨国影响的；</w:t>
      </w:r>
    </w:p>
    <w:p w14:paraId="4A6148C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（5）因环境污染引发群体性事件，或者社会影响较大的。</w:t>
      </w:r>
    </w:p>
    <w:p w14:paraId="55BACF2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rPr>
      </w:pPr>
      <w:r>
        <w:rPr>
          <w:rFonts w:hint="default" w:ascii="仿宋_GB2312" w:hAnsi="仿宋_GB2312" w:eastAsia="仿宋_GB2312" w:cs="仿宋_GB2312"/>
          <w:snapToGrid w:val="0"/>
          <w:color w:val="auto"/>
          <w:kern w:val="0"/>
          <w:sz w:val="32"/>
          <w:szCs w:val="32"/>
          <w:lang w:val="en-US"/>
        </w:rPr>
        <w:t>（6）地方人民政府环境保护主管部门认为有必要报告的其他突发环境事件。</w:t>
      </w:r>
    </w:p>
    <w:p w14:paraId="777E31FE">
      <w:pPr>
        <w:pStyle w:val="29"/>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cs="Times New Roman"/>
          <w:snapToGrid w:val="0"/>
          <w:color w:val="auto"/>
          <w:kern w:val="0"/>
        </w:rPr>
      </w:pPr>
    </w:p>
    <w:p w14:paraId="0C00363B">
      <w:pPr>
        <w:pStyle w:val="29"/>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cs="Times New Roman"/>
          <w:snapToGrid w:val="0"/>
          <w:color w:val="auto"/>
          <w:kern w:val="0"/>
        </w:rPr>
      </w:pPr>
    </w:p>
    <w:p w14:paraId="5DB87B06">
      <w:pPr>
        <w:pStyle w:val="29"/>
        <w:rPr>
          <w:rFonts w:hint="default" w:ascii="Times New Roman" w:hAnsi="Times New Roman" w:cs="Times New Roman"/>
          <w:color w:val="auto"/>
        </w:rPr>
      </w:pPr>
      <w:r>
        <w:rPr>
          <w:rFonts w:hint="default" w:ascii="Times New Roman" w:hAnsi="Times New Roman" w:cs="Times New Roman"/>
          <w:color w:val="auto"/>
        </w:rPr>
        <w:br w:type="page"/>
      </w:r>
    </w:p>
    <w:p w14:paraId="6FEC4490">
      <w:pPr>
        <w:pStyle w:val="29"/>
        <w:keepNext w:val="0"/>
        <w:keepLines w:val="0"/>
        <w:pageBreakBefore w:val="0"/>
        <w:widowControl w:val="0"/>
        <w:kinsoku/>
        <w:wordWrap/>
        <w:overflowPunct/>
        <w:topLinePunct w:val="0"/>
        <w:autoSpaceDE/>
        <w:autoSpaceDN/>
        <w:bidi w:val="0"/>
        <w:adjustRightInd/>
        <w:snapToGrid/>
        <w:spacing w:after="157" w:afterLines="50" w:line="600" w:lineRule="exact"/>
        <w:ind w:left="0" w:leftChars="0" w:firstLine="0" w:firstLineChars="0"/>
        <w:textAlignment w:val="auto"/>
        <w:outlineLvl w:val="1"/>
        <w:rPr>
          <w:rFonts w:hint="eastAsia" w:ascii="黑体" w:hAnsi="黑体" w:eastAsia="黑体" w:cs="黑体"/>
          <w:b w:val="0"/>
          <w:bCs w:val="0"/>
          <w:color w:val="auto"/>
          <w:sz w:val="32"/>
          <w:szCs w:val="32"/>
          <w:lang w:val="en-US" w:eastAsia="zh-CN"/>
        </w:rPr>
      </w:pPr>
      <w:bookmarkStart w:id="273" w:name="_Toc933"/>
      <w:r>
        <w:rPr>
          <w:rFonts w:hint="eastAsia" w:ascii="黑体" w:hAnsi="黑体" w:eastAsia="黑体" w:cs="黑体"/>
          <w:b w:val="0"/>
          <w:bCs w:val="0"/>
          <w:color w:val="auto"/>
          <w:sz w:val="32"/>
          <w:szCs w:val="32"/>
        </w:rPr>
        <w:t>附件</w:t>
      </w:r>
      <w:r>
        <w:rPr>
          <w:rFonts w:hint="eastAsia" w:ascii="黑体" w:hAnsi="黑体" w:eastAsia="黑体" w:cs="黑体"/>
          <w:b w:val="0"/>
          <w:bCs w:val="0"/>
          <w:color w:val="auto"/>
          <w:sz w:val="32"/>
          <w:szCs w:val="32"/>
          <w:lang w:val="en-US" w:eastAsia="zh-CN"/>
        </w:rPr>
        <w:t>5</w:t>
      </w:r>
    </w:p>
    <w:p w14:paraId="6A4DEE1F">
      <w:pPr>
        <w:pStyle w:val="29"/>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1"/>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突发环境事件现场应急处置卡</w:t>
      </w:r>
      <w:bookmarkEnd w:id="273"/>
    </w:p>
    <w:p w14:paraId="730B2F5A">
      <w:pPr>
        <w:pStyle w:val="29"/>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1"/>
        <w:rPr>
          <w:rFonts w:hint="eastAsia" w:ascii="方正小标宋简体" w:hAnsi="方正小标宋简体" w:eastAsia="方正小标宋简体" w:cs="方正小标宋简体"/>
          <w:b w:val="0"/>
          <w:bCs w:val="0"/>
          <w:color w:val="auto"/>
          <w:sz w:val="44"/>
          <w:szCs w:val="44"/>
        </w:rPr>
      </w:pPr>
    </w:p>
    <w:p w14:paraId="4984556F">
      <w:pPr>
        <w:ind w:left="0" w:leftChars="0" w:firstLine="0" w:firstLineChars="0"/>
        <w:jc w:val="center"/>
        <w:rPr>
          <w:rFonts w:hint="eastAsia" w:ascii="方正小标宋简体" w:hAnsi="方正小标宋简体" w:eastAsia="方正小标宋简体" w:cs="方正小标宋简体"/>
          <w:b w:val="0"/>
          <w:bCs w:val="0"/>
          <w:color w:val="auto"/>
          <w:sz w:val="32"/>
          <w:szCs w:val="32"/>
        </w:rPr>
      </w:pPr>
      <w:r>
        <w:rPr>
          <w:rFonts w:hint="eastAsia" w:ascii="方正小标宋简体" w:hAnsi="方正小标宋简体" w:eastAsia="方正小标宋简体" w:cs="方正小标宋简体"/>
          <w:b w:val="0"/>
          <w:bCs w:val="0"/>
          <w:color w:val="auto"/>
          <w:sz w:val="32"/>
          <w:szCs w:val="32"/>
        </w:rPr>
        <w:t>易挥发有毒有害化学品物质和气体泄漏事件应急处置卡</w:t>
      </w:r>
    </w:p>
    <w:tbl>
      <w:tblPr>
        <w:tblStyle w:val="23"/>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2188"/>
        <w:gridCol w:w="1153"/>
        <w:gridCol w:w="4472"/>
      </w:tblGrid>
      <w:tr w14:paraId="5682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121C5046">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事故</w:t>
            </w:r>
          </w:p>
          <w:p w14:paraId="72639AF6">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特征</w:t>
            </w:r>
          </w:p>
        </w:tc>
        <w:tc>
          <w:tcPr>
            <w:tcW w:w="4310" w:type="pct"/>
            <w:gridSpan w:val="3"/>
            <w:vAlign w:val="center"/>
          </w:tcPr>
          <w:p w14:paraId="44E9BFF8">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（1）风险物质：液氯、液氨、氨水；</w:t>
            </w:r>
          </w:p>
          <w:p w14:paraId="13FD2AB8">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（2）风险单元：储存和使用液氯、液氨、氨水的各公司储罐；</w:t>
            </w:r>
          </w:p>
          <w:p w14:paraId="5D5C7A9E">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w:t>
            </w:r>
          </w:p>
          <w:p w14:paraId="54BCB74B">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①氨水、液氨泄漏后蒸发为氨气，与空气混合能形成爆炸性混合物。遇明火、高热能引起燃烧爆炸；密度比水小，易溶于水。液氯泄漏后蒸发为氯气，不会燃烧, 但可助燃。一般可燃物大都能在氯气中燃烧，一般易燃气体或蒸气也都能，与氯气形成爆炸性混合物。氯气几乎对金属和非金属都有腐蚀作用。</w:t>
            </w:r>
          </w:p>
          <w:p w14:paraId="6A5C0295">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低浓度氨对粘膜有刺激作用，高浓度可造成组织溶解坏死。氯气对眼、呼吸道粘膜有刺激作用。吸入极高浓度的氯气，可引起迷走神经反射性心跳骤停或喉头痉挛而发生“电击样”死亡。皮肤接触液氯或高浓度氯，在暴露部位可有灼伤或急性皮炎。</w:t>
            </w:r>
          </w:p>
        </w:tc>
      </w:tr>
      <w:tr w14:paraId="1580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5FFED0CB">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应急</w:t>
            </w:r>
          </w:p>
          <w:p w14:paraId="46E16D42">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组织</w:t>
            </w:r>
          </w:p>
        </w:tc>
        <w:tc>
          <w:tcPr>
            <w:tcW w:w="4310" w:type="pct"/>
            <w:gridSpan w:val="3"/>
            <w:vAlign w:val="center"/>
          </w:tcPr>
          <w:p w14:paraId="337CA9C6">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200A698A">
            <w:pPr>
              <w:pStyle w:val="41"/>
              <w:keepNext w:val="0"/>
              <w:keepLines w:val="0"/>
              <w:pageBreakBefore w:val="0"/>
              <w:widowControl/>
              <w:kinsoku/>
              <w:wordWrap/>
              <w:overflowPunct/>
              <w:topLinePunct w:val="0"/>
              <w:autoSpaceDE/>
              <w:autoSpaceDN/>
              <w:bidi w:val="0"/>
              <w:adjustRightInd/>
              <w:snapToGrid/>
              <w:spacing w:line="400" w:lineRule="exact"/>
              <w:ind w:firstLine="36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14AD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50F57485">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应急</w:t>
            </w:r>
          </w:p>
          <w:p w14:paraId="62147B9D">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程序</w:t>
            </w:r>
          </w:p>
        </w:tc>
        <w:tc>
          <w:tcPr>
            <w:tcW w:w="4310" w:type="pct"/>
            <w:gridSpan w:val="3"/>
            <w:vAlign w:val="center"/>
          </w:tcPr>
          <w:p w14:paraId="08B8744A">
            <w:pPr>
              <w:pStyle w:val="41"/>
              <w:keepNext w:val="0"/>
              <w:keepLines w:val="0"/>
              <w:pageBreakBefore w:val="0"/>
              <w:widowControl/>
              <w:kinsoku/>
              <w:wordWrap/>
              <w:overflowPunct/>
              <w:topLinePunct w:val="0"/>
              <w:autoSpaceDE/>
              <w:autoSpaceDN/>
              <w:bidi w:val="0"/>
              <w:adjustRightInd/>
              <w:snapToGrid/>
              <w:spacing w:line="40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（1）事件确认：事发地人民政府应急指挥部收到发生液氨、氨水、液氯泄漏事故的报告后，值班员向企业核实事件发生地点、事故类型及事故风险物质。</w:t>
            </w:r>
          </w:p>
          <w:p w14:paraId="1C1CC593">
            <w:pPr>
              <w:pStyle w:val="41"/>
              <w:keepNext w:val="0"/>
              <w:keepLines w:val="0"/>
              <w:pageBreakBefore w:val="0"/>
              <w:widowControl/>
              <w:kinsoku/>
              <w:wordWrap/>
              <w:overflowPunct/>
              <w:topLinePunct w:val="0"/>
              <w:autoSpaceDE/>
              <w:autoSpaceDN/>
              <w:bidi w:val="0"/>
              <w:adjustRightInd/>
              <w:snapToGrid/>
              <w:spacing w:line="40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成立现场指挥部指挥应急工作组采取相应的现场处置，且根据事故的大小及发展态势由当地应急指挥部决定是否升级应急响应级别，有需要的联系事发地上层应急指挥部或外部救援力量请求支援。</w:t>
            </w:r>
          </w:p>
        </w:tc>
      </w:tr>
      <w:tr w14:paraId="0A62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305CE46D">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应急报告</w:t>
            </w:r>
          </w:p>
        </w:tc>
        <w:tc>
          <w:tcPr>
            <w:tcW w:w="4310" w:type="pct"/>
            <w:gridSpan w:val="3"/>
            <w:vAlign w:val="center"/>
          </w:tcPr>
          <w:p w14:paraId="5AFA9A63">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生态环境局报告。</w:t>
            </w:r>
          </w:p>
          <w:p w14:paraId="64F31A0F">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3E0A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370C1D9A">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应急处置措施</w:t>
            </w:r>
          </w:p>
        </w:tc>
        <w:tc>
          <w:tcPr>
            <w:tcW w:w="4310" w:type="pct"/>
            <w:gridSpan w:val="3"/>
            <w:vAlign w:val="center"/>
          </w:tcPr>
          <w:p w14:paraId="3BE4B2BE">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（1）疏散与隔离：迅速撤离泄漏污染区人员至上风处，并立即进行隔离150米，严格限制出入，切断火源；</w:t>
            </w:r>
          </w:p>
          <w:p w14:paraId="3DBDFB14">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切断泄漏源及堵漏后处置：现场应急处理应由应急工作组进行，应急工作人员应戴自给正压式呼吸器，穿防毒服。应急工作人员根据泄漏情况采取适当的切断泄漏源的措施，若是罐体泄漏形式（砂眼、裂缝、孔洞和裂口）采用木楔、外封式堵漏袋等方式进行堵漏。</w:t>
            </w:r>
          </w:p>
          <w:p w14:paraId="5BBC3B12">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（3）堵漏后处置：高浓度泄漏区，喷雾状水中和、稀释、溶解。将产生的大量消防废水导入企业自有的应急池，并及时经企业污水处理站或用槽罐车将消防废水运至事发地污水处理厂处理达标后外排。</w:t>
            </w:r>
          </w:p>
          <w:p w14:paraId="723DBBA8">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（4）泄漏容器要妥善处理，修复、检验或更换后再启用。</w:t>
            </w:r>
          </w:p>
        </w:tc>
      </w:tr>
      <w:tr w14:paraId="5178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6484ABC6">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应急监测方案</w:t>
            </w:r>
          </w:p>
        </w:tc>
        <w:tc>
          <w:tcPr>
            <w:tcW w:w="4310" w:type="pct"/>
            <w:gridSpan w:val="3"/>
            <w:vAlign w:val="center"/>
          </w:tcPr>
          <w:p w14:paraId="263359D6">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监测单位：委托当地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或资质单位进行应急监测；</w:t>
            </w:r>
          </w:p>
          <w:p w14:paraId="6AE24F7E">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监测因子：氨、氯气；</w:t>
            </w:r>
          </w:p>
          <w:p w14:paraId="15E3387B">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监测布点：厂界、氨、液氯储罐泄漏点下风向550m、附近居民点，并在上风向设置参照点；</w:t>
            </w:r>
          </w:p>
          <w:p w14:paraId="41E95379">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监测频次：结合实际情况由监测单位确定。</w:t>
            </w:r>
          </w:p>
        </w:tc>
      </w:tr>
      <w:tr w14:paraId="1C69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9" w:type="pct"/>
            <w:vAlign w:val="center"/>
          </w:tcPr>
          <w:p w14:paraId="4162CE64">
            <w:pPr>
              <w:widowControl/>
              <w:spacing w:line="400" w:lineRule="exact"/>
              <w:ind w:firstLine="0" w:firstLineChars="0"/>
              <w:jc w:val="center"/>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应急物资</w:t>
            </w:r>
          </w:p>
        </w:tc>
        <w:tc>
          <w:tcPr>
            <w:tcW w:w="1207" w:type="pct"/>
            <w:vAlign w:val="center"/>
          </w:tcPr>
          <w:p w14:paraId="3E96C7AD">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专用雾状水供应设备、堵漏工具、呼吸器、防化服等。</w:t>
            </w:r>
          </w:p>
        </w:tc>
        <w:tc>
          <w:tcPr>
            <w:tcW w:w="636" w:type="pct"/>
            <w:vAlign w:val="center"/>
          </w:tcPr>
          <w:p w14:paraId="6A3B7D92">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获取</w:t>
            </w:r>
          </w:p>
          <w:p w14:paraId="53065018">
            <w:pPr>
              <w:pStyle w:val="4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地点</w:t>
            </w:r>
          </w:p>
        </w:tc>
        <w:tc>
          <w:tcPr>
            <w:tcW w:w="2466" w:type="pct"/>
            <w:vAlign w:val="center"/>
          </w:tcPr>
          <w:p w14:paraId="7E3B235F">
            <w:pPr>
              <w:pStyle w:val="41"/>
              <w:keepNext w:val="0"/>
              <w:keepLines w:val="0"/>
              <w:pageBreakBefore w:val="0"/>
              <w:widowControl/>
              <w:kinsoku/>
              <w:wordWrap/>
              <w:overflowPunct/>
              <w:topLinePunct w:val="0"/>
              <w:autoSpaceDE/>
              <w:autoSpaceDN/>
              <w:bidi w:val="0"/>
              <w:adjustRightInd/>
              <w:snapToGrid/>
              <w:spacing w:line="38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rPr>
              <w:t>园区、事发地的区（</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）及周边区（</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rPr>
              <w:t>级应急指挥部等可调用应急物资；专职消防队等专业应急救援队伍处。</w:t>
            </w:r>
          </w:p>
        </w:tc>
      </w:tr>
    </w:tbl>
    <w:p w14:paraId="3AA480A6">
      <w:pPr>
        <w:ind w:firstLine="482"/>
        <w:jc w:val="center"/>
        <w:rPr>
          <w:rFonts w:hint="default" w:ascii="Times New Roman" w:hAnsi="Times New Roman" w:cs="Times New Roman"/>
          <w:b/>
          <w:bCs/>
          <w:color w:val="auto"/>
        </w:rPr>
        <w:sectPr>
          <w:pgSz w:w="11906" w:h="16838"/>
          <w:pgMar w:top="2098" w:right="1474" w:bottom="1984" w:left="1587" w:header="850" w:footer="850" w:gutter="0"/>
          <w:pgNumType w:fmt="decimal"/>
          <w:cols w:space="720" w:num="1"/>
          <w:docGrid w:type="lines" w:linePitch="312" w:charSpace="0"/>
        </w:sectPr>
      </w:pPr>
    </w:p>
    <w:p w14:paraId="3B6973CE">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易燃物质火灾、燃烧、爆炸应急处置措施</w:t>
      </w:r>
    </w:p>
    <w:tbl>
      <w:tblPr>
        <w:tblStyle w:val="22"/>
        <w:tblW w:w="54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412"/>
        <w:gridCol w:w="6903"/>
      </w:tblGrid>
      <w:tr w14:paraId="1DAB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blHeader/>
          <w:jc w:val="center"/>
        </w:trPr>
        <w:tc>
          <w:tcPr>
            <w:tcW w:w="517" w:type="pct"/>
            <w:vAlign w:val="center"/>
          </w:tcPr>
          <w:p w14:paraId="7165D040">
            <w:pPr>
              <w:pStyle w:val="42"/>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序号</w:t>
            </w:r>
          </w:p>
        </w:tc>
        <w:tc>
          <w:tcPr>
            <w:tcW w:w="761" w:type="pct"/>
            <w:vAlign w:val="center"/>
          </w:tcPr>
          <w:p w14:paraId="75C2BFAB">
            <w:pPr>
              <w:pStyle w:val="42"/>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污染物</w:t>
            </w:r>
          </w:p>
        </w:tc>
        <w:tc>
          <w:tcPr>
            <w:tcW w:w="3720" w:type="pct"/>
            <w:vAlign w:val="center"/>
          </w:tcPr>
          <w:p w14:paraId="2A0BB71E">
            <w:pPr>
              <w:pStyle w:val="42"/>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现场处理措施</w:t>
            </w:r>
          </w:p>
        </w:tc>
      </w:tr>
      <w:tr w14:paraId="54BF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17" w:type="pct"/>
            <w:vAlign w:val="center"/>
          </w:tcPr>
          <w:p w14:paraId="1DF52EF8">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761" w:type="pct"/>
            <w:vAlign w:val="center"/>
          </w:tcPr>
          <w:p w14:paraId="04D7B4B0">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油类：汽油、柴油</w:t>
            </w:r>
          </w:p>
        </w:tc>
        <w:tc>
          <w:tcPr>
            <w:tcW w:w="3720" w:type="pct"/>
          </w:tcPr>
          <w:p w14:paraId="310E4AA5">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储罐：</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1 \* GB3 \* MERGEFORMAT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①</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及时寻找泄漏点，对储罐进行堵漏，切断泄漏源；</w:t>
            </w:r>
          </w:p>
          <w:p w14:paraId="06CDF18B">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2 \* GB3 \* MERGEFORMAT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②</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利用储罐区的围堰将泄漏的油类进行收集，将围堰内收集的泄漏液态物料导至空罐内，能回收利用的进行相应的回收利用，不能回收利用的交由有资质的单位进行处理。</w:t>
            </w:r>
          </w:p>
          <w:p w14:paraId="596D0ED0">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③切断火源关闭手机及其它明火，采取相应的堵漏和抢修措施，加强冷却，撤离周围易燃可燃物品等办法控制火势</w:t>
            </w:r>
            <w:r>
              <w:rPr>
                <w:rFonts w:hint="eastAsia" w:ascii="仿宋_GB2312" w:hAnsi="仿宋_GB2312" w:eastAsia="仿宋_GB2312" w:cs="仿宋_GB2312"/>
                <w:color w:val="auto"/>
                <w:sz w:val="32"/>
                <w:szCs w:val="32"/>
                <w:lang w:eastAsia="zh-CN"/>
              </w:rPr>
              <w:t>，使</w:t>
            </w:r>
            <w:r>
              <w:rPr>
                <w:rFonts w:hint="eastAsia" w:ascii="仿宋_GB2312" w:hAnsi="仿宋_GB2312" w:eastAsia="仿宋_GB2312" w:cs="仿宋_GB2312"/>
                <w:color w:val="auto"/>
                <w:sz w:val="32"/>
                <w:szCs w:val="32"/>
              </w:rPr>
              <w:t>用抗溶性泡沫、干粉、二氧化碳等灭火器材进行灭火，同时对储罐</w:t>
            </w:r>
            <w:r>
              <w:rPr>
                <w:rFonts w:hint="eastAsia" w:ascii="仿宋_GB2312" w:hAnsi="仿宋_GB2312" w:eastAsia="仿宋_GB2312" w:cs="仿宋_GB2312"/>
                <w:color w:val="auto"/>
                <w:sz w:val="32"/>
                <w:szCs w:val="32"/>
                <w:lang w:eastAsia="zh-CN"/>
              </w:rPr>
              <w:t>进行</w:t>
            </w:r>
            <w:r>
              <w:rPr>
                <w:rFonts w:hint="eastAsia" w:ascii="仿宋_GB2312" w:hAnsi="仿宋_GB2312" w:eastAsia="仿宋_GB2312" w:cs="仿宋_GB2312"/>
                <w:color w:val="auto"/>
                <w:sz w:val="32"/>
                <w:szCs w:val="32"/>
              </w:rPr>
              <w:t>冷却，可能的话将容器从火场移至空旷处；</w:t>
            </w:r>
          </w:p>
          <w:p w14:paraId="250E0DED">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④消防废水利用事发企业自身的污水处理站处理或将其送</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当地污水处理厂处理，剩余少量的残液用活性炭、棉纱、吸油毡、沙土等惰性材料对</w:t>
            </w:r>
            <w:r>
              <w:rPr>
                <w:rFonts w:hint="eastAsia" w:ascii="仿宋_GB2312" w:hAnsi="仿宋_GB2312" w:eastAsia="仿宋_GB2312" w:cs="仿宋_GB2312"/>
                <w:color w:val="auto"/>
                <w:sz w:val="32"/>
                <w:szCs w:val="32"/>
                <w:lang w:eastAsia="zh-CN"/>
              </w:rPr>
              <w:t>泄漏</w:t>
            </w:r>
            <w:r>
              <w:rPr>
                <w:rFonts w:hint="eastAsia" w:ascii="仿宋_GB2312" w:hAnsi="仿宋_GB2312" w:eastAsia="仿宋_GB2312" w:cs="仿宋_GB2312"/>
                <w:color w:val="auto"/>
                <w:sz w:val="32"/>
                <w:szCs w:val="32"/>
              </w:rPr>
              <w:t>物料进行吸附，对吸附过程中产生的废活性炭、废棉纱、吸油毡沙土等惰性材料暂存于危废暂存间并委托有资质的机构依法处理处置。</w:t>
            </w:r>
          </w:p>
        </w:tc>
      </w:tr>
      <w:tr w14:paraId="10C1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pct"/>
            <w:vAlign w:val="center"/>
          </w:tcPr>
          <w:p w14:paraId="5EAA152C">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761" w:type="pct"/>
            <w:vAlign w:val="center"/>
          </w:tcPr>
          <w:p w14:paraId="6F9B0261">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天然气</w:t>
            </w:r>
          </w:p>
        </w:tc>
        <w:tc>
          <w:tcPr>
            <w:tcW w:w="3720" w:type="pct"/>
          </w:tcPr>
          <w:p w14:paraId="15F43E92">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迅速撤离泄漏污染区人员至安全区，并进行隔离，严格限制出入。切断火源。建议应急处理人员戴自给正压式呼吸器，穿一般消防防护服。尽可能切断泄漏源。合理通风，加速扩散，禁止泄漏物进入受限制的空间(如下水道等)，以避免发生爆炸。喷雾状水稀释、溶解。构筑围堤或挖坑收容产生的大量废水。如有可能，将漏出气抽排(室内)或强力通风(室外)，加强通风。若是容器装载的天然气泄漏，则该容器要妥善处理，修复、检验后再使用。</w:t>
            </w:r>
          </w:p>
        </w:tc>
      </w:tr>
      <w:tr w14:paraId="45BB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pct"/>
            <w:vAlign w:val="center"/>
          </w:tcPr>
          <w:p w14:paraId="42100257">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p>
        </w:tc>
        <w:tc>
          <w:tcPr>
            <w:tcW w:w="761" w:type="pct"/>
            <w:vAlign w:val="center"/>
          </w:tcPr>
          <w:p w14:paraId="28791153">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甲醇、乙醇、丙酮、甲苯、二甲苯等有机易燃液体</w:t>
            </w:r>
          </w:p>
        </w:tc>
        <w:tc>
          <w:tcPr>
            <w:tcW w:w="3720" w:type="pct"/>
          </w:tcPr>
          <w:p w14:paraId="49448B62">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①迅速撤离泄漏污染区人员至安全区，并进行隔离，严格限制出入。切断火源，应急处理人员戴自给呼吸器，穿消防防护服；</w:t>
            </w:r>
          </w:p>
          <w:p w14:paraId="6780AFA0">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②用泡沫覆盖，降低蒸气灾害，尽可能将容器从火场移至空旷处；③用抗溶性泡沫、干粉、二氧化碳、砂土等灭火器材进行灭火；消防废水利用事发企业自身的污水处理站处理或将其送</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当地污水处理厂处理。</w:t>
            </w:r>
          </w:p>
        </w:tc>
      </w:tr>
    </w:tbl>
    <w:p w14:paraId="5108CEBA">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p>
    <w:p w14:paraId="4314EBE9">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易燃物质火灾、燃烧、爆炸典型事件应急处置卡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165"/>
        <w:gridCol w:w="532"/>
        <w:gridCol w:w="95"/>
        <w:gridCol w:w="612"/>
        <w:gridCol w:w="3311"/>
      </w:tblGrid>
      <w:tr w14:paraId="5228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CBE7985">
            <w:pPr>
              <w:pStyle w:val="42"/>
              <w:rPr>
                <w:rFonts w:hint="default" w:ascii="Times New Roman" w:hAnsi="Times New Roman" w:cs="Times New Roman"/>
                <w:color w:val="auto"/>
                <w:sz w:val="18"/>
                <w:szCs w:val="18"/>
              </w:rPr>
            </w:pPr>
            <w:r>
              <w:rPr>
                <w:rFonts w:hint="default" w:ascii="黑体" w:hAnsi="黑体" w:eastAsia="黑体" w:cs="黑体"/>
                <w:b w:val="0"/>
                <w:bCs w:val="0"/>
                <w:color w:val="auto"/>
                <w:sz w:val="32"/>
                <w:szCs w:val="32"/>
              </w:rPr>
              <w:t>汽油、柴油、溶剂油等油类风险物质泄漏引起火灾爆炸事故</w:t>
            </w:r>
          </w:p>
        </w:tc>
      </w:tr>
      <w:tr w14:paraId="3401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681B4D34">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w:t>
            </w:r>
          </w:p>
          <w:p w14:paraId="3CD71F99">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特征</w:t>
            </w:r>
          </w:p>
        </w:tc>
        <w:tc>
          <w:tcPr>
            <w:tcW w:w="4540" w:type="pct"/>
            <w:gridSpan w:val="5"/>
          </w:tcPr>
          <w:p w14:paraId="67351BF9">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（1）风险物质：汽油、柴油、溶剂油（机油等）等油类物质。</w:t>
            </w:r>
          </w:p>
          <w:p w14:paraId="6EE30E9D">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（2）风险单元：各企业柴油储罐、汽油储罐、溶剂油储罐、汽油桶</w:t>
            </w:r>
            <w:r>
              <w:rPr>
                <w:rFonts w:hint="eastAsia" w:ascii="仿宋_GB2312" w:hAnsi="仿宋_GB2312" w:eastAsia="仿宋_GB2312" w:cs="仿宋_GB2312"/>
                <w:color w:val="auto"/>
                <w:sz w:val="32"/>
                <w:szCs w:val="32"/>
                <w:lang w:eastAsia="zh-CN"/>
              </w:rPr>
              <w:t>，以</w:t>
            </w:r>
            <w:r>
              <w:rPr>
                <w:rFonts w:hint="eastAsia" w:ascii="仿宋_GB2312" w:hAnsi="仿宋_GB2312" w:eastAsia="仿宋_GB2312" w:cs="仿宋_GB2312"/>
                <w:color w:val="auto"/>
                <w:sz w:val="32"/>
                <w:szCs w:val="32"/>
              </w:rPr>
              <w:t>及市政输油管线等。</w:t>
            </w:r>
          </w:p>
          <w:p w14:paraId="5F1CFA6F">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1 \* GB3 \* MERGEFORMAT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①</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高度易燃，蒸气与空气可形成爆炸性混合物，遇明火、高热极易燃烧爆炸，高浓度吸入汽油蒸气引起急性中毒，表现为中毒性脑病，出现精神症状、意识障碍。极高浓度吸入引起意识突然丧失、反射性呼吸停止。误将汽油吸入呼吸道可引起吸入性肺炎；</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2 \* GB3 \* MERGEFORMAT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②</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柴油遇明火、高热或与氧化剂接触，有引起燃烧爆炸的危险；对眼睛、皮肤、粘膜和上呼吸道具有强烈刺激作用。吸入后，可引起喉、支气管的</w:t>
            </w:r>
            <w:r>
              <w:rPr>
                <w:rFonts w:hint="eastAsia" w:ascii="仿宋_GB2312" w:hAnsi="仿宋_GB2312" w:eastAsia="仿宋_GB2312" w:cs="仿宋_GB2312"/>
                <w:color w:val="auto"/>
                <w:sz w:val="32"/>
                <w:szCs w:val="32"/>
                <w:lang w:eastAsia="zh-CN"/>
              </w:rPr>
              <w:t>炎症</w:t>
            </w:r>
            <w:r>
              <w:rPr>
                <w:rFonts w:hint="eastAsia" w:ascii="仿宋_GB2312" w:hAnsi="仿宋_GB2312" w:eastAsia="仿宋_GB2312" w:cs="仿宋_GB2312"/>
                <w:color w:val="auto"/>
                <w:sz w:val="32"/>
                <w:szCs w:val="32"/>
              </w:rPr>
              <w:t>、水肿、痉挛、化学性肺炎或肺水肿。接触后可引起燃灼感、咳嗽、喘息、气短、头痛、恶心和呕吐等。</w:t>
            </w:r>
          </w:p>
        </w:tc>
      </w:tr>
      <w:tr w14:paraId="6E0E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59" w:type="pct"/>
            <w:vAlign w:val="center"/>
          </w:tcPr>
          <w:p w14:paraId="16E3097D">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5EE5507E">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组织</w:t>
            </w:r>
          </w:p>
        </w:tc>
        <w:tc>
          <w:tcPr>
            <w:tcW w:w="4540" w:type="pct"/>
            <w:gridSpan w:val="5"/>
            <w:vAlign w:val="center"/>
          </w:tcPr>
          <w:p w14:paraId="2B8F8F00">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785D3099">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5589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09731084">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3EF309C3">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程序</w:t>
            </w:r>
          </w:p>
        </w:tc>
        <w:tc>
          <w:tcPr>
            <w:tcW w:w="4540" w:type="pct"/>
            <w:gridSpan w:val="5"/>
          </w:tcPr>
          <w:p w14:paraId="1038C059">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（1）事件确认：事发地人民政府应急指挥部收到发生油类风险物质泄漏事故的报告后，值班员向企业核实事件发生地点、事故类型及事故风险物质。</w:t>
            </w:r>
          </w:p>
          <w:p w14:paraId="34882131">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（2）事件确认后，值班员应立即电话报告应急指挥部主要成员，根据现场实际情况和事故的大小及发展态势分级启动应急响应程序，成立现场指挥部指挥应急工作组采取相应的现场处置，</w:t>
            </w:r>
            <w:r>
              <w:rPr>
                <w:rFonts w:hint="eastAsia" w:ascii="仿宋_GB2312" w:hAnsi="仿宋_GB2312" w:eastAsia="仿宋_GB2312" w:cs="仿宋_GB2312"/>
                <w:color w:val="auto"/>
                <w:sz w:val="32"/>
                <w:szCs w:val="32"/>
                <w:lang w:eastAsia="zh-CN"/>
              </w:rPr>
              <w:t>另在</w:t>
            </w:r>
            <w:r>
              <w:rPr>
                <w:rFonts w:hint="eastAsia" w:ascii="仿宋_GB2312" w:hAnsi="仿宋_GB2312" w:eastAsia="仿宋_GB2312" w:cs="仿宋_GB2312"/>
                <w:color w:val="auto"/>
                <w:sz w:val="32"/>
                <w:szCs w:val="32"/>
              </w:rPr>
              <w:t>火灾状态下通知当地的消防部门进行灭火，有需要的联系事发地上层应急指挥部或外部救援力量请求支援。</w:t>
            </w:r>
          </w:p>
        </w:tc>
      </w:tr>
      <w:tr w14:paraId="51DD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459" w:type="pct"/>
            <w:vAlign w:val="center"/>
          </w:tcPr>
          <w:p w14:paraId="097453B5">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03131967">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w:t>
            </w:r>
          </w:p>
        </w:tc>
        <w:tc>
          <w:tcPr>
            <w:tcW w:w="4540" w:type="pct"/>
            <w:gridSpan w:val="5"/>
            <w:vAlign w:val="center"/>
          </w:tcPr>
          <w:p w14:paraId="66DA7629">
            <w:pPr>
              <w:pStyle w:val="41"/>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报告程序：由企业向当地政府应急指挥部/生态环境局报告。</w:t>
            </w:r>
          </w:p>
          <w:p w14:paraId="3752DE6E">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53B3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59" w:type="pct"/>
            <w:vAlign w:val="center"/>
          </w:tcPr>
          <w:p w14:paraId="7D5B9E6F">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540" w:type="pct"/>
            <w:gridSpan w:val="5"/>
          </w:tcPr>
          <w:p w14:paraId="5B28D262">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zh-CN"/>
              </w:rPr>
              <w:t>确认发生油品火灾爆炸事件后，根</w:t>
            </w:r>
            <w:r>
              <w:rPr>
                <w:rFonts w:hint="eastAsia" w:ascii="仿宋_GB2312" w:hAnsi="仿宋_GB2312" w:eastAsia="仿宋_GB2312" w:cs="仿宋_GB2312"/>
                <w:color w:val="auto"/>
                <w:sz w:val="32"/>
                <w:szCs w:val="32"/>
              </w:rPr>
              <w:t>据现场着火的能量、面积、风向等情况</w:t>
            </w:r>
            <w:r>
              <w:rPr>
                <w:rFonts w:hint="eastAsia" w:ascii="仿宋_GB2312" w:hAnsi="仿宋_GB2312" w:eastAsia="仿宋_GB2312" w:cs="仿宋_GB2312"/>
                <w:color w:val="auto"/>
                <w:sz w:val="32"/>
                <w:szCs w:val="32"/>
                <w:lang w:val="zh-CN"/>
              </w:rPr>
              <w:t>设立</w:t>
            </w:r>
            <w:r>
              <w:rPr>
                <w:rFonts w:hint="eastAsia" w:ascii="仿宋_GB2312" w:hAnsi="仿宋_GB2312" w:eastAsia="仿宋_GB2312" w:cs="仿宋_GB2312"/>
                <w:color w:val="auto"/>
                <w:sz w:val="32"/>
                <w:szCs w:val="32"/>
              </w:rPr>
              <w:t>隔离区</w:t>
            </w:r>
            <w:r>
              <w:rPr>
                <w:rFonts w:hint="eastAsia" w:ascii="仿宋_GB2312" w:hAnsi="仿宋_GB2312" w:eastAsia="仿宋_GB2312" w:cs="仿宋_GB2312"/>
                <w:color w:val="auto"/>
                <w:sz w:val="32"/>
                <w:szCs w:val="32"/>
                <w:lang w:val="zh-CN"/>
              </w:rPr>
              <w:t>，</w:t>
            </w:r>
            <w:r>
              <w:rPr>
                <w:rFonts w:hint="eastAsia" w:ascii="仿宋_GB2312" w:hAnsi="仿宋_GB2312" w:eastAsia="仿宋_GB2312" w:cs="仿宋_GB2312"/>
                <w:color w:val="auto"/>
                <w:sz w:val="32"/>
                <w:szCs w:val="32"/>
              </w:rPr>
              <w:t>疏散隔离区内人员并防止无关人员进入事发区域；设置警示标志及警戒线，派专人警戒，除应急处置人员进入外，其他人员禁止进入警戒区。</w:t>
            </w:r>
          </w:p>
          <w:p w14:paraId="21CA1875">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切断火源关闭手机及其它明火，采取相应的堵漏和抢修措施，加强冷却，撤离周围易燃可燃物品等办法控制火势。对油罐着火点附近的可燃物储罐进行冷却，可能的话将容器从火场移至空旷处用企业现有的消防设施进行灭火；对输油管线着火点附近的可燃物进行清理，通知事故点上下游管道阀门关闭。</w:t>
            </w:r>
          </w:p>
          <w:p w14:paraId="3B33EA34">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kern w:val="0"/>
                <w:sz w:val="32"/>
                <w:szCs w:val="32"/>
              </w:rPr>
              <w:t>灭火人员应尽量利用现场现成的掩蔽体或尽量采用卧姿等低姿射水，尽可能地采取自我保护措施。消防车辆不要停靠离爆炸物品太近的水源。</w:t>
            </w:r>
          </w:p>
          <w:p w14:paraId="069CAD28">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（4）将灭火过程中产生的消防废水，利用围堰、应急处理池对消防废水进行储存，将消防废水切入厂区污水处理设施处理达标后外排，如消防废水量过大，不能及时处理，将消防废水送</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当地污水处理厂处理，剩余少量的残液用活性炭、棉纱、吸油毡、沙土等惰性材料对</w:t>
            </w:r>
            <w:r>
              <w:rPr>
                <w:rFonts w:hint="eastAsia" w:ascii="仿宋_GB2312" w:hAnsi="仿宋_GB2312" w:eastAsia="仿宋_GB2312" w:cs="仿宋_GB2312"/>
                <w:color w:val="auto"/>
                <w:sz w:val="32"/>
                <w:szCs w:val="32"/>
                <w:lang w:eastAsia="zh-CN"/>
              </w:rPr>
              <w:t>泄漏</w:t>
            </w:r>
            <w:r>
              <w:rPr>
                <w:rFonts w:hint="eastAsia" w:ascii="仿宋_GB2312" w:hAnsi="仿宋_GB2312" w:eastAsia="仿宋_GB2312" w:cs="仿宋_GB2312"/>
                <w:color w:val="auto"/>
                <w:sz w:val="32"/>
                <w:szCs w:val="32"/>
              </w:rPr>
              <w:t>物料进行吸附，对吸附过程中产生的废活性炭、废棉纱、吸油毡沙土等惰性材料委托有资质的机构依法处理处置。</w:t>
            </w:r>
          </w:p>
          <w:p w14:paraId="441765F4">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（5）如消防废水进入污水管道，应第一时间通知当地污水处理厂，提醒其做好监测及应对工作，确保污水处理厂正常运行，保证污水处理后达标排放。</w:t>
            </w:r>
          </w:p>
        </w:tc>
      </w:tr>
      <w:tr w14:paraId="442F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63CF0B64">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540" w:type="pct"/>
            <w:gridSpan w:val="5"/>
            <w:vAlign w:val="center"/>
          </w:tcPr>
          <w:p w14:paraId="680FE426">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val="zh-CN"/>
              </w:rPr>
              <w:t>托当地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w:t>
            </w:r>
            <w:r>
              <w:rPr>
                <w:rFonts w:hint="eastAsia" w:ascii="仿宋_GB2312" w:hAnsi="仿宋_GB2312" w:eastAsia="仿宋_GB2312" w:cs="仿宋_GB2312"/>
                <w:color w:val="auto"/>
                <w:sz w:val="32"/>
                <w:szCs w:val="32"/>
                <w:lang w:val="zh-CN"/>
              </w:rPr>
              <w:t>进行应急监测。</w:t>
            </w:r>
          </w:p>
          <w:p w14:paraId="5ED9DE6A">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大气监测</w:t>
            </w:r>
            <w:r>
              <w:rPr>
                <w:rFonts w:hint="eastAsia" w:ascii="仿宋_GB2312" w:hAnsi="仿宋_GB2312" w:eastAsia="仿宋_GB2312" w:cs="仿宋_GB2312"/>
                <w:color w:val="auto"/>
                <w:sz w:val="32"/>
                <w:szCs w:val="32"/>
              </w:rPr>
              <w:t>因子：CO、SO</w:t>
            </w:r>
            <w:r>
              <w:rPr>
                <w:rFonts w:hint="eastAsia" w:ascii="仿宋_GB2312" w:hAnsi="仿宋_GB2312" w:eastAsia="仿宋_GB2312" w:cs="仿宋_GB2312"/>
                <w:color w:val="auto"/>
                <w:sz w:val="32"/>
                <w:szCs w:val="32"/>
                <w:vertAlign w:val="subscript"/>
              </w:rPr>
              <w:t>2</w:t>
            </w:r>
            <w:r>
              <w:rPr>
                <w:rFonts w:hint="eastAsia" w:ascii="仿宋_GB2312" w:hAnsi="仿宋_GB2312" w:eastAsia="仿宋_GB2312" w:cs="仿宋_GB2312"/>
                <w:color w:val="auto"/>
                <w:sz w:val="32"/>
                <w:szCs w:val="32"/>
              </w:rPr>
              <w:t>；</w:t>
            </w:r>
          </w:p>
          <w:p w14:paraId="5F59E25A">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大气监测布点：发生油品储罐火灾爆炸点的上、下风向200处</w:t>
            </w:r>
          </w:p>
          <w:p w14:paraId="4A4F2561">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水质监测</w:t>
            </w:r>
            <w:r>
              <w:rPr>
                <w:rFonts w:hint="eastAsia" w:ascii="仿宋_GB2312" w:hAnsi="仿宋_GB2312" w:eastAsia="仿宋_GB2312" w:cs="仿宋_GB2312"/>
                <w:color w:val="auto"/>
                <w:sz w:val="32"/>
                <w:szCs w:val="32"/>
              </w:rPr>
              <w:t>因子：石油类；</w:t>
            </w:r>
          </w:p>
          <w:p w14:paraId="331E5126">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水质</w:t>
            </w:r>
            <w:r>
              <w:rPr>
                <w:rFonts w:hint="eastAsia" w:ascii="仿宋_GB2312" w:hAnsi="仿宋_GB2312" w:eastAsia="仿宋_GB2312" w:cs="仿宋_GB2312"/>
                <w:color w:val="auto"/>
                <w:sz w:val="32"/>
                <w:szCs w:val="32"/>
              </w:rPr>
              <w:t>监测布点：企业雨水入市政管网接口、</w:t>
            </w:r>
            <w:r>
              <w:rPr>
                <w:rFonts w:hint="eastAsia" w:ascii="仿宋_GB2312" w:hAnsi="仿宋_GB2312" w:eastAsia="仿宋_GB2312" w:cs="仿宋_GB2312"/>
                <w:color w:val="auto"/>
                <w:sz w:val="32"/>
                <w:szCs w:val="32"/>
                <w:lang w:val="zh-CN"/>
              </w:rPr>
              <w:t>所属雨水片区入地表水体连接处。</w:t>
            </w:r>
          </w:p>
          <w:p w14:paraId="56BC4CFB">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监测频次：结合实际情况由监测单位确定。</w:t>
            </w:r>
          </w:p>
        </w:tc>
      </w:tr>
      <w:tr w14:paraId="17A7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6F96FE07">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297AB5D5">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物资</w:t>
            </w:r>
          </w:p>
        </w:tc>
        <w:tc>
          <w:tcPr>
            <w:tcW w:w="1863" w:type="pct"/>
            <w:vAlign w:val="center"/>
          </w:tcPr>
          <w:p w14:paraId="0485F2BC">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防火服、挖机、防爆组合工具、空气呼吸器、可燃气体报警器、风向标、堵漏工具、砂土、围油栏、吸油棉、吸油垫、拦油绳</w:t>
            </w:r>
            <w:r>
              <w:rPr>
                <w:rFonts w:hint="eastAsia" w:ascii="仿宋_GB2312" w:hAnsi="仿宋_GB2312" w:eastAsia="仿宋_GB2312" w:cs="仿宋_GB2312"/>
                <w:color w:val="auto"/>
                <w:sz w:val="32"/>
                <w:szCs w:val="32"/>
              </w:rPr>
              <w:t>、撇油器、消油剂等。</w:t>
            </w:r>
          </w:p>
        </w:tc>
        <w:tc>
          <w:tcPr>
            <w:tcW w:w="369" w:type="pct"/>
            <w:gridSpan w:val="2"/>
            <w:vAlign w:val="center"/>
          </w:tcPr>
          <w:p w14:paraId="03E681BC">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获取地点</w:t>
            </w:r>
          </w:p>
        </w:tc>
        <w:tc>
          <w:tcPr>
            <w:tcW w:w="2308" w:type="pct"/>
            <w:gridSpan w:val="2"/>
            <w:vAlign w:val="center"/>
          </w:tcPr>
          <w:p w14:paraId="196ECCEC">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r w14:paraId="3D7E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3492900">
            <w:pPr>
              <w:pStyle w:val="42"/>
              <w:rPr>
                <w:rFonts w:hint="default" w:ascii="Times New Roman" w:hAnsi="Times New Roman" w:cs="Times New Roman"/>
                <w:color w:val="auto"/>
                <w:sz w:val="18"/>
                <w:szCs w:val="18"/>
              </w:rPr>
            </w:pPr>
            <w:r>
              <w:rPr>
                <w:rFonts w:hint="default" w:ascii="黑体" w:hAnsi="黑体" w:eastAsia="黑体" w:cs="黑体"/>
                <w:b w:val="0"/>
                <w:bCs w:val="0"/>
                <w:color w:val="auto"/>
                <w:sz w:val="32"/>
                <w:szCs w:val="32"/>
              </w:rPr>
              <w:t>天然气泄漏及火灾爆炸事故</w:t>
            </w:r>
          </w:p>
        </w:tc>
      </w:tr>
      <w:tr w14:paraId="1367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72C05741">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事故特征</w:t>
            </w:r>
          </w:p>
        </w:tc>
        <w:tc>
          <w:tcPr>
            <w:tcW w:w="4540" w:type="pct"/>
            <w:gridSpan w:val="5"/>
          </w:tcPr>
          <w:p w14:paraId="6ACD935F">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（1）风险物质：天然气。</w:t>
            </w:r>
          </w:p>
          <w:p w14:paraId="760DF2F7">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（2）风险单元：天然气分输站及天然气管道。</w:t>
            </w:r>
          </w:p>
          <w:p w14:paraId="20891668">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（3）风险特征：天然气扩散影响外环境，发生泄漏遇明火、高热能引起燃烧爆炸，燃烧爆炸会产生燃烧废气，燃烧的废气主要为CO、CO</w:t>
            </w:r>
            <w:r>
              <w:rPr>
                <w:rFonts w:hint="eastAsia" w:ascii="仿宋_GB2312" w:hAnsi="仿宋_GB2312" w:eastAsia="仿宋_GB2312" w:cs="仿宋_GB2312"/>
                <w:color w:val="auto"/>
                <w:sz w:val="32"/>
                <w:szCs w:val="32"/>
                <w:vertAlign w:val="subscript"/>
              </w:rPr>
              <w:t>2</w:t>
            </w:r>
            <w:r>
              <w:rPr>
                <w:rFonts w:hint="eastAsia" w:ascii="仿宋_GB2312" w:hAnsi="仿宋_GB2312" w:eastAsia="仿宋_GB2312" w:cs="仿宋_GB2312"/>
                <w:color w:val="auto"/>
                <w:sz w:val="32"/>
                <w:szCs w:val="32"/>
              </w:rPr>
              <w:t>等。</w:t>
            </w:r>
          </w:p>
        </w:tc>
      </w:tr>
      <w:tr w14:paraId="6F4E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59" w:type="pct"/>
            <w:vAlign w:val="center"/>
          </w:tcPr>
          <w:p w14:paraId="75B43C79">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540" w:type="pct"/>
            <w:gridSpan w:val="5"/>
            <w:vAlign w:val="center"/>
          </w:tcPr>
          <w:p w14:paraId="5D89ABA5">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3B86606E">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3EC5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pct"/>
            <w:vAlign w:val="center"/>
          </w:tcPr>
          <w:p w14:paraId="3D48C67B">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应急程序</w:t>
            </w:r>
          </w:p>
        </w:tc>
        <w:tc>
          <w:tcPr>
            <w:tcW w:w="4540" w:type="pct"/>
            <w:gridSpan w:val="5"/>
          </w:tcPr>
          <w:p w14:paraId="0B3981F5">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（1）事件确认：事发地人民政府应急指挥部收到天然气泄漏、火灾爆炸事故的报告后，值班员向报告人核实事件发生地点、事故发生原因。</w:t>
            </w:r>
          </w:p>
          <w:p w14:paraId="06F08C4B">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（2）事件确认后，值班员应立即电话报告应急指挥部主要成员，根据现场实际情况和事故的大小及发展态势分级启动应急响应程序，采取相应的现场处置措施，</w:t>
            </w:r>
            <w:r>
              <w:rPr>
                <w:rFonts w:hint="eastAsia" w:ascii="仿宋_GB2312" w:hAnsi="仿宋_GB2312" w:eastAsia="仿宋_GB2312" w:cs="仿宋_GB2312"/>
                <w:color w:val="auto"/>
                <w:sz w:val="32"/>
                <w:szCs w:val="32"/>
                <w:lang w:eastAsia="zh-CN"/>
              </w:rPr>
              <w:t>另在</w:t>
            </w:r>
            <w:r>
              <w:rPr>
                <w:rFonts w:hint="eastAsia" w:ascii="仿宋_GB2312" w:hAnsi="仿宋_GB2312" w:eastAsia="仿宋_GB2312" w:cs="仿宋_GB2312"/>
                <w:color w:val="auto"/>
                <w:sz w:val="32"/>
                <w:szCs w:val="32"/>
              </w:rPr>
              <w:t>火灾状态下通知当地的消防部门进行灭火，有需要的联系事发地上层应急指挥部或外部救援力量请求支援。</w:t>
            </w:r>
          </w:p>
        </w:tc>
      </w:tr>
      <w:tr w14:paraId="569D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459" w:type="pct"/>
            <w:vAlign w:val="center"/>
          </w:tcPr>
          <w:p w14:paraId="4A1F9202">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540" w:type="pct"/>
            <w:gridSpan w:val="5"/>
            <w:vAlign w:val="center"/>
          </w:tcPr>
          <w:p w14:paraId="22AC75C1">
            <w:pPr>
              <w:pStyle w:val="41"/>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报告程序：由企业向当地政府应急指挥部/生态环境局报告。</w:t>
            </w:r>
          </w:p>
          <w:p w14:paraId="5C8316ED">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31AC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59" w:type="pct"/>
            <w:vAlign w:val="center"/>
          </w:tcPr>
          <w:p w14:paraId="1BE988A5">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540" w:type="pct"/>
            <w:gridSpan w:val="5"/>
          </w:tcPr>
          <w:p w14:paraId="20D70ABC">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管道</w:t>
            </w:r>
            <w:r>
              <w:rPr>
                <w:rFonts w:hint="eastAsia" w:ascii="仿宋_GB2312" w:hAnsi="仿宋_GB2312" w:eastAsia="仿宋_GB2312" w:cs="仿宋_GB2312"/>
                <w:color w:val="auto"/>
                <w:sz w:val="32"/>
                <w:szCs w:val="32"/>
                <w:lang w:eastAsia="zh-CN"/>
              </w:rPr>
              <w:t>泄漏</w:t>
            </w:r>
            <w:r>
              <w:rPr>
                <w:rFonts w:hint="eastAsia" w:ascii="仿宋_GB2312" w:hAnsi="仿宋_GB2312" w:eastAsia="仿宋_GB2312" w:cs="仿宋_GB2312"/>
                <w:color w:val="auto"/>
                <w:sz w:val="32"/>
                <w:szCs w:val="32"/>
              </w:rPr>
              <w:t>，未发生火灾爆炸时：</w:t>
            </w:r>
          </w:p>
          <w:p w14:paraId="5FF37E4D">
            <w:pPr>
              <w:pStyle w:val="42"/>
              <w:keepNext w:val="0"/>
              <w:keepLines w:val="0"/>
              <w:pageBreakBefore w:val="0"/>
              <w:widowControl/>
              <w:numPr>
                <w:ilvl w:val="0"/>
                <w:numId w:val="2"/>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通知事故点负责人，启动放空，切断泄漏源；</w:t>
            </w:r>
          </w:p>
          <w:p w14:paraId="1DA52158">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（2）管道泄漏处20m范围设置警示标志及警戒线，派专人警戒，除应急处置人员进入外，其他人员禁止进入警戒区；下风向300m范围其他人员需撤离。</w:t>
            </w:r>
          </w:p>
          <w:p w14:paraId="592B94F8">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（3）疏散下风向附近居民，并通知停用一切明火。</w:t>
            </w:r>
          </w:p>
          <w:p w14:paraId="39DB60B0">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（4）迅速组织事故点专业力量对管线进行封堵、抢修作业。</w:t>
            </w:r>
          </w:p>
          <w:p w14:paraId="7D698414">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（5）应急人员要穿戴好防火服，使用防爆工具，做好个人防护。</w:t>
            </w:r>
          </w:p>
          <w:p w14:paraId="51E287FE">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天然气泄漏并着火：</w:t>
            </w:r>
          </w:p>
          <w:p w14:paraId="54DD6897">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（1）确认发生燃气管网火灾爆炸事件后</w:t>
            </w:r>
            <w:r>
              <w:rPr>
                <w:rFonts w:hint="eastAsia" w:ascii="仿宋_GB2312" w:hAnsi="仿宋_GB2312" w:eastAsia="仿宋_GB2312" w:cs="仿宋_GB2312"/>
                <w:color w:val="auto"/>
                <w:sz w:val="32"/>
                <w:szCs w:val="32"/>
                <w:lang w:eastAsia="zh-CN"/>
              </w:rPr>
              <w:t>，根</w:t>
            </w:r>
            <w:r>
              <w:rPr>
                <w:rFonts w:hint="eastAsia" w:ascii="仿宋_GB2312" w:hAnsi="仿宋_GB2312" w:eastAsia="仿宋_GB2312" w:cs="仿宋_GB2312"/>
                <w:color w:val="auto"/>
                <w:sz w:val="32"/>
                <w:szCs w:val="32"/>
              </w:rPr>
              <w:t>据现场着火的能量、面积、风向等情况设立隔离区，疏散隔离区内人员并防止无关人员进入事发区域；</w:t>
            </w:r>
          </w:p>
          <w:p w14:paraId="382EE44D">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（2）切断火源、气源，通知事故点上下游管道阀门关闭；</w:t>
            </w:r>
          </w:p>
          <w:p w14:paraId="5C8A8D1F">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现场应急指挥人员通知各应急工作组快速集结投入灭火行动，就近请求调动消防力量用抗溶性泡沫、二氧化碳等灭火器材进行灭火。救援人员应佩戴正压式呼吸器开展应急灭火行动。若事故现场继续蔓延扩大，按应急指挥人员要求，请求上级应急指挥部调配专业消防队等社会专业应急救援队伍支援。</w:t>
            </w:r>
          </w:p>
          <w:p w14:paraId="34619DD2">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（4）由于天然气管道不能用水灭火，因此不会有消防废水产生。</w:t>
            </w:r>
          </w:p>
        </w:tc>
      </w:tr>
      <w:tr w14:paraId="5A49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457EA75A">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540" w:type="pct"/>
            <w:gridSpan w:val="5"/>
            <w:vAlign w:val="center"/>
          </w:tcPr>
          <w:p w14:paraId="54E47A19">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val="zh-CN"/>
              </w:rPr>
              <w:t>托当地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w:t>
            </w:r>
            <w:r>
              <w:rPr>
                <w:rFonts w:hint="eastAsia" w:ascii="仿宋_GB2312" w:hAnsi="仿宋_GB2312" w:eastAsia="仿宋_GB2312" w:cs="仿宋_GB2312"/>
                <w:color w:val="auto"/>
                <w:sz w:val="32"/>
                <w:szCs w:val="32"/>
                <w:lang w:val="zh-CN"/>
              </w:rPr>
              <w:t>进行应急监测。</w:t>
            </w:r>
          </w:p>
          <w:p w14:paraId="566398CE">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大气监测因</w:t>
            </w:r>
            <w:r>
              <w:rPr>
                <w:rFonts w:hint="eastAsia" w:ascii="仿宋_GB2312" w:hAnsi="仿宋_GB2312" w:eastAsia="仿宋_GB2312" w:cs="仿宋_GB2312"/>
                <w:color w:val="auto"/>
                <w:sz w:val="32"/>
                <w:szCs w:val="32"/>
                <w:lang w:val="zh-CN"/>
              </w:rPr>
              <w:t>子：甲烷，发生火灾则加测CO。</w:t>
            </w:r>
          </w:p>
          <w:p w14:paraId="45ED9DB1">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布点：以事故地点为中心，在主导风向下风向影响区域等位置设置监测点位，按50m~100m水平间隔布点采样；距事故发生地最近的居民住宅区或其他敏感区域也应布点采样；并在上风向设对照点。必要时可视情况增加点位数量。且采样过程中应注意风向的变化，及时调整采样点位置。</w:t>
            </w:r>
          </w:p>
          <w:p w14:paraId="444FE29A">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监测频次：</w:t>
            </w:r>
            <w:r>
              <w:rPr>
                <w:rFonts w:hint="eastAsia" w:ascii="仿宋_GB2312" w:hAnsi="仿宋_GB2312" w:eastAsia="仿宋_GB2312" w:cs="仿宋_GB2312"/>
                <w:color w:val="auto"/>
                <w:sz w:val="32"/>
                <w:szCs w:val="32"/>
              </w:rPr>
              <w:t>结合实际情况由监测单位确定</w:t>
            </w:r>
            <w:r>
              <w:rPr>
                <w:rFonts w:hint="eastAsia" w:ascii="仿宋_GB2312" w:hAnsi="仿宋_GB2312" w:eastAsia="仿宋_GB2312" w:cs="仿宋_GB2312"/>
                <w:color w:val="auto"/>
                <w:sz w:val="32"/>
                <w:szCs w:val="32"/>
                <w:lang w:val="zh-CN"/>
              </w:rPr>
              <w:t>。</w:t>
            </w:r>
          </w:p>
        </w:tc>
      </w:tr>
      <w:tr w14:paraId="718B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39542D7C">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应急防护</w:t>
            </w:r>
          </w:p>
        </w:tc>
        <w:tc>
          <w:tcPr>
            <w:tcW w:w="4540" w:type="pct"/>
            <w:gridSpan w:val="5"/>
          </w:tcPr>
          <w:p w14:paraId="15109FAD">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（1）实施堵漏人员必须经过专门训练，并配备专门的堵漏器材和工具，作业时必须严格执行防火、防静电、防中毒等安全技术要求。</w:t>
            </w:r>
          </w:p>
          <w:p w14:paraId="04C2E774">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（2）佩戴防毒面具。空气呼吸器、穿全密封阻燃防化服。</w:t>
            </w:r>
          </w:p>
          <w:p w14:paraId="50EF8E6B">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（3）根据现场情况确定堵漏方案、如现场情况变化，应重新制定方案，不得随意蛮干。</w:t>
            </w:r>
          </w:p>
          <w:p w14:paraId="48E1C874">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（4）事故救援应以人员安全为首要任务，在必要的情况下，应迅速撤离事故现场。</w:t>
            </w:r>
          </w:p>
        </w:tc>
      </w:tr>
      <w:tr w14:paraId="3303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459" w:type="pct"/>
            <w:vAlign w:val="center"/>
          </w:tcPr>
          <w:p w14:paraId="64302AB4">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应急物资</w:t>
            </w:r>
          </w:p>
        </w:tc>
        <w:tc>
          <w:tcPr>
            <w:tcW w:w="1863" w:type="pct"/>
            <w:vAlign w:val="center"/>
          </w:tcPr>
          <w:p w14:paraId="10DBE81A">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可燃气体检测仪、泡沫</w:t>
            </w:r>
            <w:r>
              <w:rPr>
                <w:rFonts w:hint="eastAsia" w:ascii="仿宋_GB2312" w:hAnsi="仿宋_GB2312" w:eastAsia="仿宋_GB2312" w:cs="仿宋_GB2312"/>
                <w:color w:val="auto"/>
                <w:sz w:val="32"/>
                <w:szCs w:val="32"/>
                <w:lang w:val="zh-CN"/>
              </w:rPr>
              <w:t>、二氧化碳灭火器、正压式呼吸器、</w:t>
            </w:r>
            <w:r>
              <w:rPr>
                <w:rFonts w:hint="eastAsia" w:ascii="仿宋_GB2312" w:hAnsi="仿宋_GB2312" w:eastAsia="仿宋_GB2312" w:cs="仿宋_GB2312"/>
                <w:color w:val="auto"/>
                <w:sz w:val="32"/>
                <w:szCs w:val="32"/>
              </w:rPr>
              <w:t>警戒线</w:t>
            </w:r>
            <w:r>
              <w:rPr>
                <w:rFonts w:hint="eastAsia" w:ascii="仿宋_GB2312" w:hAnsi="仿宋_GB2312" w:eastAsia="仿宋_GB2312" w:cs="仿宋_GB2312"/>
                <w:color w:val="auto"/>
                <w:sz w:val="32"/>
                <w:szCs w:val="32"/>
                <w:lang w:val="zh-CN"/>
              </w:rPr>
              <w:t>等</w:t>
            </w:r>
          </w:p>
        </w:tc>
        <w:tc>
          <w:tcPr>
            <w:tcW w:w="369" w:type="pct"/>
            <w:gridSpan w:val="2"/>
            <w:vAlign w:val="center"/>
          </w:tcPr>
          <w:p w14:paraId="7AEE6C91">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获取地点</w:t>
            </w:r>
          </w:p>
        </w:tc>
        <w:tc>
          <w:tcPr>
            <w:tcW w:w="2308" w:type="pct"/>
            <w:gridSpan w:val="2"/>
            <w:vAlign w:val="center"/>
          </w:tcPr>
          <w:p w14:paraId="44E71C55">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r w14:paraId="34F6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vAlign w:val="center"/>
          </w:tcPr>
          <w:p w14:paraId="67E02E11">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黑体" w:hAnsi="黑体" w:eastAsia="黑体" w:cs="黑体"/>
                <w:b w:val="0"/>
                <w:bCs w:val="0"/>
                <w:color w:val="auto"/>
                <w:sz w:val="32"/>
                <w:szCs w:val="32"/>
                <w:lang w:val="zh-CN"/>
              </w:rPr>
            </w:pPr>
            <w:r>
              <w:rPr>
                <w:rFonts w:hint="eastAsia" w:ascii="黑体" w:hAnsi="黑体" w:eastAsia="黑体" w:cs="黑体"/>
                <w:b w:val="0"/>
                <w:bCs w:val="0"/>
                <w:color w:val="auto"/>
                <w:sz w:val="32"/>
                <w:szCs w:val="32"/>
                <w:lang w:val="zh-CN"/>
              </w:rPr>
              <w:t>甲醇、乙醇、</w:t>
            </w:r>
            <w:r>
              <w:rPr>
                <w:rFonts w:hint="eastAsia" w:ascii="黑体" w:hAnsi="黑体" w:eastAsia="黑体" w:cs="黑体"/>
                <w:b w:val="0"/>
                <w:bCs w:val="0"/>
                <w:color w:val="auto"/>
                <w:sz w:val="32"/>
                <w:szCs w:val="32"/>
              </w:rPr>
              <w:t>甲苯、二甲苯、丙酮</w:t>
            </w:r>
            <w:r>
              <w:rPr>
                <w:rFonts w:hint="eastAsia" w:ascii="黑体" w:hAnsi="黑体" w:eastAsia="黑体" w:cs="黑体"/>
                <w:b w:val="0"/>
                <w:bCs w:val="0"/>
                <w:color w:val="auto"/>
                <w:sz w:val="32"/>
                <w:szCs w:val="32"/>
                <w:lang w:val="zh-CN"/>
              </w:rPr>
              <w:t>等有机易燃液体</w:t>
            </w:r>
          </w:p>
          <w:p w14:paraId="7D8FF7E3">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default" w:ascii="Times New Roman" w:hAnsi="Times New Roman" w:cs="Times New Roman"/>
                <w:color w:val="auto"/>
                <w:sz w:val="18"/>
                <w:szCs w:val="18"/>
                <w:lang w:val="zh-CN"/>
              </w:rPr>
            </w:pPr>
            <w:r>
              <w:rPr>
                <w:rFonts w:hint="eastAsia" w:ascii="黑体" w:hAnsi="黑体" w:eastAsia="黑体" w:cs="黑体"/>
                <w:b w:val="0"/>
                <w:bCs w:val="0"/>
                <w:color w:val="auto"/>
                <w:sz w:val="32"/>
                <w:szCs w:val="32"/>
                <w:lang w:val="zh-CN"/>
              </w:rPr>
              <w:t>风险物质泄漏引起火灾爆炸事故</w:t>
            </w:r>
          </w:p>
        </w:tc>
      </w:tr>
      <w:tr w14:paraId="7C98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459" w:type="pct"/>
            <w:vAlign w:val="center"/>
          </w:tcPr>
          <w:p w14:paraId="6E565E81">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事故特征</w:t>
            </w:r>
          </w:p>
        </w:tc>
        <w:tc>
          <w:tcPr>
            <w:tcW w:w="4540" w:type="pct"/>
            <w:gridSpan w:val="5"/>
            <w:vAlign w:val="center"/>
          </w:tcPr>
          <w:p w14:paraId="61191DB4">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（1）风险物质：甲醇、乙醇、油漆等有机易燃液体</w:t>
            </w:r>
          </w:p>
          <w:p w14:paraId="1907070D">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（2）风险单元：企业甲醇储罐、乙醇储罐、油漆桶等</w:t>
            </w:r>
          </w:p>
          <w:p w14:paraId="044CF343">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（3）风险特征：易燃，蒸气可与空气形成爆炸性混合物，遇明火、高热能引起燃烧爆炸。</w:t>
            </w:r>
          </w:p>
        </w:tc>
      </w:tr>
      <w:tr w14:paraId="5F04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459" w:type="pct"/>
            <w:vAlign w:val="center"/>
          </w:tcPr>
          <w:p w14:paraId="0E9AFF45">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540" w:type="pct"/>
            <w:gridSpan w:val="5"/>
            <w:vAlign w:val="center"/>
          </w:tcPr>
          <w:p w14:paraId="1E1A6514">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5ECD2950">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1662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5" w:hRule="atLeast"/>
          <w:jc w:val="center"/>
        </w:trPr>
        <w:tc>
          <w:tcPr>
            <w:tcW w:w="459" w:type="pct"/>
            <w:vAlign w:val="center"/>
          </w:tcPr>
          <w:p w14:paraId="69ACCED7">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应急程序</w:t>
            </w:r>
          </w:p>
        </w:tc>
        <w:tc>
          <w:tcPr>
            <w:tcW w:w="4540" w:type="pct"/>
            <w:gridSpan w:val="5"/>
            <w:vAlign w:val="center"/>
          </w:tcPr>
          <w:p w14:paraId="081921EA">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（1）事件确认：事发地人民政府应急指挥部收到发生甲醇、乙醇、油漆等易燃物质泄漏引起火灾爆炸事故的报告后，值班员向企业核实事件发生地点、事故类型及事故风险物质。</w:t>
            </w:r>
          </w:p>
          <w:p w14:paraId="5176A5AD">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（2）事件确认后，值班员应立即电话报告应急指挥部主要成员，根据现场实际情况和事故的大小及发展态势分级启动应急响应程序，采取相应的现场处置措施，</w:t>
            </w:r>
            <w:r>
              <w:rPr>
                <w:rFonts w:hint="eastAsia" w:ascii="仿宋_GB2312" w:hAnsi="仿宋_GB2312" w:eastAsia="仿宋_GB2312" w:cs="仿宋_GB2312"/>
                <w:color w:val="auto"/>
                <w:sz w:val="32"/>
                <w:szCs w:val="32"/>
                <w:lang w:eastAsia="zh-CN"/>
              </w:rPr>
              <w:t>另在</w:t>
            </w:r>
            <w:r>
              <w:rPr>
                <w:rFonts w:hint="eastAsia" w:ascii="仿宋_GB2312" w:hAnsi="仿宋_GB2312" w:eastAsia="仿宋_GB2312" w:cs="仿宋_GB2312"/>
                <w:color w:val="auto"/>
                <w:sz w:val="32"/>
                <w:szCs w:val="32"/>
              </w:rPr>
              <w:t>火灾状态下通知当地的消防部门进行灭火，有需要的联系事发地上层应急指挥部或外部救援力量请求支援。</w:t>
            </w:r>
          </w:p>
        </w:tc>
      </w:tr>
      <w:tr w14:paraId="6C20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459" w:type="pct"/>
            <w:vAlign w:val="center"/>
          </w:tcPr>
          <w:p w14:paraId="2C555B91">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540" w:type="pct"/>
            <w:gridSpan w:val="5"/>
            <w:vAlign w:val="center"/>
          </w:tcPr>
          <w:p w14:paraId="648E23F7">
            <w:pPr>
              <w:pStyle w:val="41"/>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报告程序：由企业向当地政府应急指挥部/生态环境局报告。</w:t>
            </w:r>
          </w:p>
          <w:p w14:paraId="79FCA478">
            <w:pPr>
              <w:pStyle w:val="42"/>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091A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8" w:hRule="atLeast"/>
          <w:jc w:val="center"/>
        </w:trPr>
        <w:tc>
          <w:tcPr>
            <w:tcW w:w="459" w:type="pct"/>
            <w:vAlign w:val="center"/>
          </w:tcPr>
          <w:p w14:paraId="78EE772E">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540" w:type="pct"/>
            <w:gridSpan w:val="5"/>
          </w:tcPr>
          <w:p w14:paraId="448265DD">
            <w:pPr>
              <w:pStyle w:val="42"/>
              <w:keepNext w:val="0"/>
              <w:keepLines w:val="0"/>
              <w:pageBreakBefore w:val="0"/>
              <w:widowControl/>
              <w:numPr>
                <w:ilvl w:val="0"/>
                <w:numId w:val="3"/>
              </w:numPr>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确认发生甲醇、乙醇、</w:t>
            </w:r>
            <w:r>
              <w:rPr>
                <w:rFonts w:hint="eastAsia" w:ascii="仿宋_GB2312" w:hAnsi="仿宋_GB2312" w:eastAsia="仿宋_GB2312" w:cs="仿宋_GB2312"/>
                <w:color w:val="auto"/>
                <w:sz w:val="32"/>
                <w:szCs w:val="32"/>
              </w:rPr>
              <w:t>油漆</w:t>
            </w:r>
            <w:r>
              <w:rPr>
                <w:rFonts w:hint="eastAsia" w:ascii="仿宋_GB2312" w:hAnsi="仿宋_GB2312" w:eastAsia="仿宋_GB2312" w:cs="仿宋_GB2312"/>
                <w:color w:val="auto"/>
                <w:sz w:val="32"/>
                <w:szCs w:val="32"/>
                <w:lang w:val="zh-CN"/>
              </w:rPr>
              <w:t>等有机易燃液体火灾爆炸事件后，在事发点附近区域设立警戒区，</w:t>
            </w:r>
            <w:r>
              <w:rPr>
                <w:rFonts w:hint="eastAsia" w:ascii="仿宋_GB2312" w:hAnsi="仿宋_GB2312" w:eastAsia="仿宋_GB2312" w:cs="仿宋_GB2312"/>
                <w:color w:val="auto"/>
                <w:sz w:val="32"/>
                <w:szCs w:val="32"/>
              </w:rPr>
              <w:t>迅速撤离泄漏污染区人员至安全区，</w:t>
            </w:r>
            <w:r>
              <w:rPr>
                <w:rFonts w:hint="eastAsia" w:ascii="仿宋_GB2312" w:hAnsi="仿宋_GB2312" w:eastAsia="仿宋_GB2312" w:cs="仿宋_GB2312"/>
                <w:color w:val="auto"/>
                <w:sz w:val="32"/>
                <w:szCs w:val="32"/>
                <w:lang w:val="zh-CN"/>
              </w:rPr>
              <w:t>防止无关人员进入事发区域。</w:t>
            </w:r>
          </w:p>
          <w:p w14:paraId="29A9705B">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（2）现场指挥人员通知各应急工作组快速集结投入灭火行动，若事故现场继续蔓延扩大，按应急指挥人员要求，</w:t>
            </w:r>
            <w:r>
              <w:rPr>
                <w:rFonts w:hint="eastAsia" w:ascii="仿宋_GB2312" w:hAnsi="仿宋_GB2312" w:eastAsia="仿宋_GB2312" w:cs="仿宋_GB2312"/>
                <w:color w:val="auto"/>
                <w:sz w:val="32"/>
                <w:szCs w:val="32"/>
              </w:rPr>
              <w:t>请求上级应急指挥部调配专业消防队等社会专业应急救援队支援。</w:t>
            </w:r>
          </w:p>
          <w:p w14:paraId="6903175B">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3）消防队和社会专业应急救援队伍及时到达时，根据消防队和社会专业应急救援队伍专业人员的指示和安排，配合开展灭火或污染防治行动；救援人员应佩戴正压式呼吸器、隔绝式空气面罩开展应急灭火行动：</w:t>
            </w:r>
          </w:p>
          <w:p w14:paraId="396B8F37">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①灭火：采用抗溶性泡沫、干粉、二氧化碳、砂土进行灭火，在没有风险情况下，应将容器转移出火灾现场。</w:t>
            </w:r>
          </w:p>
          <w:p w14:paraId="45E0A790">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②消防废水的处置处理：对消防废水进行拦截、引流处置。将消防废水引入消防废水收集池、事故池，待事后抽走处置，若厂区没有设置消防废水收集池，在其排出厂区前设置拦截、引流设施处置，待事后</w:t>
            </w:r>
            <w:r>
              <w:rPr>
                <w:rFonts w:hint="eastAsia" w:ascii="仿宋_GB2312" w:hAnsi="仿宋_GB2312" w:eastAsia="仿宋_GB2312" w:cs="仿宋_GB2312"/>
                <w:color w:val="auto"/>
                <w:sz w:val="32"/>
                <w:szCs w:val="32"/>
              </w:rPr>
              <w:t>用槽罐车将消防废水送</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当地污水处理厂处理。</w:t>
            </w:r>
          </w:p>
          <w:p w14:paraId="108FC697">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（4）消防废水进入污水管道，应第一时间通知当地污水处理厂，提醒其做好监测及应对工作，确保污水处理厂正常运行，保证污水处理后达标排放。</w:t>
            </w:r>
          </w:p>
        </w:tc>
      </w:tr>
      <w:tr w14:paraId="43D6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459" w:type="pct"/>
            <w:vAlign w:val="center"/>
          </w:tcPr>
          <w:p w14:paraId="517368FC">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540" w:type="pct"/>
            <w:gridSpan w:val="5"/>
            <w:vAlign w:val="center"/>
          </w:tcPr>
          <w:p w14:paraId="2620C27D">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val="zh-CN"/>
              </w:rPr>
              <w:t>托当地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w:t>
            </w:r>
            <w:r>
              <w:rPr>
                <w:rFonts w:hint="eastAsia" w:ascii="仿宋_GB2312" w:hAnsi="仿宋_GB2312" w:eastAsia="仿宋_GB2312" w:cs="仿宋_GB2312"/>
                <w:color w:val="auto"/>
                <w:sz w:val="32"/>
                <w:szCs w:val="32"/>
                <w:lang w:val="zh-CN"/>
              </w:rPr>
              <w:t>进行应急监测。</w:t>
            </w:r>
          </w:p>
          <w:p w14:paraId="4D8BF0D8">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水质监测布点：企业雨水入市政管网接口、所属雨水片区入地表水体连接处。</w:t>
            </w:r>
          </w:p>
          <w:p w14:paraId="5863CB7E">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监测因子：甲醇、乙醇、CO、甲苯、二甲苯、苯乙烯、丙烯酸等。</w:t>
            </w:r>
          </w:p>
          <w:p w14:paraId="0DD903A4">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监测频次：</w:t>
            </w:r>
            <w:r>
              <w:rPr>
                <w:rFonts w:hint="eastAsia" w:ascii="仿宋_GB2312" w:hAnsi="仿宋_GB2312" w:eastAsia="仿宋_GB2312" w:cs="仿宋_GB2312"/>
                <w:color w:val="auto"/>
                <w:sz w:val="32"/>
                <w:szCs w:val="32"/>
              </w:rPr>
              <w:t>结合实际情况由监测单位确定</w:t>
            </w:r>
            <w:r>
              <w:rPr>
                <w:rFonts w:hint="eastAsia" w:ascii="仿宋_GB2312" w:hAnsi="仿宋_GB2312" w:eastAsia="仿宋_GB2312" w:cs="仿宋_GB2312"/>
                <w:color w:val="auto"/>
                <w:sz w:val="32"/>
                <w:szCs w:val="32"/>
                <w:lang w:val="zh-CN"/>
              </w:rPr>
              <w:t>。</w:t>
            </w:r>
          </w:p>
        </w:tc>
      </w:tr>
      <w:tr w14:paraId="534C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459" w:type="pct"/>
            <w:vAlign w:val="center"/>
          </w:tcPr>
          <w:p w14:paraId="443A7CE6">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1CAFF276">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物资</w:t>
            </w:r>
          </w:p>
        </w:tc>
        <w:tc>
          <w:tcPr>
            <w:tcW w:w="2176" w:type="pct"/>
            <w:gridSpan w:val="2"/>
            <w:vAlign w:val="center"/>
          </w:tcPr>
          <w:p w14:paraId="25D82EA7">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可燃气体报警器、堵漏工具、活性炭、呼吸器、防化服等</w:t>
            </w:r>
          </w:p>
        </w:tc>
        <w:tc>
          <w:tcPr>
            <w:tcW w:w="416" w:type="pct"/>
            <w:gridSpan w:val="2"/>
            <w:vAlign w:val="center"/>
          </w:tcPr>
          <w:p w14:paraId="3939D206">
            <w:pPr>
              <w:pStyle w:val="42"/>
              <w:keepNext w:val="0"/>
              <w:keepLines w:val="0"/>
              <w:pageBreakBefore w:val="0"/>
              <w:widowControl/>
              <w:kinsoku/>
              <w:wordWrap/>
              <w:overflowPunct/>
              <w:topLinePunct w:val="0"/>
              <w:autoSpaceDE/>
              <w:autoSpaceDN/>
              <w:bidi w:val="0"/>
              <w:adjustRightInd/>
              <w:snapToGrid/>
              <w:spacing w:line="380" w:lineRule="exac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获取地点</w:t>
            </w:r>
          </w:p>
        </w:tc>
        <w:tc>
          <w:tcPr>
            <w:tcW w:w="1947" w:type="pct"/>
            <w:vAlign w:val="center"/>
          </w:tcPr>
          <w:p w14:paraId="4033FFE5">
            <w:pPr>
              <w:pStyle w:val="42"/>
              <w:keepNext w:val="0"/>
              <w:keepLines w:val="0"/>
              <w:pageBreakBefore w:val="0"/>
              <w:widowControl/>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bl>
    <w:p w14:paraId="393303AB">
      <w:pPr>
        <w:ind w:firstLine="480"/>
        <w:rPr>
          <w:rFonts w:hint="default" w:ascii="Times New Roman" w:hAnsi="Times New Roman" w:cs="Times New Roman"/>
          <w:color w:val="auto"/>
        </w:rPr>
        <w:sectPr>
          <w:pgSz w:w="11906" w:h="16838"/>
          <w:pgMar w:top="1440" w:right="1814" w:bottom="1440" w:left="1814" w:header="850" w:footer="850" w:gutter="0"/>
          <w:pgNumType w:fmt="decimal"/>
          <w:cols w:space="720" w:num="1"/>
          <w:docGrid w:type="lines" w:linePitch="312" w:charSpace="0"/>
        </w:sectPr>
      </w:pPr>
    </w:p>
    <w:p w14:paraId="5AA990E4">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废气事故排放应急处置卡</w:t>
      </w:r>
    </w:p>
    <w:tbl>
      <w:tblPr>
        <w:tblStyle w:val="22"/>
        <w:tblW w:w="5398" w:type="pct"/>
        <w:tblInd w:w="-2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4"/>
        <w:gridCol w:w="3578"/>
        <w:gridCol w:w="870"/>
        <w:gridCol w:w="3637"/>
      </w:tblGrid>
      <w:tr w14:paraId="1C6B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3" w:hRule="atLeast"/>
        </w:trPr>
        <w:tc>
          <w:tcPr>
            <w:tcW w:w="493" w:type="pct"/>
            <w:tcMar>
              <w:top w:w="15" w:type="dxa"/>
              <w:left w:w="15" w:type="dxa"/>
              <w:right w:w="15" w:type="dxa"/>
            </w:tcMar>
            <w:vAlign w:val="center"/>
          </w:tcPr>
          <w:p w14:paraId="450F8085">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事故特征</w:t>
            </w:r>
          </w:p>
        </w:tc>
        <w:tc>
          <w:tcPr>
            <w:tcW w:w="4506" w:type="pct"/>
            <w:gridSpan w:val="3"/>
            <w:tcMar>
              <w:top w:w="15" w:type="dxa"/>
              <w:left w:w="15" w:type="dxa"/>
              <w:right w:w="15" w:type="dxa"/>
            </w:tcMar>
          </w:tcPr>
          <w:p w14:paraId="51270CC8">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（1）风险物质：含硫酸、HCl、氟化物、氨、氯、二氧化硫、含重金属等的废气。</w:t>
            </w:r>
          </w:p>
          <w:p w14:paraId="71AA9E42">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（2）风险源：各企业废气处理设施排放口。</w:t>
            </w:r>
          </w:p>
          <w:p w14:paraId="22CA55F6">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（3）物质的风险特征：含硫酸、HCl、氟化物、氨、氯、二氧化硫、重金属等废气直接排入大气环境中。</w:t>
            </w:r>
          </w:p>
        </w:tc>
      </w:tr>
      <w:tr w14:paraId="0A9F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9" w:hRule="atLeast"/>
        </w:trPr>
        <w:tc>
          <w:tcPr>
            <w:tcW w:w="493" w:type="pct"/>
            <w:tcMar>
              <w:top w:w="15" w:type="dxa"/>
              <w:left w:w="15" w:type="dxa"/>
              <w:right w:w="15" w:type="dxa"/>
            </w:tcMar>
            <w:vAlign w:val="center"/>
          </w:tcPr>
          <w:p w14:paraId="1036B9BA">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506" w:type="pct"/>
            <w:gridSpan w:val="3"/>
            <w:tcMar>
              <w:top w:w="15" w:type="dxa"/>
              <w:left w:w="15" w:type="dxa"/>
              <w:right w:w="15" w:type="dxa"/>
            </w:tcMar>
            <w:vAlign w:val="center"/>
          </w:tcPr>
          <w:p w14:paraId="7637BC34">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总指挥机构：企业应急队领导；</w:t>
            </w:r>
          </w:p>
          <w:p w14:paraId="53C984F7">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成员：企业应急队。</w:t>
            </w:r>
          </w:p>
        </w:tc>
      </w:tr>
      <w:tr w14:paraId="0B06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5" w:hRule="atLeast"/>
        </w:trPr>
        <w:tc>
          <w:tcPr>
            <w:tcW w:w="493" w:type="pct"/>
            <w:tcMar>
              <w:top w:w="15" w:type="dxa"/>
              <w:left w:w="15" w:type="dxa"/>
              <w:right w:w="15" w:type="dxa"/>
            </w:tcMar>
            <w:vAlign w:val="center"/>
          </w:tcPr>
          <w:p w14:paraId="04E69CB8">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应急程序</w:t>
            </w:r>
          </w:p>
        </w:tc>
        <w:tc>
          <w:tcPr>
            <w:tcW w:w="4506" w:type="pct"/>
            <w:gridSpan w:val="3"/>
            <w:tcMar>
              <w:top w:w="15" w:type="dxa"/>
              <w:left w:w="15" w:type="dxa"/>
              <w:right w:w="15" w:type="dxa"/>
            </w:tcMar>
          </w:tcPr>
          <w:p w14:paraId="665C38FB">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（1）事件确认：企业应急队收到发生废气事故排放事故的报告后，值班人员向报告人核实事件发生地点、事故发生原因。</w:t>
            </w:r>
          </w:p>
          <w:p w14:paraId="2274D109">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人员应立即报告应急队领导和企业生产领导，根据现场实际情况和事故的大小及发展态势启动企业内部应急响应程序，采取相应的现场处置措施；若企业对事故发生的影响程度不可控，应立即由企业负责人上报区应急指挥部启动应急响应，移交其指挥权。</w:t>
            </w:r>
          </w:p>
        </w:tc>
      </w:tr>
      <w:tr w14:paraId="41E9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2" w:hRule="atLeast"/>
        </w:trPr>
        <w:tc>
          <w:tcPr>
            <w:tcW w:w="493" w:type="pct"/>
            <w:tcMar>
              <w:top w:w="15" w:type="dxa"/>
              <w:left w:w="15" w:type="dxa"/>
              <w:right w:w="15" w:type="dxa"/>
            </w:tcMar>
            <w:vAlign w:val="center"/>
          </w:tcPr>
          <w:p w14:paraId="17C4DE6D">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506" w:type="pct"/>
            <w:gridSpan w:val="3"/>
            <w:tcMar>
              <w:top w:w="15" w:type="dxa"/>
              <w:left w:w="15" w:type="dxa"/>
              <w:right w:w="15" w:type="dxa"/>
            </w:tcMar>
            <w:vAlign w:val="center"/>
          </w:tcPr>
          <w:p w14:paraId="5857D2AC">
            <w:pPr>
              <w:pStyle w:val="41"/>
              <w:keepNext w:val="0"/>
              <w:keepLines w:val="0"/>
              <w:pageBreakBefore w:val="0"/>
              <w:widowControl/>
              <w:kinsoku/>
              <w:wordWrap/>
              <w:overflowPunct/>
              <w:topLinePunct w:val="0"/>
              <w:autoSpaceDE/>
              <w:autoSpaceDN/>
              <w:bidi w:val="0"/>
              <w:adjustRightInd/>
              <w:snapToGrid/>
              <w:spacing w:line="5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报告程序：当值人员向企业应急队和生产领导报告，再由企业负责人向当地政府应急指挥部/生态环境局报告。</w:t>
            </w:r>
          </w:p>
          <w:p w14:paraId="2E3014D4">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258C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5" w:hRule="atLeast"/>
        </w:trPr>
        <w:tc>
          <w:tcPr>
            <w:tcW w:w="493" w:type="pct"/>
            <w:tcMar>
              <w:top w:w="15" w:type="dxa"/>
              <w:left w:w="15" w:type="dxa"/>
              <w:right w:w="15" w:type="dxa"/>
            </w:tcMar>
            <w:vAlign w:val="center"/>
          </w:tcPr>
          <w:p w14:paraId="40B16EEF">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506" w:type="pct"/>
            <w:gridSpan w:val="3"/>
            <w:tcMar>
              <w:top w:w="15" w:type="dxa"/>
              <w:left w:w="15" w:type="dxa"/>
              <w:right w:w="15" w:type="dxa"/>
            </w:tcMar>
          </w:tcPr>
          <w:p w14:paraId="1BF7B662">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（1）在确保安全的状况下立即停产、停机，关闭进出料口，避免更多的废气产生。</w:t>
            </w:r>
          </w:p>
          <w:p w14:paraId="51D8BE06">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（2）做好防护的前提下，应急处置人员现场寻找出现故障的原因，并立即组织人员进行维修，确保废气处理设施运行正常、污染物稳定达标后方可恢复生产。</w:t>
            </w:r>
          </w:p>
          <w:p w14:paraId="1E668C4A">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（3）若企业对事故发生的影响程度不可控，应立即由企业负责人上报区应急指挥部启动应急处置。</w:t>
            </w:r>
          </w:p>
        </w:tc>
      </w:tr>
      <w:tr w14:paraId="0EDF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2" w:hRule="atLeast"/>
        </w:trPr>
        <w:tc>
          <w:tcPr>
            <w:tcW w:w="493" w:type="pct"/>
            <w:tcMar>
              <w:top w:w="15" w:type="dxa"/>
              <w:left w:w="15" w:type="dxa"/>
              <w:right w:w="15" w:type="dxa"/>
            </w:tcMar>
            <w:vAlign w:val="center"/>
          </w:tcPr>
          <w:p w14:paraId="1E818F55">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506" w:type="pct"/>
            <w:gridSpan w:val="3"/>
            <w:tcMar>
              <w:top w:w="15" w:type="dxa"/>
              <w:left w:w="15" w:type="dxa"/>
              <w:right w:w="15" w:type="dxa"/>
            </w:tcMar>
            <w:vAlign w:val="center"/>
          </w:tcPr>
          <w:p w14:paraId="4FEA677E">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（1）监测单位：委托资质单位进行应急监测。</w:t>
            </w:r>
          </w:p>
          <w:p w14:paraId="75CFC8CB">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（2）监测因子：硫酸、HCl、氟化物、氨、氯、二氧化硫、重金属（铅、砷、镉、汞、铬、锡、锑等及其化合物）等。</w:t>
            </w:r>
          </w:p>
          <w:p w14:paraId="565EBEF6">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（3）监测布点：①在环境敏感点布点②在事故发生当时的下风向影响区域，以主导风向为主轴，在500m、1000m、2000m、5000m进行布点采样，同时在事故的上风向500m处布置对照点。</w:t>
            </w:r>
          </w:p>
          <w:p w14:paraId="772F9042">
            <w:pPr>
              <w:pStyle w:val="42"/>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(4）监测频次：结合实际情况由监测单位确定</w:t>
            </w:r>
            <w:r>
              <w:rPr>
                <w:rFonts w:hint="eastAsia" w:ascii="仿宋_GB2312" w:hAnsi="仿宋_GB2312" w:eastAsia="仿宋_GB2312" w:cs="仿宋_GB2312"/>
                <w:color w:val="auto"/>
                <w:sz w:val="32"/>
                <w:szCs w:val="32"/>
                <w:lang w:val="zh-CN"/>
              </w:rPr>
              <w:t>。</w:t>
            </w:r>
          </w:p>
        </w:tc>
      </w:tr>
      <w:tr w14:paraId="36DE6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8" w:hRule="atLeast"/>
        </w:trPr>
        <w:tc>
          <w:tcPr>
            <w:tcW w:w="493" w:type="pct"/>
            <w:tcMar>
              <w:top w:w="15" w:type="dxa"/>
              <w:left w:w="15" w:type="dxa"/>
              <w:right w:w="15" w:type="dxa"/>
            </w:tcMar>
            <w:vAlign w:val="center"/>
          </w:tcPr>
          <w:p w14:paraId="2A3E7115">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2E1BBA5D">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物资</w:t>
            </w:r>
          </w:p>
        </w:tc>
        <w:tc>
          <w:tcPr>
            <w:tcW w:w="1994" w:type="pct"/>
            <w:tcMar>
              <w:top w:w="15" w:type="dxa"/>
              <w:left w:w="15" w:type="dxa"/>
              <w:right w:w="15" w:type="dxa"/>
            </w:tcMar>
            <w:vAlign w:val="center"/>
          </w:tcPr>
          <w:p w14:paraId="0D8CE27A">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气体报警器、气体快检（探测）仪、防毒面具、呼吸器、化学防护装备等</w:t>
            </w:r>
          </w:p>
        </w:tc>
        <w:tc>
          <w:tcPr>
            <w:tcW w:w="485" w:type="pct"/>
            <w:tcMar>
              <w:top w:w="15" w:type="dxa"/>
              <w:left w:w="15" w:type="dxa"/>
              <w:right w:w="15" w:type="dxa"/>
            </w:tcMar>
            <w:vAlign w:val="center"/>
          </w:tcPr>
          <w:p w14:paraId="3B213299">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获取地点</w:t>
            </w:r>
          </w:p>
        </w:tc>
        <w:tc>
          <w:tcPr>
            <w:tcW w:w="2026" w:type="pct"/>
            <w:tcMar>
              <w:top w:w="15" w:type="dxa"/>
              <w:left w:w="15" w:type="dxa"/>
              <w:right w:w="15" w:type="dxa"/>
            </w:tcMar>
            <w:vAlign w:val="center"/>
          </w:tcPr>
          <w:p w14:paraId="4B9176DD">
            <w:pPr>
              <w:pStyle w:val="4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bl>
    <w:p w14:paraId="5BD97E2E">
      <w:pPr>
        <w:ind w:firstLine="482"/>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429F9179">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酸、碱类风险物质泄漏事故应急卡</w:t>
      </w:r>
    </w:p>
    <w:tbl>
      <w:tblPr>
        <w:tblStyle w:val="22"/>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3354"/>
        <w:gridCol w:w="699"/>
        <w:gridCol w:w="3495"/>
      </w:tblGrid>
      <w:tr w14:paraId="05CC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09880662">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事故特征</w:t>
            </w:r>
          </w:p>
        </w:tc>
        <w:tc>
          <w:tcPr>
            <w:tcW w:w="4404" w:type="pct"/>
            <w:gridSpan w:val="3"/>
          </w:tcPr>
          <w:p w14:paraId="5420C84A">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（1）风险物质：盐酸、硫酸、硝酸、氢氧化钠等各类酸、碱类风险物质；</w:t>
            </w:r>
          </w:p>
          <w:p w14:paraId="11E5EB23">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（2）风险单元：各企业；</w:t>
            </w:r>
          </w:p>
          <w:p w14:paraId="7E707082">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（3）风险特征：酸、碱类风险物质大多不燃；</w:t>
            </w:r>
            <w:r>
              <w:rPr>
                <w:rFonts w:hint="eastAsia" w:ascii="仿宋_GB2312" w:hAnsi="仿宋_GB2312" w:eastAsia="仿宋_GB2312" w:cs="仿宋_GB2312"/>
                <w:color w:val="auto"/>
                <w:sz w:val="32"/>
                <w:szCs w:val="32"/>
                <w:lang w:eastAsia="zh-CN"/>
              </w:rPr>
              <w:t>进入</w:t>
            </w:r>
            <w:r>
              <w:rPr>
                <w:rFonts w:hint="eastAsia" w:ascii="仿宋_GB2312" w:hAnsi="仿宋_GB2312" w:eastAsia="仿宋_GB2312" w:cs="仿宋_GB2312"/>
                <w:color w:val="auto"/>
                <w:sz w:val="32"/>
                <w:szCs w:val="32"/>
              </w:rPr>
              <w:t>水体后，将严重影响pH值，可能对水生生物和</w:t>
            </w:r>
            <w:r>
              <w:rPr>
                <w:rFonts w:hint="eastAsia" w:ascii="仿宋_GB2312" w:hAnsi="仿宋_GB2312" w:eastAsia="仿宋_GB2312" w:cs="仿宋_GB2312"/>
                <w:color w:val="auto"/>
                <w:sz w:val="32"/>
                <w:szCs w:val="32"/>
                <w:lang w:eastAsia="zh-CN"/>
              </w:rPr>
              <w:t>底泥</w:t>
            </w:r>
            <w:r>
              <w:rPr>
                <w:rFonts w:hint="eastAsia" w:ascii="仿宋_GB2312" w:hAnsi="仿宋_GB2312" w:eastAsia="仿宋_GB2312" w:cs="仿宋_GB2312"/>
                <w:color w:val="auto"/>
                <w:sz w:val="32"/>
                <w:szCs w:val="32"/>
              </w:rPr>
              <w:t>微生物产生致命影响；盐酸、硫酸、硝酸、氢氧化钠、氢氧化钾具有强腐蚀性，接触可致人体严重灼伤，对皮肤和黏膜有强刺激性和腐蚀性，眼和皮肤接触引起化学性灼伤。</w:t>
            </w:r>
          </w:p>
        </w:tc>
      </w:tr>
      <w:tr w14:paraId="485E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596" w:type="pct"/>
            <w:vAlign w:val="center"/>
          </w:tcPr>
          <w:p w14:paraId="35D6BF44">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404" w:type="pct"/>
            <w:gridSpan w:val="3"/>
            <w:vAlign w:val="center"/>
          </w:tcPr>
          <w:p w14:paraId="41E0FA48">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278F80E7">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483A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434122D2">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应急程序</w:t>
            </w:r>
          </w:p>
        </w:tc>
        <w:tc>
          <w:tcPr>
            <w:tcW w:w="4404" w:type="pct"/>
            <w:gridSpan w:val="3"/>
          </w:tcPr>
          <w:p w14:paraId="4289A3F2">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（1）事件确认：事发地人民政府应急指挥部收到发生酸、碱类风险物质泄漏事故的报告后，值班员向企业核实事件发生地点、事故类型及事故风险物质。</w:t>
            </w:r>
          </w:p>
          <w:p w14:paraId="2DBC55DD">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7778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660ACB67">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404" w:type="pct"/>
            <w:gridSpan w:val="3"/>
          </w:tcPr>
          <w:p w14:paraId="07B82858">
            <w:pPr>
              <w:pStyle w:val="41"/>
              <w:keepNext w:val="0"/>
              <w:keepLines w:val="0"/>
              <w:pageBreakBefore w:val="0"/>
              <w:widowControl/>
              <w:kinsoku/>
              <w:wordWrap/>
              <w:overflowPunct/>
              <w:topLinePunct w:val="0"/>
              <w:autoSpaceDE/>
              <w:autoSpaceDN/>
              <w:bidi w:val="0"/>
              <w:adjustRightInd/>
              <w:snapToGrid/>
              <w:spacing w:line="42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报告程序：由企业向当地政府应急指挥部/生态环境局报告。</w:t>
            </w:r>
          </w:p>
          <w:p w14:paraId="0995BFE3">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7C13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4A70B393">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404" w:type="pct"/>
            <w:gridSpan w:val="3"/>
          </w:tcPr>
          <w:p w14:paraId="5113000D">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酸、碱类风险物质泄漏现场应急处置措施：</w:t>
            </w:r>
          </w:p>
          <w:p w14:paraId="78534D13">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（1）通知可能受影响的周边居民以及企事业单位。</w:t>
            </w:r>
          </w:p>
          <w:p w14:paraId="029A3588">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（2）切断泄漏源</w:t>
            </w:r>
          </w:p>
          <w:p w14:paraId="184F087A">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堵漏：现场应急处理人员根据风险源具体位置和污染物的种类进行处置。据泄漏情况采取适当的切断泄漏源的措施，若是罐体泄漏形式（砂眼、裂缝、孔洞和裂口）采用木楔、外封式堵漏袋等方式进行堵漏，关闭或堵塞厂区雨水总排口阀门；酸类物质泄漏用石灰封堵企业泄漏口。</w:t>
            </w:r>
          </w:p>
          <w:p w14:paraId="3D46C9AC">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②泄漏液的处置处理：少量泄漏时，采用干土、干砂或者其他不易燃物质吸收，阻止扩散或者与雨水</w:t>
            </w:r>
            <w:r>
              <w:rPr>
                <w:rFonts w:hint="eastAsia" w:ascii="仿宋_GB2312" w:hAnsi="仿宋_GB2312" w:eastAsia="仿宋_GB2312" w:cs="仿宋_GB2312"/>
                <w:color w:val="auto"/>
                <w:sz w:val="32"/>
                <w:szCs w:val="32"/>
                <w:lang w:eastAsia="zh-CN"/>
              </w:rPr>
              <w:t>混合</w:t>
            </w:r>
            <w:r>
              <w:rPr>
                <w:rFonts w:hint="eastAsia" w:ascii="仿宋_GB2312" w:hAnsi="仿宋_GB2312" w:eastAsia="仿宋_GB2312" w:cs="仿宋_GB2312"/>
                <w:color w:val="auto"/>
                <w:sz w:val="32"/>
                <w:szCs w:val="32"/>
              </w:rPr>
              <w:t>。对陆域范围的酸类泄漏物采用石灰覆盖，并清洗，清洗水送入污水处理站处理。</w:t>
            </w:r>
          </w:p>
          <w:p w14:paraId="430AE591">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（3）如酸、碱类风险物质及消防废水流入雨水管网，用沙袋堵住雨水进入区域地表水系统排放口，对污染物进行拦截，</w:t>
            </w:r>
            <w:r>
              <w:rPr>
                <w:rFonts w:hint="eastAsia" w:ascii="仿宋_GB2312" w:hAnsi="仿宋_GB2312" w:eastAsia="仿宋_GB2312" w:cs="仿宋_GB2312"/>
                <w:color w:val="auto"/>
                <w:sz w:val="32"/>
                <w:szCs w:val="32"/>
                <w:lang w:eastAsia="zh-CN"/>
              </w:rPr>
              <w:t>再</w:t>
            </w:r>
            <w:r>
              <w:rPr>
                <w:rFonts w:hint="eastAsia" w:ascii="仿宋_GB2312" w:hAnsi="仿宋_GB2312" w:eastAsia="仿宋_GB2312" w:cs="仿宋_GB2312"/>
                <w:color w:val="auto"/>
                <w:sz w:val="32"/>
                <w:szCs w:val="32"/>
              </w:rPr>
              <w:t>处理受污染的废水。</w:t>
            </w:r>
          </w:p>
          <w:p w14:paraId="0A5919CF">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（4）如酸、碱类风险物质进入污水管道，应第一时间通知当地污水处理厂，提醒其做好监测和应对工作，确保污水处理厂正常运行，保证污水处理后达标排放。</w:t>
            </w:r>
          </w:p>
          <w:p w14:paraId="682B1142">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（5）如酸、碱类风险物质及消防废水进入附近水体时，量少的可以在不影响水体功能的情况下采样自然稀释的方法处置；如果污水泄漏量很大，应采取</w:t>
            </w:r>
            <w:bookmarkStart w:id="274" w:name="_Hlk16114594"/>
            <w:r>
              <w:rPr>
                <w:rFonts w:hint="eastAsia" w:ascii="仿宋_GB2312" w:hAnsi="仿宋_GB2312" w:eastAsia="仿宋_GB2312" w:cs="仿宋_GB2312"/>
                <w:color w:val="auto"/>
                <w:sz w:val="32"/>
                <w:szCs w:val="32"/>
              </w:rPr>
              <w:t>拦截筑坝</w:t>
            </w:r>
            <w:bookmarkEnd w:id="274"/>
            <w:r>
              <w:rPr>
                <w:rFonts w:hint="eastAsia" w:ascii="仿宋_GB2312" w:hAnsi="仿宋_GB2312" w:eastAsia="仿宋_GB2312" w:cs="仿宋_GB2312"/>
                <w:color w:val="auto"/>
                <w:sz w:val="32"/>
                <w:szCs w:val="32"/>
              </w:rPr>
              <w:t>方式拦截废水并应及时通知下游停止使用等，再行处理拦截的受污染废水。</w:t>
            </w:r>
          </w:p>
          <w:p w14:paraId="0A459F33">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（6）启动应急监测，监控水质变化情况。</w:t>
            </w:r>
          </w:p>
        </w:tc>
      </w:tr>
      <w:tr w14:paraId="554E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Align w:val="center"/>
          </w:tcPr>
          <w:p w14:paraId="0C3C1DE5">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404" w:type="pct"/>
            <w:gridSpan w:val="3"/>
            <w:vAlign w:val="center"/>
          </w:tcPr>
          <w:p w14:paraId="15F0D897">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委托事发地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或委托资质单位进行应急监测。</w:t>
            </w:r>
          </w:p>
          <w:p w14:paraId="25FC7846">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水质监测布点：各公司</w:t>
            </w:r>
            <w:r>
              <w:rPr>
                <w:rFonts w:hint="eastAsia" w:ascii="仿宋_GB2312" w:hAnsi="仿宋_GB2312" w:eastAsia="仿宋_GB2312" w:cs="仿宋_GB2312"/>
                <w:color w:val="auto"/>
                <w:sz w:val="32"/>
                <w:szCs w:val="32"/>
              </w:rPr>
              <w:t>入市政管网接口及</w:t>
            </w:r>
            <w:r>
              <w:rPr>
                <w:rFonts w:hint="eastAsia" w:ascii="仿宋_GB2312" w:hAnsi="仿宋_GB2312" w:eastAsia="仿宋_GB2312" w:cs="仿宋_GB2312"/>
                <w:color w:val="auto"/>
                <w:sz w:val="32"/>
                <w:szCs w:val="32"/>
                <w:lang w:val="zh-CN"/>
              </w:rPr>
              <w:t>各公司所属雨水片区入地表水体连接处。</w:t>
            </w:r>
          </w:p>
          <w:p w14:paraId="38ADEC17">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监测因子：pH值、</w:t>
            </w:r>
            <w:r>
              <w:rPr>
                <w:rFonts w:hint="eastAsia" w:ascii="仿宋_GB2312" w:hAnsi="仿宋_GB2312" w:eastAsia="仿宋_GB2312" w:cs="仿宋_GB2312"/>
                <w:color w:val="auto"/>
                <w:sz w:val="32"/>
                <w:szCs w:val="32"/>
              </w:rPr>
              <w:t>CODcr、BOD</w:t>
            </w:r>
            <w:r>
              <w:rPr>
                <w:rFonts w:hint="eastAsia" w:ascii="仿宋_GB2312" w:hAnsi="仿宋_GB2312" w:eastAsia="仿宋_GB2312" w:cs="仿宋_GB2312"/>
                <w:color w:val="auto"/>
                <w:sz w:val="32"/>
                <w:szCs w:val="32"/>
                <w:vertAlign w:val="subscript"/>
              </w:rPr>
              <w:t>5</w:t>
            </w:r>
            <w:r>
              <w:rPr>
                <w:rFonts w:hint="eastAsia" w:ascii="仿宋_GB2312" w:hAnsi="仿宋_GB2312" w:eastAsia="仿宋_GB2312" w:cs="仿宋_GB2312"/>
                <w:color w:val="auto"/>
                <w:sz w:val="32"/>
                <w:szCs w:val="32"/>
              </w:rPr>
              <w:t>、NH</w:t>
            </w:r>
            <w:r>
              <w:rPr>
                <w:rFonts w:hint="eastAsia" w:ascii="仿宋_GB2312" w:hAnsi="仿宋_GB2312" w:eastAsia="仿宋_GB2312" w:cs="仿宋_GB2312"/>
                <w:color w:val="auto"/>
                <w:sz w:val="32"/>
                <w:szCs w:val="32"/>
                <w:vertAlign w:val="subscript"/>
              </w:rPr>
              <w:t>3</w:t>
            </w:r>
            <w:r>
              <w:rPr>
                <w:rFonts w:hint="eastAsia" w:ascii="仿宋_GB2312" w:hAnsi="仿宋_GB2312" w:eastAsia="仿宋_GB2312" w:cs="仿宋_GB2312"/>
                <w:color w:val="auto"/>
                <w:sz w:val="32"/>
                <w:szCs w:val="32"/>
              </w:rPr>
              <w:t>-N</w:t>
            </w:r>
            <w:r>
              <w:rPr>
                <w:rFonts w:hint="eastAsia" w:ascii="仿宋_GB2312" w:hAnsi="仿宋_GB2312" w:eastAsia="仿宋_GB2312" w:cs="仿宋_GB2312"/>
                <w:color w:val="auto"/>
                <w:sz w:val="32"/>
                <w:szCs w:val="32"/>
                <w:lang w:val="zh-CN"/>
              </w:rPr>
              <w:t>。</w:t>
            </w:r>
          </w:p>
          <w:p w14:paraId="4DC6ABA0">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监测频次：结合实际情况由监测单位确定</w:t>
            </w:r>
            <w:r>
              <w:rPr>
                <w:rFonts w:hint="eastAsia" w:ascii="仿宋_GB2312" w:hAnsi="仿宋_GB2312" w:eastAsia="仿宋_GB2312" w:cs="仿宋_GB2312"/>
                <w:color w:val="auto"/>
                <w:sz w:val="32"/>
                <w:szCs w:val="32"/>
                <w:lang w:val="zh-CN"/>
              </w:rPr>
              <w:t>。</w:t>
            </w:r>
          </w:p>
        </w:tc>
      </w:tr>
      <w:tr w14:paraId="189D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6" w:type="pct"/>
            <w:vAlign w:val="center"/>
          </w:tcPr>
          <w:p w14:paraId="4CCE6FCB">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应急物资</w:t>
            </w:r>
          </w:p>
        </w:tc>
        <w:tc>
          <w:tcPr>
            <w:tcW w:w="1957" w:type="pct"/>
            <w:vAlign w:val="center"/>
          </w:tcPr>
          <w:p w14:paraId="24BA4ED2">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堵漏工具、生石灰、碳酸钠、碳酸氢钠、砂土、呼吸器、防化服、耐酸、碱手套、pH试纸等。</w:t>
            </w:r>
          </w:p>
        </w:tc>
        <w:tc>
          <w:tcPr>
            <w:tcW w:w="408" w:type="pct"/>
            <w:vAlign w:val="center"/>
          </w:tcPr>
          <w:p w14:paraId="0E1A9E41">
            <w:pPr>
              <w:pStyle w:val="42"/>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获取地点</w:t>
            </w:r>
          </w:p>
        </w:tc>
        <w:tc>
          <w:tcPr>
            <w:tcW w:w="2039" w:type="pct"/>
            <w:vAlign w:val="center"/>
          </w:tcPr>
          <w:p w14:paraId="3B29F3CE">
            <w:pPr>
              <w:pStyle w:val="42"/>
              <w:keepNext w:val="0"/>
              <w:keepLines w:val="0"/>
              <w:pageBreakBefore w:val="0"/>
              <w:widowControl/>
              <w:kinsoku/>
              <w:wordWrap/>
              <w:overflowPunct/>
              <w:topLinePunct w:val="0"/>
              <w:autoSpaceDE/>
              <w:autoSpaceDN/>
              <w:bidi w:val="0"/>
              <w:adjustRightInd/>
              <w:snapToGrid/>
              <w:spacing w:line="42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bl>
    <w:p w14:paraId="69DAB883">
      <w:pPr>
        <w:ind w:firstLine="482"/>
        <w:jc w:val="center"/>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01FFB4D8">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有机化学品泄漏事故应急卡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2664"/>
        <w:gridCol w:w="1062"/>
        <w:gridCol w:w="3740"/>
      </w:tblGrid>
      <w:tr w14:paraId="041E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vAlign w:val="center"/>
          </w:tcPr>
          <w:p w14:paraId="51C4AC8E">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事故特征</w:t>
            </w:r>
          </w:p>
        </w:tc>
        <w:tc>
          <w:tcPr>
            <w:tcW w:w="4394" w:type="pct"/>
            <w:gridSpan w:val="3"/>
          </w:tcPr>
          <w:p w14:paraId="6F5F531F">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（1）风险物质：甲醇、乙醇、乙酸乙酯、油漆、苯乙烯、丙酮等</w:t>
            </w:r>
          </w:p>
          <w:p w14:paraId="371ABCAD">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（2）风险单元：各企业。</w:t>
            </w:r>
          </w:p>
          <w:p w14:paraId="51D5E406">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w:t>
            </w:r>
          </w:p>
          <w:p w14:paraId="1E9FFC68">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1 \* GB3 \* MERGEFORMAT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①</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甲醇、乙醇易燃，蒸气可与空气形成爆炸性混合物，遇明火、高热能引起燃烧爆炸。</w:t>
            </w:r>
          </w:p>
          <w:p w14:paraId="2FCE203E">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 2 \* GB3 \* MERGEFORMAT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②</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油漆类物质一般含有苯、甲苯、二甲苯等有机物。</w:t>
            </w:r>
          </w:p>
        </w:tc>
      </w:tr>
      <w:tr w14:paraId="57D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05" w:type="pct"/>
            <w:vAlign w:val="center"/>
          </w:tcPr>
          <w:p w14:paraId="0846A6F2">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394" w:type="pct"/>
            <w:gridSpan w:val="3"/>
            <w:vAlign w:val="center"/>
          </w:tcPr>
          <w:p w14:paraId="688E934A">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438921A7">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25C9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vAlign w:val="center"/>
          </w:tcPr>
          <w:p w14:paraId="47C6E1CB">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应急程序</w:t>
            </w:r>
          </w:p>
        </w:tc>
        <w:tc>
          <w:tcPr>
            <w:tcW w:w="4394" w:type="pct"/>
            <w:gridSpan w:val="3"/>
          </w:tcPr>
          <w:p w14:paraId="269F7679">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（1）事件确认：事发地人民政府应急指挥部收到发生醇类、油漆风险物质泄漏事故的报告后，值班员向企业核实事件发生地点、事故类型及事故风险物质。</w:t>
            </w:r>
          </w:p>
          <w:p w14:paraId="63E8E80D">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482D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05" w:type="pct"/>
            <w:vAlign w:val="center"/>
          </w:tcPr>
          <w:p w14:paraId="68828ACC">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394" w:type="pct"/>
            <w:gridSpan w:val="3"/>
          </w:tcPr>
          <w:p w14:paraId="678FFC54">
            <w:pPr>
              <w:pStyle w:val="41"/>
              <w:keepNext w:val="0"/>
              <w:keepLines w:val="0"/>
              <w:pageBreakBefore w:val="0"/>
              <w:widowControl/>
              <w:kinsoku/>
              <w:wordWrap/>
              <w:overflowPunct/>
              <w:topLinePunct w:val="0"/>
              <w:autoSpaceDE/>
              <w:autoSpaceDN/>
              <w:bidi w:val="0"/>
              <w:adjustRightInd/>
              <w:snapToGrid/>
              <w:spacing w:line="34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报告程序：由企业向当地政府应急指挥部/生态环境局报告。</w:t>
            </w:r>
          </w:p>
          <w:p w14:paraId="5A61669D">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5EE3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05" w:type="pct"/>
            <w:vAlign w:val="center"/>
          </w:tcPr>
          <w:p w14:paraId="09460B92">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394" w:type="pct"/>
            <w:gridSpan w:val="3"/>
          </w:tcPr>
          <w:p w14:paraId="5EBA4CEA">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确认发生甲醇、乙醇、油漆等有机物泄漏事件后，在事发点附近区域设立警戒区，防止无关人员进入事发区域。事发地内禁止一切火源，现场指挥人员通知应急工作组快速集结投入堵漏行动，并使用专用防护服、隔绝式空气面罩；若事故现场持续蔓延扩大，请求上级应急指挥部调配应急工作组、专业消防队和社会专业应急救援队伍支援。</w:t>
            </w:r>
          </w:p>
          <w:p w14:paraId="26643403">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（2）切断泄漏源</w:t>
            </w:r>
          </w:p>
          <w:p w14:paraId="74803B76">
            <w:pPr>
              <w:pStyle w:val="42"/>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①堵漏：现场应急处理人员根据泄漏情况采取适当的切断泄漏源的措施，采用木楔、外封式堵漏袋等方式进行堵漏。</w:t>
            </w:r>
          </w:p>
          <w:p w14:paraId="32EBEBEE">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②泄漏液的处置处理：用泡沫或其他覆盖物品覆盖外泄的物料，在其表面形成覆盖层，抑制其蒸发。大量泄漏时，根据事故发生点的地形、地势等实际情况构筑围堤或挖沟槽收容泄漏物，防止进入水体或土壤中。用泵转移至槽车或专用收集器内，回收或运至废物处理场所处置。</w:t>
            </w:r>
          </w:p>
          <w:p w14:paraId="29FF7ABD">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③消防废水的处置处理：对消防废水进行拦截、引流处置。将消防废水</w:t>
            </w:r>
            <w:r>
              <w:rPr>
                <w:rFonts w:hint="eastAsia" w:ascii="仿宋_GB2312" w:hAnsi="仿宋_GB2312" w:eastAsia="仿宋_GB2312" w:cs="仿宋_GB2312"/>
                <w:color w:val="auto"/>
                <w:sz w:val="32"/>
                <w:szCs w:val="32"/>
                <w:lang w:eastAsia="zh-CN"/>
              </w:rPr>
              <w:t>引入</w:t>
            </w:r>
            <w:r>
              <w:rPr>
                <w:rFonts w:hint="eastAsia" w:ascii="仿宋_GB2312" w:hAnsi="仿宋_GB2312" w:eastAsia="仿宋_GB2312" w:cs="仿宋_GB2312"/>
                <w:color w:val="auto"/>
                <w:sz w:val="32"/>
                <w:szCs w:val="32"/>
              </w:rPr>
              <w:t>企业内部消防废水收集池、事故池，待事后利用企业自建的污水处理站处理或抽入槽罐车转运至当地污水处理厂处理；若厂区没有设置消防废水收集池，应确定废水排放路线，在其排出厂区前进行拦截处置，待事后用槽罐车将消防废水送</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污水处理厂处理。</w:t>
            </w:r>
          </w:p>
          <w:p w14:paraId="0C868DB8">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（3）如甲醇、乙醇、油漆、甲苯、二甲苯、丙酮、苯乙烯、乙酸乙酯等有机物及消防废水进入雨水管网，则用沙袋堵住雨水进入区域地表水系统排放口，对污染物进行拦截，待事后用槽罐车将消防废水送</w:t>
            </w:r>
            <w:r>
              <w:rPr>
                <w:rFonts w:hint="eastAsia" w:ascii="仿宋_GB2312" w:hAnsi="仿宋_GB2312" w:eastAsia="仿宋_GB2312" w:cs="仿宋_GB2312"/>
                <w:color w:val="auto"/>
                <w:sz w:val="32"/>
                <w:szCs w:val="32"/>
                <w:lang w:eastAsia="zh-CN"/>
              </w:rPr>
              <w:t>至</w:t>
            </w:r>
            <w:r>
              <w:rPr>
                <w:rFonts w:hint="eastAsia" w:ascii="仿宋_GB2312" w:hAnsi="仿宋_GB2312" w:eastAsia="仿宋_GB2312" w:cs="仿宋_GB2312"/>
                <w:color w:val="auto"/>
                <w:sz w:val="32"/>
                <w:szCs w:val="32"/>
              </w:rPr>
              <w:t>污水处理厂处理。</w:t>
            </w:r>
          </w:p>
          <w:p w14:paraId="6D7B3096">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如甲醇、乙醇、油漆、甲苯、二甲苯、丙酮、苯乙烯、乙酸乙酯等有机物进入污水管道，应第一时间通知当地污水处理厂，提醒其做好监测及应对工作，确保污水处理厂正常运行，保证污水处理后达标排放。</w:t>
            </w:r>
          </w:p>
          <w:p w14:paraId="2C170341">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如甲醇、乙醇油漆等有机物及消防废水流入外界环境：流入周边地表水体时，则应采取拦截筑坝方式拦截废水，以减轻对地表水体的污染，并通知下游停止使用，并将拦截的污水用槽罐车运至当地污水处理厂处理。</w:t>
            </w:r>
          </w:p>
          <w:p w14:paraId="5FBD634C">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（6）启动应急监测，监控水质变化情况。</w:t>
            </w:r>
          </w:p>
        </w:tc>
      </w:tr>
      <w:tr w14:paraId="5BC0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5" w:type="pct"/>
            <w:vAlign w:val="center"/>
          </w:tcPr>
          <w:p w14:paraId="4F6C9150">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394" w:type="pct"/>
            <w:gridSpan w:val="3"/>
            <w:vAlign w:val="center"/>
          </w:tcPr>
          <w:p w14:paraId="31514A40">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委托事发地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或委托资质单位进行应急监测。</w:t>
            </w:r>
          </w:p>
          <w:p w14:paraId="0FEA890A">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水质监测布点：各公司</w:t>
            </w:r>
            <w:r>
              <w:rPr>
                <w:rFonts w:hint="eastAsia" w:ascii="仿宋_GB2312" w:hAnsi="仿宋_GB2312" w:eastAsia="仿宋_GB2312" w:cs="仿宋_GB2312"/>
                <w:color w:val="auto"/>
                <w:sz w:val="32"/>
                <w:szCs w:val="32"/>
              </w:rPr>
              <w:t>入市政管网接口及所属雨水片区入地表水体连接处。</w:t>
            </w:r>
          </w:p>
          <w:p w14:paraId="5E51FAB4">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监测因子：pH值、CODcr、苯、甲苯、二甲苯、丙酮、苯乙烯、乙酸乙酯等。</w:t>
            </w:r>
          </w:p>
          <w:p w14:paraId="4FD62EDD">
            <w:pPr>
              <w:pStyle w:val="42"/>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监测频次：结合实际情况由监测单位确定。</w:t>
            </w:r>
          </w:p>
        </w:tc>
      </w:tr>
      <w:tr w14:paraId="2BCD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pct"/>
            <w:vAlign w:val="center"/>
          </w:tcPr>
          <w:p w14:paraId="15B1771E">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3F4CEC7B">
            <w:pPr>
              <w:pStyle w:val="42"/>
              <w:keepNext w:val="0"/>
              <w:keepLines w:val="0"/>
              <w:pageBreakBefore w:val="0"/>
              <w:widowControl/>
              <w:kinsoku/>
              <w:wordWrap/>
              <w:overflowPunct/>
              <w:topLinePunct w:val="0"/>
              <w:autoSpaceDE/>
              <w:autoSpaceDN/>
              <w:bidi w:val="0"/>
              <w:adjustRightInd/>
              <w:snapToGrid/>
              <w:spacing w:line="3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物资</w:t>
            </w:r>
          </w:p>
        </w:tc>
        <w:tc>
          <w:tcPr>
            <w:tcW w:w="1568" w:type="pct"/>
            <w:vAlign w:val="center"/>
          </w:tcPr>
          <w:p w14:paraId="37A43734">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堵漏工具、活性炭、呼吸器、防化服等。</w:t>
            </w:r>
          </w:p>
        </w:tc>
        <w:tc>
          <w:tcPr>
            <w:tcW w:w="625" w:type="pct"/>
            <w:vAlign w:val="center"/>
          </w:tcPr>
          <w:p w14:paraId="4E8C2411">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获取地点</w:t>
            </w:r>
          </w:p>
        </w:tc>
        <w:tc>
          <w:tcPr>
            <w:tcW w:w="2200" w:type="pct"/>
            <w:vAlign w:val="center"/>
          </w:tcPr>
          <w:p w14:paraId="4961C6D3">
            <w:pPr>
              <w:pStyle w:val="42"/>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bl>
    <w:p w14:paraId="326B3F92">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突发环境事件产生的污染物进入区域污水处理厂造成</w:t>
      </w:r>
    </w:p>
    <w:p w14:paraId="19805EF5">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的废水非正常排放事件应急处置卡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7465"/>
      </w:tblGrid>
      <w:tr w14:paraId="20D6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0" w:hRule="atLeast"/>
          <w:jc w:val="center"/>
        </w:trPr>
        <w:tc>
          <w:tcPr>
            <w:tcW w:w="606" w:type="pct"/>
            <w:vAlign w:val="center"/>
          </w:tcPr>
          <w:p w14:paraId="22C8F035">
            <w:pPr>
              <w:pStyle w:val="42"/>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事故特征</w:t>
            </w:r>
          </w:p>
        </w:tc>
        <w:tc>
          <w:tcPr>
            <w:tcW w:w="4394" w:type="pct"/>
            <w:vAlign w:val="center"/>
          </w:tcPr>
          <w:p w14:paraId="39422A26">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（1）风险物质：突发环境事件产生的事故废水</w:t>
            </w:r>
          </w:p>
          <w:p w14:paraId="78DCD16A">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（2）风险单元：企业废水处理设施。</w:t>
            </w:r>
          </w:p>
          <w:p w14:paraId="4591F9D7">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（3）风险特征：突发环境事件产生的污染物非正常排放对污水处理厂造成冲击。</w:t>
            </w:r>
          </w:p>
        </w:tc>
      </w:tr>
      <w:tr w14:paraId="0095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606" w:type="pct"/>
            <w:vAlign w:val="center"/>
          </w:tcPr>
          <w:p w14:paraId="468E5221">
            <w:pPr>
              <w:pStyle w:val="42"/>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394" w:type="pct"/>
            <w:vAlign w:val="center"/>
          </w:tcPr>
          <w:p w14:paraId="11C577C0">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7BA53728">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01FD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0" w:hRule="atLeast"/>
          <w:jc w:val="center"/>
        </w:trPr>
        <w:tc>
          <w:tcPr>
            <w:tcW w:w="606" w:type="pct"/>
            <w:vAlign w:val="center"/>
          </w:tcPr>
          <w:p w14:paraId="3A1387DA">
            <w:pPr>
              <w:pStyle w:val="42"/>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应急程序</w:t>
            </w:r>
          </w:p>
        </w:tc>
        <w:tc>
          <w:tcPr>
            <w:tcW w:w="4394" w:type="pct"/>
            <w:vAlign w:val="center"/>
          </w:tcPr>
          <w:p w14:paraId="4F7E01AF">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（1）事件确认：事发地人民政府应急指挥部收到发生废水事故排放的报告后，值班员向报告人核实事件发生地点、事故类型及事故风险物质。</w:t>
            </w:r>
          </w:p>
          <w:p w14:paraId="5B5A367D">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07C1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0" w:hRule="atLeast"/>
          <w:jc w:val="center"/>
        </w:trPr>
        <w:tc>
          <w:tcPr>
            <w:tcW w:w="606" w:type="pct"/>
            <w:vAlign w:val="center"/>
          </w:tcPr>
          <w:p w14:paraId="5225ABF9">
            <w:pPr>
              <w:pStyle w:val="42"/>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394" w:type="pct"/>
            <w:vAlign w:val="center"/>
          </w:tcPr>
          <w:p w14:paraId="3386B7C1">
            <w:pPr>
              <w:pStyle w:val="41"/>
              <w:keepNext w:val="0"/>
              <w:keepLines w:val="0"/>
              <w:pageBreakBefore w:val="0"/>
              <w:widowControl/>
              <w:kinsoku/>
              <w:wordWrap/>
              <w:overflowPunct/>
              <w:topLinePunct w:val="0"/>
              <w:autoSpaceDE/>
              <w:autoSpaceDN/>
              <w:bidi w:val="0"/>
              <w:adjustRightInd/>
              <w:snapToGrid/>
              <w:spacing w:line="400" w:lineRule="exact"/>
              <w:ind w:firstLine="36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报告程序：由企业向当地政府应急指挥部/生态环境局报告。</w:t>
            </w:r>
          </w:p>
          <w:p w14:paraId="3440C550">
            <w:pPr>
              <w:pStyle w:val="42"/>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52BC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606" w:type="pct"/>
            <w:vAlign w:val="center"/>
          </w:tcPr>
          <w:p w14:paraId="076B1FB0">
            <w:pPr>
              <w:pStyle w:val="42"/>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应急处置措施</w:t>
            </w:r>
          </w:p>
        </w:tc>
        <w:tc>
          <w:tcPr>
            <w:tcW w:w="4394" w:type="pct"/>
          </w:tcPr>
          <w:p w14:paraId="345163D1">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含化学品等废水经排污管道进入污水处理厂后事故现场应急处置措施：</w:t>
            </w:r>
          </w:p>
          <w:p w14:paraId="0504AC17">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（1）当地政府应急指挥部确认发生废水非正常排放事故后，启动环境应急响应程序，组织应急工作组展开环境应急工作；事态扩大时，当地政府应急指挥部应上报上级应急指挥部。</w:t>
            </w:r>
          </w:p>
          <w:p w14:paraId="58B58E94">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（2）应急指挥部总指挥通知当地废水进入该污水处理厂的生产企业暂停废水排入或排入企业自建的事故池内或停止生产。</w:t>
            </w:r>
          </w:p>
          <w:p w14:paraId="58C435D2">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（3）现场查明废水事故排放情况（排放口、水量、污染物种类、来源及起因）。</w:t>
            </w:r>
          </w:p>
          <w:p w14:paraId="124FADA5">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（4）严禁该污水处理厂将处理后未达标的废水排入外环境地表水体，并要求污水处理厂紧急应对，调整各污水处理厂工艺运行参数和药剂投加量等，直到调整系统运行使出水达标。</w:t>
            </w:r>
          </w:p>
          <w:p w14:paraId="370A56F2">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（5）如已将超标污水排入外环境，如果污水泄漏量很大，则应采取拦截筑坝方式拦截废水，以减轻对地表水体的污染，并通知下游停止使用地表水资源，并将拦截的污水运回该污水处理厂处理达标后方可外排。</w:t>
            </w:r>
          </w:p>
          <w:p w14:paraId="513D5F0A">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（6）展开应急监测，必要时请求第三方监测机构增援。</w:t>
            </w:r>
          </w:p>
          <w:p w14:paraId="0D3DD94C">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（7）根据外排地表水体水质的监测数据实施下一步的应急措施。</w:t>
            </w:r>
          </w:p>
        </w:tc>
      </w:tr>
      <w:tr w14:paraId="74AC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606" w:type="pct"/>
            <w:vAlign w:val="center"/>
          </w:tcPr>
          <w:p w14:paraId="105CBCB6">
            <w:pPr>
              <w:pStyle w:val="42"/>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应急监测方案</w:t>
            </w:r>
          </w:p>
        </w:tc>
        <w:tc>
          <w:tcPr>
            <w:tcW w:w="4394" w:type="pct"/>
          </w:tcPr>
          <w:p w14:paraId="5434230D">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若超标废水进入外界水体中，则应对废</w:t>
            </w:r>
            <w:r>
              <w:rPr>
                <w:rFonts w:hint="eastAsia" w:ascii="仿宋_GB2312" w:hAnsi="仿宋_GB2312" w:eastAsia="仿宋_GB2312" w:cs="仿宋_GB2312"/>
                <w:color w:val="auto"/>
                <w:sz w:val="32"/>
                <w:szCs w:val="32"/>
                <w:lang w:eastAsia="zh-CN"/>
              </w:rPr>
              <w:t>水进</w:t>
            </w:r>
            <w:r>
              <w:rPr>
                <w:rFonts w:hint="eastAsia" w:ascii="仿宋_GB2312" w:hAnsi="仿宋_GB2312" w:eastAsia="仿宋_GB2312" w:cs="仿宋_GB2312"/>
                <w:color w:val="auto"/>
                <w:sz w:val="32"/>
                <w:szCs w:val="32"/>
              </w:rPr>
              <w:t>入地表水的上下游河段进行监测，监测要点如下：</w:t>
            </w:r>
          </w:p>
          <w:p w14:paraId="7853048C">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委托事发地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或委托资质单位进行应急监测。</w:t>
            </w:r>
          </w:p>
          <w:p w14:paraId="4F4B4723">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（2）监测因子：pH、CODcr、氨氮、涉及的危险化学品的特征因子等。</w:t>
            </w:r>
          </w:p>
          <w:p w14:paraId="4830DB84">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（3）监测布点：污水处理厂总排污口</w:t>
            </w:r>
            <w:r>
              <w:rPr>
                <w:rFonts w:hint="eastAsia" w:ascii="仿宋_GB2312" w:hAnsi="仿宋_GB2312" w:eastAsia="仿宋_GB2312" w:cs="仿宋_GB2312"/>
                <w:color w:val="auto"/>
                <w:sz w:val="32"/>
                <w:szCs w:val="32"/>
                <w:lang w:val="zh-CN"/>
              </w:rPr>
              <w:t>上游500m及下游（</w:t>
            </w:r>
            <w:r>
              <w:rPr>
                <w:rFonts w:hint="eastAsia" w:ascii="仿宋_GB2312" w:hAnsi="仿宋_GB2312" w:eastAsia="仿宋_GB2312" w:cs="仿宋_GB2312"/>
                <w:color w:val="auto"/>
                <w:sz w:val="32"/>
                <w:szCs w:val="32"/>
              </w:rPr>
              <w:t>信</w:t>
            </w:r>
            <w:r>
              <w:rPr>
                <w:rFonts w:hint="eastAsia" w:ascii="仿宋_GB2312" w:hAnsi="仿宋_GB2312" w:eastAsia="仿宋_GB2312" w:cs="仿宋_GB2312"/>
                <w:color w:val="auto"/>
                <w:sz w:val="32"/>
                <w:szCs w:val="32"/>
                <w:lang w:val="zh-CN"/>
              </w:rPr>
              <w:t>江）1000m</w:t>
            </w:r>
          </w:p>
          <w:p w14:paraId="03E8772A">
            <w:pPr>
              <w:pStyle w:val="42"/>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（4）监测频次：结合实际情况由监测单位确定。</w:t>
            </w:r>
          </w:p>
        </w:tc>
      </w:tr>
    </w:tbl>
    <w:p w14:paraId="0247D1DD">
      <w:pPr>
        <w:ind w:firstLine="482"/>
        <w:jc w:val="center"/>
        <w:rPr>
          <w:rFonts w:hint="default" w:ascii="Times New Roman" w:hAnsi="Times New Roman" w:cs="Times New Roman"/>
          <w:b/>
          <w:bCs/>
          <w:color w:val="auto"/>
        </w:rPr>
        <w:sectPr>
          <w:pgSz w:w="11906" w:h="16838"/>
          <w:pgMar w:top="1440" w:right="1814" w:bottom="1440" w:left="1814" w:header="850" w:footer="850" w:gutter="0"/>
          <w:pgNumType w:fmt="decimal"/>
          <w:cols w:space="720" w:num="1"/>
          <w:docGrid w:type="lines" w:linePitch="312" w:charSpace="0"/>
        </w:sectPr>
      </w:pPr>
    </w:p>
    <w:p w14:paraId="6357B26C">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公路运输类突发环境事件应急处置卡</w:t>
      </w:r>
    </w:p>
    <w:tbl>
      <w:tblPr>
        <w:tblStyle w:val="22"/>
        <w:tblpPr w:leftFromText="180" w:rightFromText="180" w:vertAnchor="text" w:horzAnchor="margin" w:tblpXSpec="center" w:tblpY="10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3455"/>
        <w:gridCol w:w="1075"/>
        <w:gridCol w:w="3460"/>
      </w:tblGrid>
      <w:tr w14:paraId="1643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14290093">
            <w:pPr>
              <w:pStyle w:val="42"/>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32"/>
                <w:szCs w:val="32"/>
              </w:rPr>
            </w:pPr>
            <w:bookmarkStart w:id="275" w:name="_Toc25611015"/>
            <w:bookmarkStart w:id="276" w:name="_Toc471998861"/>
            <w:bookmarkStart w:id="277" w:name="_Toc15053324"/>
            <w:bookmarkStart w:id="278" w:name="_Toc469134640"/>
            <w:bookmarkStart w:id="279" w:name="_Toc25610875"/>
            <w:bookmarkStart w:id="280" w:name="_Toc9272949"/>
            <w:bookmarkStart w:id="281" w:name="_Toc6328573"/>
            <w:r>
              <w:rPr>
                <w:rFonts w:hint="eastAsia" w:ascii="仿宋_GB2312" w:hAnsi="仿宋_GB2312" w:eastAsia="仿宋_GB2312" w:cs="仿宋_GB2312"/>
                <w:color w:val="auto"/>
                <w:sz w:val="32"/>
                <w:szCs w:val="32"/>
              </w:rPr>
              <w:t>事故特征</w:t>
            </w:r>
            <w:bookmarkEnd w:id="275"/>
            <w:bookmarkEnd w:id="276"/>
            <w:bookmarkEnd w:id="277"/>
            <w:bookmarkEnd w:id="278"/>
            <w:bookmarkEnd w:id="279"/>
            <w:bookmarkEnd w:id="280"/>
            <w:bookmarkEnd w:id="281"/>
          </w:p>
        </w:tc>
        <w:tc>
          <w:tcPr>
            <w:tcW w:w="4408" w:type="pct"/>
            <w:gridSpan w:val="3"/>
            <w:vAlign w:val="center"/>
          </w:tcPr>
          <w:p w14:paraId="3B342263">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（1）风险物质：危险化学品；</w:t>
            </w:r>
          </w:p>
          <w:p w14:paraId="2A758C19">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（2）风险单元：运输车辆；</w:t>
            </w:r>
          </w:p>
          <w:p w14:paraId="12C8516E">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风险特征：各企业的危化品和危废运输车辆在区域内发生事故，造成危化品和危废泄漏直接进入路面，部分进入周围地面，造成路面及周围地面的土壤污染；危化品和危废泄漏挥发气体和危化品泄漏发生火灾的燃烧烟气进入周围的大气环境中会造成区域大气的污染；泄漏的危化品、危废或处理危化品及危废火灾、爆炸产生的消防废水可能进入雨水管网及附近的地表水体，造成区域地表水体水质的污染。</w:t>
            </w:r>
          </w:p>
        </w:tc>
      </w:tr>
      <w:tr w14:paraId="02ED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591" w:type="pct"/>
            <w:vAlign w:val="center"/>
          </w:tcPr>
          <w:p w14:paraId="366B1654">
            <w:pPr>
              <w:pStyle w:val="42"/>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应急组织</w:t>
            </w:r>
          </w:p>
        </w:tc>
        <w:tc>
          <w:tcPr>
            <w:tcW w:w="4408" w:type="pct"/>
            <w:gridSpan w:val="3"/>
            <w:vAlign w:val="center"/>
          </w:tcPr>
          <w:p w14:paraId="11F2D0EB">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总指挥机构：事发地突发环境事件应急指挥部；</w:t>
            </w:r>
          </w:p>
          <w:p w14:paraId="791C49FF">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成员：应急指挥部各成员组（部门）应急负责人及应急工作组成员。</w:t>
            </w:r>
          </w:p>
        </w:tc>
      </w:tr>
      <w:tr w14:paraId="0B0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 w:type="pct"/>
            <w:vAlign w:val="center"/>
          </w:tcPr>
          <w:p w14:paraId="0686A8A5">
            <w:pPr>
              <w:pStyle w:val="42"/>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32"/>
                <w:szCs w:val="32"/>
              </w:rPr>
            </w:pPr>
            <w:bookmarkStart w:id="282" w:name="_Toc9272951"/>
            <w:bookmarkStart w:id="283" w:name="_Toc6328575"/>
            <w:bookmarkStart w:id="284" w:name="_Toc25610877"/>
            <w:bookmarkStart w:id="285" w:name="_Toc469134642"/>
            <w:bookmarkStart w:id="286" w:name="_Toc15053326"/>
            <w:bookmarkStart w:id="287" w:name="_Toc471998863"/>
            <w:bookmarkStart w:id="288" w:name="_Toc25611017"/>
            <w:r>
              <w:rPr>
                <w:rFonts w:hint="eastAsia" w:ascii="仿宋_GB2312" w:hAnsi="仿宋_GB2312" w:eastAsia="仿宋_GB2312" w:cs="仿宋_GB2312"/>
                <w:color w:val="auto"/>
                <w:sz w:val="32"/>
                <w:szCs w:val="32"/>
              </w:rPr>
              <w:t>应急程序</w:t>
            </w:r>
            <w:bookmarkEnd w:id="282"/>
            <w:bookmarkEnd w:id="283"/>
            <w:bookmarkEnd w:id="284"/>
            <w:bookmarkEnd w:id="285"/>
            <w:bookmarkEnd w:id="286"/>
            <w:bookmarkEnd w:id="287"/>
            <w:bookmarkEnd w:id="288"/>
          </w:p>
        </w:tc>
        <w:tc>
          <w:tcPr>
            <w:tcW w:w="4408" w:type="pct"/>
            <w:gridSpan w:val="3"/>
          </w:tcPr>
          <w:p w14:paraId="42D94109">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（1）事件确认：事发地人民政府应急指挥部收到发生公路运输突发环境事件的报告后，值班员向报告人核实事件发生地点、事故类型及事故风险物质；</w:t>
            </w:r>
          </w:p>
          <w:p w14:paraId="2C6FDB3F">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件确认后，值班员应立即电话报告应急指挥部主要成员，根据现场实际情况和事故的大小及发展态势分级启动应急响应程序，采取相应的现场处置措施，有需要的联系事发地上层应急指挥部或外部救援力量请求支援。</w:t>
            </w:r>
          </w:p>
        </w:tc>
      </w:tr>
      <w:tr w14:paraId="304C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591" w:type="pct"/>
            <w:vAlign w:val="center"/>
          </w:tcPr>
          <w:p w14:paraId="4F52FD6B">
            <w:pPr>
              <w:pStyle w:val="42"/>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应急报告</w:t>
            </w:r>
          </w:p>
        </w:tc>
        <w:tc>
          <w:tcPr>
            <w:tcW w:w="4408" w:type="pct"/>
            <w:gridSpan w:val="3"/>
          </w:tcPr>
          <w:p w14:paraId="1EBE6073">
            <w:pPr>
              <w:pStyle w:val="41"/>
              <w:keepNext w:val="0"/>
              <w:keepLines w:val="0"/>
              <w:pageBreakBefore w:val="0"/>
              <w:widowControl/>
              <w:kinsoku/>
              <w:wordWrap/>
              <w:overflowPunct/>
              <w:topLinePunct w:val="0"/>
              <w:autoSpaceDE/>
              <w:autoSpaceDN/>
              <w:bidi w:val="0"/>
              <w:adjustRightInd/>
              <w:snapToGrid/>
              <w:spacing w:line="44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报告程序：运输车辆人员或其他人员向当地政府应急指挥部/生态环境局报告。</w:t>
            </w:r>
          </w:p>
          <w:p w14:paraId="3AD6ADB6">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报告内容：环境事件的类型、发生事件、地点、污染源、主要污染物质、事件潜在的危害程度、转化方向趋势等。</w:t>
            </w:r>
          </w:p>
        </w:tc>
      </w:tr>
      <w:tr w14:paraId="7487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91" w:type="pct"/>
            <w:vAlign w:val="center"/>
          </w:tcPr>
          <w:p w14:paraId="02D7081E">
            <w:pPr>
              <w:pStyle w:val="42"/>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32"/>
                <w:szCs w:val="32"/>
              </w:rPr>
            </w:pPr>
            <w:bookmarkStart w:id="289" w:name="_Toc15053328"/>
            <w:bookmarkStart w:id="290" w:name="_Toc469134645"/>
            <w:bookmarkStart w:id="291" w:name="_Toc6328578"/>
            <w:bookmarkStart w:id="292" w:name="_Toc471998866"/>
            <w:bookmarkStart w:id="293" w:name="_Toc9272954"/>
            <w:bookmarkStart w:id="294" w:name="_Toc25610879"/>
            <w:bookmarkStart w:id="295" w:name="_Toc25611019"/>
            <w:r>
              <w:rPr>
                <w:rFonts w:hint="eastAsia" w:ascii="仿宋_GB2312" w:hAnsi="仿宋_GB2312" w:eastAsia="仿宋_GB2312" w:cs="仿宋_GB2312"/>
                <w:color w:val="auto"/>
                <w:sz w:val="32"/>
                <w:szCs w:val="32"/>
              </w:rPr>
              <w:t>应急处置措施</w:t>
            </w:r>
            <w:bookmarkEnd w:id="289"/>
            <w:bookmarkEnd w:id="290"/>
            <w:bookmarkEnd w:id="291"/>
            <w:bookmarkEnd w:id="292"/>
            <w:bookmarkEnd w:id="293"/>
            <w:bookmarkEnd w:id="294"/>
            <w:bookmarkEnd w:id="295"/>
          </w:p>
        </w:tc>
        <w:tc>
          <w:tcPr>
            <w:tcW w:w="4408" w:type="pct"/>
            <w:gridSpan w:val="3"/>
          </w:tcPr>
          <w:p w14:paraId="14049703">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1、风险物质泄漏现场应急处置措施：</w:t>
            </w:r>
          </w:p>
          <w:p w14:paraId="101E825D">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（1）确认发生风险物质泄漏事件后，根据泄漏风险物质性质、事故点地形地貌、气象条件，依据污染扩散模型，确定合理警戒区域，划定紧急隔离带。防止无关人员进入事发区域，实行交通管制。</w:t>
            </w:r>
          </w:p>
          <w:p w14:paraId="31F0C0D7">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（2）堵漏：现场应急处理人员根据泄漏情况采取适当的切断泄漏源的措施，若为运输车辆侧翻导致的泄漏，应利用吊车将运输车辆扶正后采用木楔、外封式堵漏袋等方式进行堵漏。</w:t>
            </w:r>
          </w:p>
          <w:p w14:paraId="7C1FE58F">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泄漏液的处置处理：根据查明泄漏污染物的去向，对污水流经途径的关键节点位置进行截断，用沙包封堵污染物进入雨水系统周围的沟渠或雨水井，尽可能将污染物限制在附近低洼处或事故区雨水管网内，防止或减少污染物进入地表水的量；</w:t>
            </w:r>
          </w:p>
          <w:p w14:paraId="48B0EC88">
            <w:pPr>
              <w:pStyle w:val="42"/>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（4）防止环境风险物质及消防废水流入雨水管网：根据事发地的雨水分布情况和雨水进入区域地表水系统排放口的分布情况，用沙袋堵住雨水进入区域地表水系统排放口，对污染物进行拦截；</w:t>
            </w:r>
          </w:p>
          <w:p w14:paraId="1E2AE8E0">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（5）对截留在雨水系统的污染物进行应急处置，必要时利用槽罐车将污水系统的污染物就近送至当地污水处理厂或有处理资质的单位处理；</w:t>
            </w:r>
          </w:p>
          <w:p w14:paraId="4B2CCDEE">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如污染物进入市政污水管网系统，则通知当地污水处理厂，调整各污水处理厂工艺运行参数和药剂投加量，直到调整系统运行出水达标。</w:t>
            </w:r>
          </w:p>
          <w:p w14:paraId="3D813FDD">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（6）如未妥善处理污染物通过雨水管网</w:t>
            </w:r>
            <w:r>
              <w:rPr>
                <w:rFonts w:hint="eastAsia" w:ascii="仿宋_GB2312" w:hAnsi="仿宋_GB2312" w:eastAsia="仿宋_GB2312" w:cs="仿宋_GB2312"/>
                <w:color w:val="auto"/>
                <w:sz w:val="32"/>
                <w:szCs w:val="32"/>
                <w:lang w:eastAsia="zh-CN"/>
              </w:rPr>
              <w:t>流入</w:t>
            </w:r>
            <w:r>
              <w:rPr>
                <w:rFonts w:hint="eastAsia" w:ascii="仿宋_GB2312" w:hAnsi="仿宋_GB2312" w:eastAsia="仿宋_GB2312" w:cs="仿宋_GB2312"/>
                <w:color w:val="auto"/>
                <w:sz w:val="32"/>
                <w:szCs w:val="32"/>
              </w:rPr>
              <w:t>外环境地表水体，如果污水泄漏量很大，则应采取拦截筑坝方式拦截废水，以减轻对地表水体的污染，并通知下游停止使用地表水资源，并将拦截的污水就近运至污水处理厂处理达标后方可外排；如油类物质泄漏</w:t>
            </w:r>
            <w:bookmarkStart w:id="296" w:name="_Hlk16610131"/>
            <w:r>
              <w:rPr>
                <w:rFonts w:hint="eastAsia" w:ascii="仿宋_GB2312" w:hAnsi="仿宋_GB2312" w:eastAsia="仿宋_GB2312" w:cs="仿宋_GB2312"/>
                <w:color w:val="auto"/>
                <w:sz w:val="32"/>
                <w:szCs w:val="32"/>
              </w:rPr>
              <w:t>至地表水</w:t>
            </w:r>
            <w:bookmarkEnd w:id="296"/>
            <w:r>
              <w:rPr>
                <w:rFonts w:hint="eastAsia" w:ascii="仿宋_GB2312" w:hAnsi="仿宋_GB2312" w:eastAsia="仿宋_GB2312" w:cs="仿宋_GB2312"/>
                <w:color w:val="auto"/>
                <w:sz w:val="32"/>
                <w:szCs w:val="32"/>
              </w:rPr>
              <w:t>体，应在下游不同距离多级设置围油栏等，并使用多种吸油设施处理。</w:t>
            </w:r>
          </w:p>
          <w:p w14:paraId="10B63A82">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（7）委</w:t>
            </w:r>
            <w:r>
              <w:rPr>
                <w:rFonts w:hint="eastAsia" w:ascii="仿宋_GB2312" w:hAnsi="仿宋_GB2312" w:eastAsia="仿宋_GB2312" w:cs="仿宋_GB2312"/>
                <w:color w:val="auto"/>
                <w:sz w:val="32"/>
                <w:szCs w:val="32"/>
                <w:lang w:val="zh-CN"/>
              </w:rPr>
              <w:t>托当地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w:t>
            </w:r>
            <w:r>
              <w:rPr>
                <w:rFonts w:hint="eastAsia" w:ascii="仿宋_GB2312" w:hAnsi="仿宋_GB2312" w:eastAsia="仿宋_GB2312" w:cs="仿宋_GB2312"/>
                <w:color w:val="auto"/>
                <w:sz w:val="32"/>
                <w:szCs w:val="32"/>
                <w:lang w:val="zh-CN"/>
              </w:rPr>
              <w:t>进行应急监测，根据监测情况实施下一步的应急措施。</w:t>
            </w:r>
          </w:p>
          <w:p w14:paraId="5C77E7BA">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2、火灾爆炸现场应急处置措施：</w:t>
            </w:r>
          </w:p>
          <w:p w14:paraId="04145958">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（1）确认发生火灾爆炸事件后，在事发点附近区域设立警戒区，防止无关人员进入事发区域；现场指挥人员通知应急工作组快速集结投入应急处置行动，若事故现场继续蔓延扩大，</w:t>
            </w:r>
            <w:r>
              <w:rPr>
                <w:rFonts w:hint="eastAsia" w:ascii="仿宋_GB2312" w:hAnsi="仿宋_GB2312" w:eastAsia="仿宋_GB2312" w:cs="仿宋_GB2312"/>
                <w:color w:val="auto"/>
                <w:sz w:val="32"/>
                <w:szCs w:val="32"/>
              </w:rPr>
              <w:t>请求上级应急指挥部调配应急工作组、专业消防队和社会专业应急救援队伍支援</w:t>
            </w:r>
            <w:r>
              <w:rPr>
                <w:rFonts w:hint="eastAsia" w:ascii="仿宋_GB2312" w:hAnsi="仿宋_GB2312" w:eastAsia="仿宋_GB2312" w:cs="仿宋_GB2312"/>
                <w:color w:val="auto"/>
                <w:sz w:val="32"/>
                <w:szCs w:val="32"/>
                <w:lang w:val="zh-CN"/>
              </w:rPr>
              <w:t>；</w:t>
            </w:r>
          </w:p>
          <w:p w14:paraId="5FE73F32">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（2）专业消防队及时到达时，根据专业消防队的指示和安排，配合开展灭火或污染防治行动，救援人员应佩戴正压式呼吸器，开展应急灭火行动。</w:t>
            </w:r>
          </w:p>
          <w:p w14:paraId="459AAFD2">
            <w:pPr>
              <w:pStyle w:val="42"/>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（3）根据事故发生地地形地势，判断消防废水流动走向，将消防废水引至附近较低洼地带，待事后抽走运至污水处理厂处理达标后方可外排。</w:t>
            </w:r>
          </w:p>
        </w:tc>
      </w:tr>
      <w:tr w14:paraId="486A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591" w:type="pct"/>
            <w:vAlign w:val="center"/>
          </w:tcPr>
          <w:p w14:paraId="13F10E93">
            <w:pPr>
              <w:pStyle w:val="42"/>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32"/>
                <w:szCs w:val="32"/>
              </w:rPr>
            </w:pPr>
            <w:bookmarkStart w:id="297" w:name="_Toc9272955"/>
            <w:bookmarkStart w:id="298" w:name="_Toc15053329"/>
            <w:bookmarkStart w:id="299" w:name="_Toc25610880"/>
            <w:bookmarkStart w:id="300" w:name="_Toc6328579"/>
            <w:bookmarkStart w:id="301" w:name="_Toc25611020"/>
            <w:bookmarkStart w:id="302" w:name="_Toc471998867"/>
            <w:bookmarkStart w:id="303" w:name="_Toc469134646"/>
            <w:r>
              <w:rPr>
                <w:rFonts w:hint="eastAsia" w:ascii="仿宋_GB2312" w:hAnsi="仿宋_GB2312" w:eastAsia="仿宋_GB2312" w:cs="仿宋_GB2312"/>
                <w:color w:val="auto"/>
                <w:sz w:val="32"/>
                <w:szCs w:val="32"/>
              </w:rPr>
              <w:t>应急监测方案</w:t>
            </w:r>
            <w:bookmarkEnd w:id="297"/>
            <w:bookmarkEnd w:id="298"/>
            <w:bookmarkEnd w:id="299"/>
            <w:bookmarkEnd w:id="300"/>
            <w:bookmarkEnd w:id="301"/>
            <w:bookmarkEnd w:id="302"/>
            <w:bookmarkEnd w:id="303"/>
          </w:p>
        </w:tc>
        <w:tc>
          <w:tcPr>
            <w:tcW w:w="4408" w:type="pct"/>
            <w:gridSpan w:val="3"/>
            <w:vAlign w:val="center"/>
          </w:tcPr>
          <w:p w14:paraId="09D99872">
            <w:pPr>
              <w:pStyle w:val="42"/>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监测单位：</w:t>
            </w:r>
            <w:r>
              <w:rPr>
                <w:rFonts w:hint="eastAsia" w:ascii="仿宋_GB2312" w:hAnsi="仿宋_GB2312" w:eastAsia="仿宋_GB2312" w:cs="仿宋_GB2312"/>
                <w:color w:val="auto"/>
                <w:sz w:val="32"/>
                <w:szCs w:val="32"/>
              </w:rPr>
              <w:t>委</w:t>
            </w:r>
            <w:r>
              <w:rPr>
                <w:rFonts w:hint="eastAsia" w:ascii="仿宋_GB2312" w:hAnsi="仿宋_GB2312" w:eastAsia="仿宋_GB2312" w:cs="仿宋_GB2312"/>
                <w:color w:val="auto"/>
                <w:sz w:val="32"/>
                <w:szCs w:val="32"/>
                <w:lang w:val="zh-CN"/>
              </w:rPr>
              <w:t>托当地</w:t>
            </w:r>
            <w:r>
              <w:rPr>
                <w:rFonts w:hint="eastAsia" w:ascii="仿宋_GB2312" w:hAnsi="仿宋_GB2312" w:eastAsia="仿宋_GB2312" w:cs="仿宋_GB2312"/>
                <w:color w:val="auto"/>
                <w:sz w:val="32"/>
                <w:szCs w:val="32"/>
                <w:lang w:val="en-US" w:eastAsia="zh-CN"/>
              </w:rPr>
              <w:t>生态</w:t>
            </w:r>
            <w:r>
              <w:rPr>
                <w:rFonts w:hint="eastAsia" w:ascii="仿宋_GB2312" w:hAnsi="仿宋_GB2312" w:eastAsia="仿宋_GB2312" w:cs="仿宋_GB2312"/>
                <w:color w:val="auto"/>
                <w:sz w:val="32"/>
                <w:szCs w:val="32"/>
              </w:rPr>
              <w:t>环境监测</w:t>
            </w:r>
            <w:r>
              <w:rPr>
                <w:rFonts w:hint="eastAsia" w:ascii="仿宋_GB2312" w:hAnsi="仿宋_GB2312" w:eastAsia="仿宋_GB2312" w:cs="仿宋_GB2312"/>
                <w:color w:val="auto"/>
                <w:sz w:val="32"/>
                <w:szCs w:val="32"/>
                <w:lang w:val="en-US" w:eastAsia="zh-CN"/>
              </w:rPr>
              <w:t>中心</w:t>
            </w:r>
            <w:r>
              <w:rPr>
                <w:rFonts w:hint="eastAsia" w:ascii="仿宋_GB2312" w:hAnsi="仿宋_GB2312" w:eastAsia="仿宋_GB2312" w:cs="仿宋_GB2312"/>
                <w:color w:val="auto"/>
                <w:sz w:val="32"/>
                <w:szCs w:val="32"/>
              </w:rPr>
              <w:t>或委托资质单位</w:t>
            </w:r>
            <w:r>
              <w:rPr>
                <w:rFonts w:hint="eastAsia" w:ascii="仿宋_GB2312" w:hAnsi="仿宋_GB2312" w:eastAsia="仿宋_GB2312" w:cs="仿宋_GB2312"/>
                <w:color w:val="auto"/>
                <w:sz w:val="32"/>
                <w:szCs w:val="32"/>
                <w:lang w:val="zh-CN"/>
              </w:rPr>
              <w:t>进行应急监测。</w:t>
            </w:r>
          </w:p>
          <w:p w14:paraId="1FC2777B">
            <w:pPr>
              <w:pStyle w:val="42"/>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监测因子：CODcr、氨氮及涉及的其他危险化学品等。</w:t>
            </w:r>
          </w:p>
          <w:p w14:paraId="55384E73">
            <w:pPr>
              <w:pStyle w:val="42"/>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rPr>
              <w:t>监测频次：结合实际情况由监测单位确定。</w:t>
            </w:r>
          </w:p>
        </w:tc>
      </w:tr>
      <w:tr w14:paraId="751B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591" w:type="pct"/>
            <w:vAlign w:val="center"/>
          </w:tcPr>
          <w:p w14:paraId="768807D6">
            <w:pPr>
              <w:pStyle w:val="42"/>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应急</w:t>
            </w:r>
          </w:p>
          <w:p w14:paraId="66DD616A">
            <w:pPr>
              <w:pStyle w:val="42"/>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物资</w:t>
            </w:r>
          </w:p>
        </w:tc>
        <w:tc>
          <w:tcPr>
            <w:tcW w:w="1906" w:type="pct"/>
            <w:vAlign w:val="center"/>
          </w:tcPr>
          <w:p w14:paraId="327A8733">
            <w:pPr>
              <w:pStyle w:val="42"/>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堵漏工具及设施</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zh-CN"/>
              </w:rPr>
              <w:t>呼吸器、防化服、灭火器、消防炮等</w:t>
            </w:r>
          </w:p>
        </w:tc>
        <w:tc>
          <w:tcPr>
            <w:tcW w:w="593" w:type="pct"/>
            <w:vAlign w:val="center"/>
          </w:tcPr>
          <w:p w14:paraId="498126AD">
            <w:pPr>
              <w:pStyle w:val="42"/>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获取地点</w:t>
            </w:r>
          </w:p>
        </w:tc>
        <w:tc>
          <w:tcPr>
            <w:tcW w:w="1908" w:type="pct"/>
            <w:vAlign w:val="center"/>
          </w:tcPr>
          <w:p w14:paraId="5E9941E3">
            <w:pPr>
              <w:pStyle w:val="42"/>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企事业单位周边企业、所在</w:t>
            </w:r>
            <w:r>
              <w:rPr>
                <w:rFonts w:hint="eastAsia" w:ascii="仿宋_GB2312" w:hAnsi="仿宋_GB2312" w:eastAsia="仿宋_GB2312" w:cs="仿宋_GB2312"/>
                <w:color w:val="auto"/>
                <w:sz w:val="32"/>
                <w:szCs w:val="32"/>
                <w:lang w:val="en-US" w:eastAsia="zh-CN"/>
              </w:rPr>
              <w:t>产业</w:t>
            </w:r>
            <w:r>
              <w:rPr>
                <w:rFonts w:hint="eastAsia" w:ascii="仿宋_GB2312" w:hAnsi="仿宋_GB2312" w:eastAsia="仿宋_GB2312" w:cs="仿宋_GB2312"/>
                <w:color w:val="auto"/>
                <w:sz w:val="32"/>
                <w:szCs w:val="32"/>
                <w:lang w:val="zh-CN"/>
              </w:rPr>
              <w:t>园区、事发地的区（县）及周边区（县）、</w:t>
            </w:r>
            <w:r>
              <w:rPr>
                <w:rFonts w:hint="eastAsia" w:ascii="仿宋_GB2312" w:hAnsi="仿宋_GB2312" w:eastAsia="仿宋_GB2312" w:cs="仿宋_GB2312"/>
                <w:color w:val="auto"/>
                <w:sz w:val="32"/>
                <w:szCs w:val="32"/>
                <w:lang w:val="en-US" w:eastAsia="zh-CN"/>
              </w:rPr>
              <w:t>区</w:t>
            </w:r>
            <w:r>
              <w:rPr>
                <w:rFonts w:hint="eastAsia" w:ascii="仿宋_GB2312" w:hAnsi="仿宋_GB2312" w:eastAsia="仿宋_GB2312" w:cs="仿宋_GB2312"/>
                <w:color w:val="auto"/>
                <w:sz w:val="32"/>
                <w:szCs w:val="32"/>
                <w:lang w:val="zh-CN"/>
              </w:rPr>
              <w:t>级应急指挥部等可调用应急物资；专职消防队等专业应急救援队伍处。</w:t>
            </w:r>
          </w:p>
        </w:tc>
      </w:tr>
    </w:tbl>
    <w:p w14:paraId="690562F6">
      <w:pPr>
        <w:ind w:left="0" w:leftChars="0" w:firstLine="0" w:firstLineChars="0"/>
        <w:jc w:val="center"/>
        <w:rPr>
          <w:rFonts w:hint="default" w:ascii="方正小标宋简体" w:hAnsi="方正小标宋简体" w:eastAsia="方正小标宋简体" w:cs="方正小标宋简体"/>
          <w:b w:val="0"/>
          <w:bCs w:val="0"/>
          <w:color w:val="auto"/>
          <w:sz w:val="32"/>
          <w:szCs w:val="32"/>
        </w:rPr>
      </w:pPr>
      <w:r>
        <w:rPr>
          <w:rFonts w:hint="default" w:ascii="方正小标宋简体" w:hAnsi="方正小标宋简体" w:eastAsia="方正小标宋简体" w:cs="方正小标宋简体"/>
          <w:b w:val="0"/>
          <w:bCs w:val="0"/>
          <w:color w:val="auto"/>
          <w:sz w:val="32"/>
          <w:szCs w:val="32"/>
        </w:rPr>
        <w:t>突发水华事件应急处置卡</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9"/>
        <w:gridCol w:w="2430"/>
        <w:gridCol w:w="4092"/>
      </w:tblGrid>
      <w:tr w14:paraId="0ED4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7D4C72EE">
            <w:pPr>
              <w:keepNext w:val="0"/>
              <w:keepLines w:val="0"/>
              <w:pageBreakBefore w:val="0"/>
              <w:widowControl w:val="0"/>
              <w:kinsoku/>
              <w:wordWrap/>
              <w:overflowPunct/>
              <w:topLinePunct w:val="0"/>
              <w:autoSpaceDE/>
              <w:autoSpaceDN/>
              <w:bidi w:val="0"/>
              <w:adjustRightInd/>
              <w:snapToGrid/>
              <w:spacing w:line="400" w:lineRule="exact"/>
              <w:ind w:firstLine="361"/>
              <w:jc w:val="center"/>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color w:val="auto"/>
                <w:sz w:val="32"/>
                <w:szCs w:val="32"/>
              </w:rPr>
              <w:t>突发水华事件</w:t>
            </w:r>
          </w:p>
        </w:tc>
      </w:tr>
      <w:tr w14:paraId="69DF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77FFB257">
            <w:pPr>
              <w:keepNext w:val="0"/>
              <w:keepLines w:val="0"/>
              <w:pageBreakBefore w:val="0"/>
              <w:widowControl w:val="0"/>
              <w:kinsoku/>
              <w:wordWrap/>
              <w:overflowPunct/>
              <w:topLinePunct w:val="0"/>
              <w:autoSpaceDE/>
              <w:autoSpaceDN/>
              <w:bidi w:val="0"/>
              <w:adjustRightInd/>
              <w:snapToGrid/>
              <w:spacing w:line="400" w:lineRule="exact"/>
              <w:ind w:firstLine="36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应急报告</w:t>
            </w:r>
          </w:p>
        </w:tc>
      </w:tr>
      <w:tr w14:paraId="6A4C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1E65ED90">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发现人及时按照以下模式进行报告：“我是××（部门+姓名），××（地点）发生水华事件，请求救援。”</w:t>
            </w:r>
          </w:p>
        </w:tc>
      </w:tr>
      <w:tr w14:paraId="0F26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59D892F3">
            <w:pPr>
              <w:keepNext w:val="0"/>
              <w:keepLines w:val="0"/>
              <w:pageBreakBefore w:val="0"/>
              <w:widowControl w:val="0"/>
              <w:kinsoku/>
              <w:wordWrap/>
              <w:overflowPunct/>
              <w:topLinePunct w:val="0"/>
              <w:autoSpaceDE/>
              <w:autoSpaceDN/>
              <w:bidi w:val="0"/>
              <w:adjustRightInd/>
              <w:snapToGrid/>
              <w:spacing w:line="400" w:lineRule="exact"/>
              <w:ind w:firstLine="36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信息研判</w:t>
            </w:r>
          </w:p>
        </w:tc>
      </w:tr>
      <w:tr w14:paraId="27DD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498C0699">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应急指挥接到报告后，由协调办公室组织成立应急专项工作组，其中应急监测组赶赴现场调查实际情况，并采样检测；应急专家组根据信息研判事态紧急程度，启用相关应急措施；具体应急措施由其他相关应急专项工作组负责落实。</w:t>
            </w:r>
          </w:p>
        </w:tc>
      </w:tr>
      <w:tr w14:paraId="5B2D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4A81C754">
            <w:pPr>
              <w:keepNext w:val="0"/>
              <w:keepLines w:val="0"/>
              <w:pageBreakBefore w:val="0"/>
              <w:widowControl w:val="0"/>
              <w:kinsoku/>
              <w:wordWrap/>
              <w:overflowPunct/>
              <w:topLinePunct w:val="0"/>
              <w:autoSpaceDE/>
              <w:autoSpaceDN/>
              <w:bidi w:val="0"/>
              <w:adjustRightInd/>
              <w:snapToGrid/>
              <w:spacing w:line="400" w:lineRule="exact"/>
              <w:ind w:firstLine="361"/>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color w:val="auto"/>
                <w:sz w:val="32"/>
                <w:szCs w:val="32"/>
              </w:rPr>
              <w:t>现场应急措施</w:t>
            </w:r>
          </w:p>
        </w:tc>
      </w:tr>
      <w:tr w14:paraId="624B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3"/>
            <w:vAlign w:val="center"/>
          </w:tcPr>
          <w:p w14:paraId="5C96A6D7">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（一）调水工程。</w:t>
            </w:r>
          </w:p>
          <w:p w14:paraId="539F82E7">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若水源被污染不能饮用，则需停止该水源的供水，并通知下游相关水厂采取保护措施；同时紧急从备用水源调水为供水水源。</w:t>
            </w:r>
          </w:p>
          <w:p w14:paraId="30EA836A">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（二）打捞工程。</w:t>
            </w:r>
          </w:p>
          <w:p w14:paraId="775268B5">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将藻类迅速打捞出水。打捞可采取人工捞取或者机动表层抽吸；打捞出水的藻类、水面漂浮物及沉淀污泥等送往指定场所进行无害化处理。</w:t>
            </w:r>
          </w:p>
          <w:p w14:paraId="5B932C57">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（三）化学方法。</w:t>
            </w:r>
          </w:p>
          <w:p w14:paraId="0DBE0C7D">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使用硫酸铜、季铵盐、活性剂、高锰酸钾、聚合氯化铝、硫酸亚铁等化学药剂，对过多的浮游生物、藻类进行杀灭、絮凝、沉降。</w:t>
            </w:r>
          </w:p>
          <w:p w14:paraId="297F400F">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（四）复合方法。</w:t>
            </w:r>
          </w:p>
          <w:p w14:paraId="016FAC0B">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color w:val="auto"/>
                <w:sz w:val="32"/>
                <w:szCs w:val="32"/>
              </w:rPr>
              <w:t>用含有微生物菌剂的黏土来吸附包裹水体中的藻类，然后用絮凝剂絮凝沉降已经包裹住藻类的黏土，阻断藻类生长的光照条件，达到把藻类从水体中均匀分布的状态中聚集与水体分离的目的，增加水体的透明度；还可以向水体投入活性炭。以上方法能够明显改善水体的感官指标，提高透明度，减少异味以及降低水体的污染指标等。</w:t>
            </w:r>
          </w:p>
        </w:tc>
      </w:tr>
      <w:tr w14:paraId="2907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01" w:type="pct"/>
            <w:vAlign w:val="center"/>
          </w:tcPr>
          <w:p w14:paraId="08357D2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负责人</w:t>
            </w:r>
          </w:p>
        </w:tc>
        <w:tc>
          <w:tcPr>
            <w:tcW w:w="1341" w:type="pct"/>
            <w:vAlign w:val="center"/>
          </w:tcPr>
          <w:p w14:paraId="0299A722">
            <w:pPr>
              <w:keepNext w:val="0"/>
              <w:keepLines w:val="0"/>
              <w:pageBreakBefore w:val="0"/>
              <w:widowControl w:val="0"/>
              <w:kinsoku/>
              <w:wordWrap/>
              <w:overflowPunct/>
              <w:topLinePunct w:val="0"/>
              <w:autoSpaceDE/>
              <w:autoSpaceDN/>
              <w:bidi w:val="0"/>
              <w:adjustRightInd/>
              <w:snapToGrid/>
              <w:spacing w:line="400" w:lineRule="exact"/>
              <w:ind w:firstLine="360"/>
              <w:jc w:val="center"/>
              <w:textAlignment w:val="auto"/>
              <w:rPr>
                <w:rFonts w:hint="eastAsia" w:ascii="仿宋_GB2312" w:hAnsi="仿宋_GB2312" w:eastAsia="仿宋_GB2312" w:cs="仿宋_GB2312"/>
                <w:color w:val="auto"/>
                <w:sz w:val="32"/>
                <w:szCs w:val="32"/>
              </w:rPr>
            </w:pPr>
          </w:p>
        </w:tc>
        <w:tc>
          <w:tcPr>
            <w:tcW w:w="2256" w:type="pct"/>
            <w:vAlign w:val="center"/>
          </w:tcPr>
          <w:p w14:paraId="5C8CA6FF">
            <w:pPr>
              <w:keepNext w:val="0"/>
              <w:keepLines w:val="0"/>
              <w:pageBreakBefore w:val="0"/>
              <w:widowControl w:val="0"/>
              <w:kinsoku/>
              <w:wordWrap/>
              <w:overflowPunct/>
              <w:topLinePunct w:val="0"/>
              <w:autoSpaceDE/>
              <w:autoSpaceDN/>
              <w:bidi w:val="0"/>
              <w:adjustRightInd/>
              <w:snapToGrid/>
              <w:spacing w:line="400" w:lineRule="exact"/>
              <w:ind w:firstLine="3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联系方式：</w:t>
            </w:r>
          </w:p>
        </w:tc>
      </w:tr>
    </w:tbl>
    <w:p w14:paraId="4A636417">
      <w:pP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br w:type="page"/>
      </w:r>
    </w:p>
    <w:p w14:paraId="0F94389D">
      <w:pPr>
        <w:pStyle w:val="1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outlineLvl w:val="1"/>
        <w:rPr>
          <w:rFonts w:hint="eastAsia" w:ascii="黑体" w:hAnsi="黑体" w:eastAsia="黑体" w:cs="黑体"/>
          <w:b w:val="0"/>
          <w:bCs w:val="0"/>
          <w:color w:val="auto"/>
          <w:kern w:val="2"/>
          <w:sz w:val="32"/>
          <w:szCs w:val="32"/>
          <w:lang w:val="en-US" w:eastAsia="zh-CN" w:bidi="ar-SA"/>
        </w:rPr>
      </w:pPr>
      <w:bookmarkStart w:id="304" w:name="_Toc4891"/>
      <w:r>
        <w:rPr>
          <w:rFonts w:hint="eastAsia" w:ascii="黑体" w:hAnsi="黑体" w:eastAsia="黑体" w:cs="黑体"/>
          <w:b w:val="0"/>
          <w:bCs w:val="0"/>
          <w:color w:val="auto"/>
          <w:kern w:val="2"/>
          <w:sz w:val="32"/>
          <w:szCs w:val="32"/>
          <w:lang w:val="en-US" w:eastAsia="zh-CN" w:bidi="ar-SA"/>
        </w:rPr>
        <w:t>附件6</w:t>
      </w:r>
    </w:p>
    <w:p w14:paraId="1239F9A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lang w:val="en-US" w:eastAsia="zh-CN"/>
        </w:rPr>
      </w:pPr>
    </w:p>
    <w:p w14:paraId="7241B883">
      <w:pPr>
        <w:pStyle w:val="1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outlineLvl w:val="1"/>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color w:val="auto"/>
          <w:kern w:val="2"/>
          <w:sz w:val="44"/>
          <w:szCs w:val="44"/>
          <w:lang w:val="en-US" w:eastAsia="zh-CN" w:bidi="ar-SA"/>
        </w:rPr>
        <w:t>昌江区环境风险重点管控企业名单</w:t>
      </w:r>
      <w:bookmarkEnd w:id="304"/>
    </w:p>
    <w:tbl>
      <w:tblPr>
        <w:tblStyle w:val="22"/>
        <w:tblW w:w="5134" w:type="pct"/>
        <w:tblInd w:w="-2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5"/>
        <w:gridCol w:w="4551"/>
        <w:gridCol w:w="3748"/>
      </w:tblGrid>
      <w:tr w14:paraId="3DA4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BD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序号</w:t>
            </w:r>
          </w:p>
        </w:tc>
        <w:tc>
          <w:tcPr>
            <w:tcW w:w="2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F97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重点企业名称</w:t>
            </w:r>
          </w:p>
        </w:tc>
        <w:tc>
          <w:tcPr>
            <w:tcW w:w="20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633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重点单位类别</w:t>
            </w:r>
          </w:p>
        </w:tc>
      </w:tr>
      <w:tr w14:paraId="1EBC5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409A9">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370F7">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景德镇市国信清源生态环保有限公司（鲇鱼山镇新厂区）</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D9633">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大气、环境风险重点管控</w:t>
            </w:r>
          </w:p>
        </w:tc>
      </w:tr>
      <w:tr w14:paraId="4781D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DEE70">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B9A7A">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江西凌富生物科技有限公司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B29C5">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水、大气、土壤、环境风险重点管控</w:t>
            </w:r>
          </w:p>
        </w:tc>
      </w:tr>
      <w:tr w14:paraId="674C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D8EDD">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3</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99512">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景德镇国控环境产业有限公司（景德镇市宋家山垃圾填埋场）</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17431">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水、地下水、环境风险重点管控</w:t>
            </w:r>
          </w:p>
        </w:tc>
      </w:tr>
      <w:tr w14:paraId="1B2E4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0D89D">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4</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EFEEA">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景德镇国控环境产业有限公司（富祥生物医药产业园污水处理厂）</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2E0DA">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水、环境风险重点管控</w:t>
            </w:r>
          </w:p>
        </w:tc>
      </w:tr>
      <w:tr w14:paraId="2547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32510">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5</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21E8B">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景德镇市宏亿电子科技</w:t>
            </w:r>
          </w:p>
          <w:p w14:paraId="5E6E87CE">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8428D">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环境风险重点管控</w:t>
            </w:r>
          </w:p>
        </w:tc>
      </w:tr>
      <w:tr w14:paraId="04AC5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7A1F6">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6</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6855D">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江西富祥药业股份有限公司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E3664">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水、大气、土壤、地下水、环境风险重点管控</w:t>
            </w:r>
          </w:p>
        </w:tc>
      </w:tr>
      <w:tr w14:paraId="60C37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402EF">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7</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1FB36">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江西黑猫炭黑股份有限公司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3E606">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水、大气、土壤、地下水、环境风险重点管控</w:t>
            </w:r>
          </w:p>
        </w:tc>
      </w:tr>
      <w:tr w14:paraId="512A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7C330">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8</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25279">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 xml:space="preserve">景德镇市焦化能源有限公司 </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C26B3">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水、大气、土壤、地下水、环境风险重点管控</w:t>
            </w:r>
          </w:p>
        </w:tc>
      </w:tr>
      <w:tr w14:paraId="08ADE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8D4FB">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517C0">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国家电投集团江西电力有限</w:t>
            </w:r>
          </w:p>
          <w:p w14:paraId="4D1041EE">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公司景德镇发电厂</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BEE35">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大气、环境风险重点管控</w:t>
            </w:r>
          </w:p>
        </w:tc>
      </w:tr>
      <w:tr w14:paraId="0AA92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BFEAA">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10</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CF190">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景德镇市国信清源生态环保</w:t>
            </w:r>
          </w:p>
          <w:p w14:paraId="6D62714C">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586EB">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环境风险重点管控</w:t>
            </w:r>
          </w:p>
        </w:tc>
      </w:tr>
      <w:tr w14:paraId="5E27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6E682">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11</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6B525">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景德镇富祥生命科技有限公司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B5D1B">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水、大气、土壤、环境风险重点管控</w:t>
            </w:r>
          </w:p>
        </w:tc>
      </w:tr>
      <w:tr w14:paraId="727B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40E2FD">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12</w:t>
            </w:r>
          </w:p>
        </w:tc>
        <w:tc>
          <w:tcPr>
            <w:tcW w:w="24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81AC4">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江西景航航空锻铸有限公司</w:t>
            </w:r>
          </w:p>
        </w:tc>
        <w:tc>
          <w:tcPr>
            <w:tcW w:w="20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8580B">
            <w:pPr>
              <w:keepNext w:val="0"/>
              <w:keepLines w:val="0"/>
              <w:pageBreakBefore w:val="0"/>
              <w:widowControl/>
              <w:suppressLineNumbers w:val="0"/>
              <w:kinsoku/>
              <w:wordWrap/>
              <w:overflowPunct/>
              <w:topLinePunct w:val="0"/>
              <w:autoSpaceDE/>
              <w:autoSpaceDN/>
              <w:bidi w:val="0"/>
              <w:adjustRightInd/>
              <w:snapToGrid/>
              <w:spacing w:line="420" w:lineRule="exact"/>
              <w:ind w:firstLine="0" w:firstLineChars="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环境风险重点管控</w:t>
            </w:r>
          </w:p>
        </w:tc>
      </w:tr>
    </w:tbl>
    <w:p w14:paraId="03CC40F2">
      <w:pPr>
        <w:pStyle w:val="29"/>
        <w:pageBreakBefore w:val="0"/>
        <w:kinsoku/>
        <w:wordWrap/>
        <w:overflowPunct/>
        <w:topLinePunct w:val="0"/>
        <w:autoSpaceDE/>
        <w:autoSpaceDN/>
        <w:bidi w:val="0"/>
        <w:adjustRightInd/>
        <w:snapToGrid/>
        <w:spacing w:line="600" w:lineRule="exact"/>
        <w:ind w:left="0" w:leftChars="0" w:firstLine="0" w:firstLineChars="0"/>
        <w:textAlignment w:val="auto"/>
        <w:rPr>
          <w:rFonts w:hint="eastAsia" w:ascii="黑体" w:hAnsi="黑体" w:eastAsia="黑体" w:cs="黑体"/>
          <w:b w:val="0"/>
          <w:bCs w:val="0"/>
          <w:color w:val="auto"/>
          <w:sz w:val="32"/>
          <w:szCs w:val="32"/>
          <w:lang w:val="en-US" w:eastAsia="zh-CN"/>
        </w:rPr>
      </w:pPr>
      <w:bookmarkStart w:id="305" w:name="_Toc25874"/>
      <w:bookmarkStart w:id="306" w:name="_Toc1736"/>
      <w:bookmarkStart w:id="307" w:name="_Toc4596"/>
      <w:r>
        <w:rPr>
          <w:rFonts w:hint="eastAsia" w:ascii="黑体" w:hAnsi="黑体" w:eastAsia="黑体" w:cs="黑体"/>
          <w:b w:val="0"/>
          <w:bCs w:val="0"/>
          <w:color w:val="auto"/>
          <w:sz w:val="32"/>
          <w:szCs w:val="32"/>
        </w:rPr>
        <w:t>附件</w:t>
      </w:r>
      <w:r>
        <w:rPr>
          <w:rFonts w:hint="eastAsia" w:ascii="黑体" w:hAnsi="黑体" w:eastAsia="黑体" w:cs="黑体"/>
          <w:b w:val="0"/>
          <w:bCs w:val="0"/>
          <w:color w:val="auto"/>
          <w:sz w:val="32"/>
          <w:szCs w:val="32"/>
          <w:lang w:val="en-US" w:eastAsia="zh-CN"/>
        </w:rPr>
        <w:t>7</w:t>
      </w:r>
    </w:p>
    <w:p w14:paraId="783A6B34">
      <w:pPr>
        <w:pageBreakBefore w:val="0"/>
        <w:kinsoku/>
        <w:wordWrap/>
        <w:overflowPunct/>
        <w:topLinePunct w:val="0"/>
        <w:autoSpaceDE/>
        <w:autoSpaceDN/>
        <w:bidi w:val="0"/>
        <w:adjustRightInd/>
        <w:snapToGrid/>
        <w:spacing w:line="600" w:lineRule="exact"/>
        <w:textAlignment w:val="auto"/>
        <w:rPr>
          <w:rFonts w:hint="eastAsia"/>
          <w:lang w:val="en-US" w:eastAsia="zh-CN"/>
        </w:rPr>
      </w:pPr>
    </w:p>
    <w:p w14:paraId="4464E674">
      <w:pPr>
        <w:pStyle w:val="34"/>
        <w:pageBreakBefore w:val="0"/>
        <w:widowControl/>
        <w:numPr>
          <w:ilvl w:val="1"/>
          <w:numId w:val="0"/>
        </w:numPr>
        <w:kinsoku/>
        <w:wordWrap/>
        <w:overflowPunct/>
        <w:topLinePunct w:val="0"/>
        <w:autoSpaceDE/>
        <w:autoSpaceDN/>
        <w:bidi w:val="0"/>
        <w:adjustRightInd/>
        <w:snapToGrid/>
        <w:spacing w:before="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val="en-US" w:eastAsia="zh-CN"/>
        </w:rPr>
        <w:t>昌江区</w:t>
      </w:r>
      <w:r>
        <w:rPr>
          <w:rFonts w:hint="eastAsia" w:ascii="方正小标宋简体" w:hAnsi="方正小标宋简体" w:eastAsia="方正小标宋简体" w:cs="方正小标宋简体"/>
          <w:b w:val="0"/>
          <w:bCs w:val="0"/>
          <w:color w:val="auto"/>
          <w:sz w:val="44"/>
          <w:szCs w:val="44"/>
        </w:rPr>
        <w:t>饮用水水源地突发环境事件处置方案</w:t>
      </w:r>
      <w:bookmarkEnd w:id="305"/>
      <w:bookmarkEnd w:id="306"/>
      <w:bookmarkEnd w:id="307"/>
    </w:p>
    <w:p w14:paraId="4E5A3FF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14:paraId="1A79E26B">
      <w:pPr>
        <w:pStyle w:val="31"/>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napToGrid w:val="0"/>
          <w:color w:val="auto"/>
          <w:kern w:val="0"/>
          <w:sz w:val="32"/>
          <w:szCs w:val="32"/>
          <w:lang w:val="en-US" w:eastAsia="zh-CN" w:bidi="ar-SA"/>
        </w:rPr>
      </w:pPr>
      <w:r>
        <w:rPr>
          <w:rFonts w:hint="eastAsia" w:ascii="仿宋_GB2312" w:hAnsi="仿宋_GB2312" w:eastAsia="仿宋_GB2312" w:cs="仿宋_GB2312"/>
          <w:snapToGrid w:val="0"/>
          <w:color w:val="auto"/>
          <w:kern w:val="0"/>
          <w:sz w:val="32"/>
          <w:szCs w:val="32"/>
          <w:lang w:val="en-US" w:eastAsia="zh-CN" w:bidi="ar-SA"/>
        </w:rPr>
        <w:t>目前昌江区</w:t>
      </w:r>
      <w:r>
        <w:rPr>
          <w:rFonts w:hint="default" w:ascii="仿宋_GB2312" w:hAnsi="仿宋_GB2312" w:eastAsia="仿宋_GB2312" w:cs="仿宋_GB2312"/>
          <w:snapToGrid w:val="0"/>
          <w:color w:val="auto"/>
          <w:kern w:val="0"/>
          <w:sz w:val="32"/>
          <w:szCs w:val="32"/>
          <w:lang w:val="en-US" w:eastAsia="zh-CN" w:bidi="ar-SA"/>
        </w:rPr>
        <w:t>集中式饮用水水源地</w:t>
      </w:r>
      <w:r>
        <w:rPr>
          <w:rFonts w:hint="eastAsia" w:ascii="仿宋_GB2312" w:hAnsi="仿宋_GB2312" w:eastAsia="仿宋_GB2312" w:cs="仿宋_GB2312"/>
          <w:snapToGrid w:val="0"/>
          <w:color w:val="auto"/>
          <w:kern w:val="0"/>
          <w:sz w:val="32"/>
          <w:szCs w:val="32"/>
          <w:lang w:val="en-US" w:eastAsia="zh-CN" w:bidi="ar-SA"/>
        </w:rPr>
        <w:t>保护区主要</w:t>
      </w:r>
      <w:r>
        <w:rPr>
          <w:rFonts w:hint="default" w:ascii="仿宋_GB2312" w:hAnsi="仿宋_GB2312" w:eastAsia="仿宋_GB2312" w:cs="仿宋_GB2312"/>
          <w:snapToGrid w:val="0"/>
          <w:color w:val="auto"/>
          <w:kern w:val="0"/>
          <w:sz w:val="32"/>
          <w:szCs w:val="32"/>
          <w:lang w:val="en-US" w:eastAsia="zh-CN" w:bidi="ar-SA"/>
        </w:rPr>
        <w:t>为</w:t>
      </w:r>
      <w:r>
        <w:rPr>
          <w:rFonts w:hint="eastAsia" w:ascii="仿宋_GB2312" w:hAnsi="仿宋_GB2312" w:eastAsia="仿宋_GB2312" w:cs="仿宋_GB2312"/>
          <w:snapToGrid w:val="0"/>
          <w:color w:val="auto"/>
          <w:kern w:val="0"/>
          <w:sz w:val="32"/>
          <w:szCs w:val="32"/>
          <w:lang w:val="en-US" w:eastAsia="zh-CN" w:bidi="ar-SA"/>
        </w:rPr>
        <w:t>第四水厂</w:t>
      </w:r>
      <w:r>
        <w:rPr>
          <w:rFonts w:hint="default" w:ascii="仿宋_GB2312" w:hAnsi="仿宋_GB2312" w:eastAsia="仿宋_GB2312" w:cs="仿宋_GB2312"/>
          <w:snapToGrid w:val="0"/>
          <w:color w:val="auto"/>
          <w:kern w:val="0"/>
          <w:sz w:val="32"/>
          <w:szCs w:val="32"/>
          <w:lang w:val="en-US" w:eastAsia="zh-CN" w:bidi="ar-SA"/>
        </w:rPr>
        <w:t>饮用水水源地</w:t>
      </w:r>
      <w:r>
        <w:rPr>
          <w:rFonts w:hint="eastAsia" w:ascii="仿宋_GB2312" w:hAnsi="仿宋_GB2312" w:eastAsia="仿宋_GB2312" w:cs="仿宋_GB2312"/>
          <w:snapToGrid w:val="0"/>
          <w:color w:val="auto"/>
          <w:kern w:val="0"/>
          <w:sz w:val="32"/>
          <w:szCs w:val="32"/>
          <w:lang w:val="en-US" w:eastAsia="zh-CN" w:bidi="ar-SA"/>
        </w:rPr>
        <w:t>保护区，取水水源位于昌江。为</w:t>
      </w:r>
      <w:r>
        <w:rPr>
          <w:rFonts w:hint="default" w:ascii="仿宋_GB2312" w:hAnsi="仿宋_GB2312" w:eastAsia="仿宋_GB2312" w:cs="仿宋_GB2312"/>
          <w:snapToGrid w:val="0"/>
          <w:color w:val="auto"/>
          <w:kern w:val="0"/>
          <w:sz w:val="32"/>
          <w:szCs w:val="32"/>
          <w:lang w:val="en-US" w:eastAsia="zh-CN" w:bidi="ar-SA"/>
        </w:rPr>
        <w:t>全面提高我</w:t>
      </w:r>
      <w:r>
        <w:rPr>
          <w:rFonts w:hint="eastAsia" w:ascii="仿宋_GB2312" w:hAnsi="仿宋_GB2312" w:eastAsia="仿宋_GB2312" w:cs="仿宋_GB2312"/>
          <w:snapToGrid w:val="0"/>
          <w:color w:val="auto"/>
          <w:kern w:val="0"/>
          <w:sz w:val="32"/>
          <w:szCs w:val="32"/>
          <w:lang w:val="en-US" w:eastAsia="zh-CN" w:bidi="ar-SA"/>
        </w:rPr>
        <w:t>区</w:t>
      </w:r>
      <w:r>
        <w:rPr>
          <w:rFonts w:hint="default" w:ascii="仿宋_GB2312" w:hAnsi="仿宋_GB2312" w:eastAsia="仿宋_GB2312" w:cs="仿宋_GB2312"/>
          <w:snapToGrid w:val="0"/>
          <w:color w:val="auto"/>
          <w:kern w:val="0"/>
          <w:sz w:val="32"/>
          <w:szCs w:val="32"/>
          <w:lang w:val="en-US" w:eastAsia="zh-CN" w:bidi="ar-SA"/>
        </w:rPr>
        <w:t>集中式饮用水水源地突发环境事件的预警和防控能力，未雨绸缪、积极做好水源地突发环境事件的防控工作，及时、有效、科学处置水源地突发环境事件，最大程度降低突发环境事件对水源地水质影响，保障人民群众生命财产安全和人体健康，维护生态环境安全和社会秩序稳定，特制定《</w:t>
      </w:r>
      <w:r>
        <w:rPr>
          <w:rFonts w:hint="eastAsia" w:ascii="仿宋_GB2312" w:hAnsi="仿宋_GB2312" w:eastAsia="仿宋_GB2312" w:cs="仿宋_GB2312"/>
          <w:snapToGrid w:val="0"/>
          <w:color w:val="auto"/>
          <w:kern w:val="0"/>
          <w:sz w:val="32"/>
          <w:szCs w:val="32"/>
          <w:lang w:val="en-US" w:eastAsia="zh-CN" w:bidi="ar-SA"/>
        </w:rPr>
        <w:t>昌江区</w:t>
      </w:r>
      <w:r>
        <w:rPr>
          <w:rFonts w:hint="default" w:ascii="仿宋_GB2312" w:hAnsi="仿宋_GB2312" w:eastAsia="仿宋_GB2312" w:cs="仿宋_GB2312"/>
          <w:snapToGrid w:val="0"/>
          <w:color w:val="auto"/>
          <w:kern w:val="0"/>
          <w:sz w:val="32"/>
          <w:szCs w:val="32"/>
          <w:lang w:val="en-US" w:eastAsia="zh-CN" w:bidi="ar-SA"/>
        </w:rPr>
        <w:t>饮用水水源地突发环境事件处置方案》，本方案按照</w:t>
      </w:r>
      <w:r>
        <w:rPr>
          <w:rFonts w:hint="eastAsia" w:ascii="仿宋_GB2312" w:hAnsi="仿宋_GB2312" w:eastAsia="仿宋_GB2312" w:cs="仿宋_GB2312"/>
          <w:snapToGrid w:val="0"/>
          <w:color w:val="auto"/>
          <w:kern w:val="0"/>
          <w:sz w:val="32"/>
          <w:szCs w:val="32"/>
          <w:lang w:val="en-US" w:eastAsia="zh-CN" w:bidi="ar-SA"/>
        </w:rPr>
        <w:t>上级预案</w:t>
      </w:r>
      <w:r>
        <w:rPr>
          <w:rFonts w:hint="default" w:ascii="仿宋_GB2312" w:hAnsi="仿宋_GB2312" w:eastAsia="仿宋_GB2312" w:cs="仿宋_GB2312"/>
          <w:snapToGrid w:val="0"/>
          <w:color w:val="auto"/>
          <w:kern w:val="0"/>
          <w:sz w:val="32"/>
          <w:szCs w:val="32"/>
          <w:lang w:val="en-US" w:eastAsia="zh-CN" w:bidi="ar-SA"/>
        </w:rPr>
        <w:t>《</w:t>
      </w:r>
      <w:r>
        <w:rPr>
          <w:rFonts w:hint="eastAsia" w:ascii="仿宋_GB2312" w:hAnsi="仿宋_GB2312" w:eastAsia="仿宋_GB2312" w:cs="仿宋_GB2312"/>
          <w:snapToGrid w:val="0"/>
          <w:color w:val="auto"/>
          <w:kern w:val="0"/>
          <w:sz w:val="32"/>
          <w:szCs w:val="32"/>
          <w:lang w:val="en-US" w:eastAsia="zh-CN" w:bidi="ar-SA"/>
        </w:rPr>
        <w:t>景德镇市</w:t>
      </w:r>
      <w:r>
        <w:rPr>
          <w:rFonts w:hint="default" w:ascii="仿宋_GB2312" w:hAnsi="仿宋_GB2312" w:eastAsia="仿宋_GB2312" w:cs="仿宋_GB2312"/>
          <w:snapToGrid w:val="0"/>
          <w:color w:val="auto"/>
          <w:kern w:val="0"/>
          <w:sz w:val="32"/>
          <w:szCs w:val="32"/>
          <w:lang w:val="en-US" w:eastAsia="zh-CN" w:bidi="ar-SA"/>
        </w:rPr>
        <w:t>饮用水源突发环境事件应急预案》等相关水域水环境污染事件应急预案编制。</w:t>
      </w:r>
    </w:p>
    <w:p w14:paraId="1D82D432">
      <w:pPr>
        <w:pStyle w:val="31"/>
        <w:keepNext w:val="0"/>
        <w:keepLines w:val="0"/>
        <w:pageBreakBefore w:val="0"/>
        <w:widowControl/>
        <w:kinsoku/>
        <w:wordWrap/>
        <w:overflowPunct/>
        <w:topLinePunct w:val="0"/>
        <w:autoSpaceDE/>
        <w:autoSpaceDN/>
        <w:bidi w:val="0"/>
        <w:adjustRightInd/>
        <w:snapToGrid/>
        <w:spacing w:line="600" w:lineRule="exact"/>
        <w:ind w:firstLine="562"/>
        <w:textAlignment w:val="auto"/>
        <w:rPr>
          <w:rFonts w:hint="eastAsia" w:ascii="黑体" w:hAnsi="黑体" w:eastAsia="黑体" w:cs="黑体"/>
          <w:b w:val="0"/>
          <w:bCs w:val="0"/>
          <w:snapToGrid w:val="0"/>
          <w:color w:val="auto"/>
          <w:sz w:val="32"/>
          <w:szCs w:val="32"/>
        </w:rPr>
      </w:pPr>
      <w:r>
        <w:rPr>
          <w:rFonts w:hint="eastAsia" w:ascii="黑体" w:hAnsi="黑体" w:eastAsia="黑体" w:cs="黑体"/>
          <w:b w:val="0"/>
          <w:bCs w:val="0"/>
          <w:snapToGrid w:val="0"/>
          <w:color w:val="auto"/>
          <w:sz w:val="32"/>
          <w:szCs w:val="32"/>
        </w:rPr>
        <w:t>一、先期处置</w:t>
      </w:r>
    </w:p>
    <w:p w14:paraId="4A6392A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水源地突发环境事件发生后，</w:t>
      </w:r>
      <w:r>
        <w:rPr>
          <w:rFonts w:hint="default" w:ascii="仿宋_GB2312" w:hAnsi="仿宋_GB2312" w:eastAsia="仿宋_GB2312" w:cs="仿宋_GB2312"/>
          <w:snapToGrid w:val="0"/>
          <w:color w:val="auto"/>
          <w:kern w:val="0"/>
          <w:sz w:val="32"/>
          <w:szCs w:val="32"/>
          <w:lang w:eastAsia="zh-CN"/>
        </w:rPr>
        <w:t>现场</w:t>
      </w:r>
      <w:r>
        <w:rPr>
          <w:rFonts w:hint="default" w:ascii="仿宋_GB2312" w:hAnsi="仿宋_GB2312" w:eastAsia="仿宋_GB2312" w:cs="仿宋_GB2312"/>
          <w:snapToGrid w:val="0"/>
          <w:color w:val="auto"/>
          <w:kern w:val="0"/>
          <w:sz w:val="32"/>
          <w:szCs w:val="32"/>
        </w:rPr>
        <w:t>应急指挥部成立前，事发单位和有关部门立即启动本单位突发环境事件应急预案，迅速开展以下先期处置工作：</w:t>
      </w:r>
    </w:p>
    <w:p w14:paraId="25B9E94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（1）尽快查找污染源或泄漏源，通过依法封堵、收集、转移等措施，切断污染源或泄漏源，标明危险区域，封锁危险场所，并采取其他防止危害扩大的必要措施；</w:t>
      </w:r>
    </w:p>
    <w:p w14:paraId="5422BC3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（2）立即启动应急收集系统，保障对污染物或泄漏物的集中收集，防止污染或泄漏进一步扩散；</w:t>
      </w:r>
    </w:p>
    <w:p w14:paraId="5FB72A8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eastAsia="zh-CN"/>
        </w:rPr>
      </w:pPr>
      <w:r>
        <w:rPr>
          <w:rFonts w:hint="default" w:ascii="仿宋_GB2312" w:hAnsi="仿宋_GB2312" w:eastAsia="仿宋_GB2312" w:cs="仿宋_GB2312"/>
          <w:snapToGrid w:val="0"/>
          <w:color w:val="auto"/>
          <w:kern w:val="0"/>
          <w:sz w:val="32"/>
          <w:szCs w:val="32"/>
        </w:rPr>
        <w:t>（3）立即</w:t>
      </w:r>
      <w:r>
        <w:rPr>
          <w:rFonts w:hint="default" w:ascii="仿宋_GB2312" w:hAnsi="仿宋_GB2312" w:eastAsia="仿宋_GB2312" w:cs="仿宋_GB2312"/>
          <w:snapToGrid w:val="0"/>
          <w:color w:val="auto"/>
          <w:kern w:val="0"/>
          <w:sz w:val="32"/>
          <w:szCs w:val="32"/>
          <w:lang w:val="en-US" w:eastAsia="zh-CN"/>
        </w:rPr>
        <w:t>向上级主管部门报告，及时通报可能受到危害的单位和居民；</w:t>
      </w:r>
    </w:p>
    <w:p w14:paraId="6045FAD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kern w:val="0"/>
          <w:sz w:val="32"/>
          <w:szCs w:val="32"/>
          <w:lang w:val="en-US" w:eastAsia="zh-CN"/>
        </w:rPr>
      </w:pPr>
      <w:r>
        <w:rPr>
          <w:rFonts w:hint="default" w:ascii="仿宋_GB2312" w:hAnsi="仿宋_GB2312" w:eastAsia="仿宋_GB2312" w:cs="仿宋_GB2312"/>
          <w:snapToGrid w:val="0"/>
          <w:color w:val="auto"/>
          <w:kern w:val="0"/>
          <w:sz w:val="32"/>
          <w:szCs w:val="32"/>
          <w:lang w:val="en-US" w:eastAsia="zh-CN"/>
        </w:rPr>
        <w:t>（4）</w:t>
      </w:r>
      <w:r>
        <w:rPr>
          <w:rFonts w:hint="eastAsia" w:ascii="仿宋_GB2312" w:hAnsi="仿宋_GB2312" w:eastAsia="仿宋_GB2312" w:cs="仿宋_GB2312"/>
          <w:snapToGrid w:val="0"/>
          <w:color w:val="auto"/>
          <w:kern w:val="0"/>
          <w:sz w:val="32"/>
          <w:szCs w:val="32"/>
          <w:lang w:val="en-US" w:eastAsia="zh-CN"/>
        </w:rPr>
        <w:t>当水源地污染超出昌江区处置能力时，需移交指挥权给</w:t>
      </w:r>
      <w:r>
        <w:rPr>
          <w:rFonts w:hint="default" w:ascii="仿宋_GB2312" w:hAnsi="仿宋_GB2312" w:eastAsia="仿宋_GB2312" w:cs="仿宋_GB2312"/>
          <w:snapToGrid w:val="0"/>
          <w:color w:val="auto"/>
          <w:kern w:val="0"/>
          <w:sz w:val="32"/>
          <w:szCs w:val="32"/>
          <w:lang w:val="en-US" w:eastAsia="zh-CN"/>
        </w:rPr>
        <w:t>上一级应急指挥机构</w:t>
      </w:r>
      <w:r>
        <w:rPr>
          <w:rFonts w:hint="eastAsia" w:ascii="仿宋_GB2312" w:hAnsi="仿宋_GB2312" w:eastAsia="仿宋_GB2312" w:cs="仿宋_GB2312"/>
          <w:snapToGrid w:val="0"/>
          <w:color w:val="auto"/>
          <w:kern w:val="0"/>
          <w:sz w:val="32"/>
          <w:szCs w:val="32"/>
          <w:lang w:val="en-US" w:eastAsia="zh-CN"/>
        </w:rPr>
        <w:t>；</w:t>
      </w:r>
    </w:p>
    <w:p w14:paraId="0ED5885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lang w:val="en-US" w:eastAsia="zh-CN"/>
        </w:rPr>
        <w:t>（</w:t>
      </w:r>
      <w:r>
        <w:rPr>
          <w:rFonts w:hint="eastAsia" w:ascii="仿宋_GB2312" w:hAnsi="仿宋_GB2312" w:eastAsia="仿宋_GB2312" w:cs="仿宋_GB2312"/>
          <w:snapToGrid w:val="0"/>
          <w:color w:val="auto"/>
          <w:kern w:val="0"/>
          <w:sz w:val="32"/>
          <w:szCs w:val="32"/>
          <w:lang w:val="en-US" w:eastAsia="zh-CN"/>
        </w:rPr>
        <w:t>5</w:t>
      </w:r>
      <w:r>
        <w:rPr>
          <w:rFonts w:hint="default" w:ascii="仿宋_GB2312" w:hAnsi="仿宋_GB2312" w:eastAsia="仿宋_GB2312" w:cs="仿宋_GB2312"/>
          <w:snapToGrid w:val="0"/>
          <w:color w:val="auto"/>
          <w:kern w:val="0"/>
          <w:sz w:val="32"/>
          <w:szCs w:val="32"/>
          <w:lang w:val="en-US" w:eastAsia="zh-CN"/>
        </w:rPr>
        <w:t>）服从政府发布</w:t>
      </w:r>
      <w:r>
        <w:rPr>
          <w:rFonts w:hint="default" w:ascii="仿宋_GB2312" w:hAnsi="仿宋_GB2312" w:eastAsia="仿宋_GB2312" w:cs="仿宋_GB2312"/>
          <w:snapToGrid w:val="0"/>
          <w:color w:val="auto"/>
          <w:kern w:val="0"/>
          <w:sz w:val="32"/>
          <w:szCs w:val="32"/>
        </w:rPr>
        <w:t>的决定、命令，积极配合政府组织人员参加应急救援和处置工作。</w:t>
      </w:r>
    </w:p>
    <w:p w14:paraId="641ECF44">
      <w:pPr>
        <w:pStyle w:val="31"/>
        <w:keepNext w:val="0"/>
        <w:keepLines w:val="0"/>
        <w:pageBreakBefore w:val="0"/>
        <w:widowControl/>
        <w:kinsoku/>
        <w:wordWrap/>
        <w:overflowPunct/>
        <w:topLinePunct w:val="0"/>
        <w:autoSpaceDE/>
        <w:autoSpaceDN/>
        <w:bidi w:val="0"/>
        <w:adjustRightInd/>
        <w:snapToGrid/>
        <w:spacing w:line="600" w:lineRule="exact"/>
        <w:ind w:firstLine="562"/>
        <w:textAlignment w:val="auto"/>
        <w:rPr>
          <w:rFonts w:hint="default" w:ascii="黑体" w:hAnsi="黑体" w:eastAsia="黑体" w:cs="黑体"/>
          <w:b w:val="0"/>
          <w:bCs w:val="0"/>
          <w:snapToGrid w:val="0"/>
          <w:color w:val="auto"/>
          <w:sz w:val="32"/>
          <w:szCs w:val="32"/>
        </w:rPr>
      </w:pPr>
      <w:r>
        <w:rPr>
          <w:rFonts w:hint="default" w:ascii="黑体" w:hAnsi="黑体" w:eastAsia="黑体" w:cs="黑体"/>
          <w:b w:val="0"/>
          <w:bCs w:val="0"/>
          <w:snapToGrid w:val="0"/>
          <w:color w:val="auto"/>
          <w:sz w:val="32"/>
          <w:szCs w:val="32"/>
        </w:rPr>
        <w:t>二、制定现场处置方案</w:t>
      </w:r>
    </w:p>
    <w:p w14:paraId="4D2EA0C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应根据不同事件情景制定不同的现场处置方案，包括基本内容、责任单位和时限等具体要求。现场处置方案包括但不限于以下内容：应急监测、污染处置措施、物资调集、应急队伍和人员安排、供水单位应对等。根据污染特征，水源地突发环境事件的污染处置措施如下：</w:t>
      </w:r>
    </w:p>
    <w:p w14:paraId="0C50DC2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楷体_GB2312" w:hAnsi="楷体_GB2312" w:eastAsia="楷体_GB2312" w:cs="楷体_GB2312"/>
          <w:b/>
          <w:bCs/>
          <w:snapToGrid w:val="0"/>
          <w:color w:val="auto"/>
          <w:kern w:val="0"/>
          <w:sz w:val="32"/>
          <w:szCs w:val="32"/>
        </w:rPr>
        <w:t>（1）水体内污染物治理、总量或浓度削减。</w:t>
      </w:r>
      <w:r>
        <w:rPr>
          <w:rFonts w:hint="default" w:ascii="仿宋_GB2312" w:hAnsi="仿宋_GB2312" w:eastAsia="仿宋_GB2312" w:cs="仿宋_GB2312"/>
          <w:snapToGrid w:val="0"/>
          <w:color w:val="auto"/>
          <w:kern w:val="0"/>
          <w:sz w:val="32"/>
          <w:szCs w:val="32"/>
        </w:rPr>
        <w:t>根据应急专家组</w:t>
      </w:r>
      <w:r>
        <w:rPr>
          <w:rFonts w:hint="eastAsia" w:ascii="仿宋_GB2312" w:hAnsi="仿宋_GB2312" w:eastAsia="仿宋_GB2312" w:cs="仿宋_GB2312"/>
          <w:snapToGrid w:val="0"/>
          <w:color w:val="auto"/>
          <w:kern w:val="0"/>
          <w:sz w:val="32"/>
          <w:szCs w:val="32"/>
          <w:lang w:eastAsia="zh-CN"/>
        </w:rPr>
        <w:t>的意</w:t>
      </w:r>
      <w:r>
        <w:rPr>
          <w:rFonts w:hint="default" w:ascii="仿宋_GB2312" w:hAnsi="仿宋_GB2312" w:eastAsia="仿宋_GB2312" w:cs="仿宋_GB2312"/>
          <w:snapToGrid w:val="0"/>
          <w:color w:val="auto"/>
          <w:kern w:val="0"/>
          <w:sz w:val="32"/>
          <w:szCs w:val="32"/>
        </w:rPr>
        <w:t>见，制定</w:t>
      </w:r>
      <w:r>
        <w:rPr>
          <w:rFonts w:hint="eastAsia" w:ascii="仿宋_GB2312" w:hAnsi="仿宋_GB2312" w:eastAsia="仿宋_GB2312" w:cs="仿宋_GB2312"/>
          <w:snapToGrid w:val="0"/>
          <w:color w:val="auto"/>
          <w:kern w:val="0"/>
          <w:sz w:val="32"/>
          <w:szCs w:val="32"/>
          <w:lang w:val="en-US" w:eastAsia="zh-CN"/>
        </w:rPr>
        <w:t>现场</w:t>
      </w:r>
      <w:r>
        <w:rPr>
          <w:rFonts w:hint="default" w:ascii="仿宋_GB2312" w:hAnsi="仿宋_GB2312" w:eastAsia="仿宋_GB2312" w:cs="仿宋_GB2312"/>
          <w:snapToGrid w:val="0"/>
          <w:color w:val="auto"/>
          <w:kern w:val="0"/>
          <w:sz w:val="32"/>
          <w:szCs w:val="32"/>
        </w:rPr>
        <w:t>处置方案，经现场应急指挥部确认后实施。一般采取隔离、吸附、打捞、扰动等物理方法，氧化、沉淀等化学方法，利用湿地生物群消解等生物方法和上游调水等稀释方法，可以采取一种或多种方式，力争短时间内削减污染物浓度。现场应急指挥部可根据需要，对水源地汇水区域内的污染物排放企业实施停产、减产、限产等措施，削减水域污染物总量或浓度。</w:t>
      </w:r>
    </w:p>
    <w:p w14:paraId="6D9F0EC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楷体_GB2312" w:hAnsi="楷体_GB2312" w:eastAsia="楷体_GB2312" w:cs="楷体_GB2312"/>
          <w:b/>
          <w:bCs/>
          <w:snapToGrid w:val="0"/>
          <w:color w:val="auto"/>
          <w:kern w:val="0"/>
          <w:sz w:val="32"/>
          <w:szCs w:val="32"/>
        </w:rPr>
        <w:t>（2）应急工程设施拦截污染水体。</w:t>
      </w:r>
      <w:r>
        <w:rPr>
          <w:rFonts w:hint="default" w:ascii="仿宋_GB2312" w:hAnsi="仿宋_GB2312" w:eastAsia="仿宋_GB2312" w:cs="仿宋_GB2312"/>
          <w:snapToGrid w:val="0"/>
          <w:color w:val="auto"/>
          <w:kern w:val="0"/>
          <w:sz w:val="32"/>
          <w:szCs w:val="32"/>
        </w:rPr>
        <w:t>在河道内启用或修建拦截坝、截止闸等工程设施拦截污染水体；通过导流渠将未受污染水体导流至污染水体下游，通过分流沟将污染水体分流至水源保护区外进行收集处置；利用前置库、缓冲池等工程设施，降低污染水体的污染物浓度，为应急处置争取时间。不能建设永久应急工程的，应事先论证确定可建设临时应急工程的地址。</w:t>
      </w:r>
    </w:p>
    <w:p w14:paraId="1C9F3D0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eastAsia="zh-CN"/>
        </w:rPr>
      </w:pPr>
      <w:r>
        <w:rPr>
          <w:rFonts w:hint="default" w:ascii="仿宋_GB2312" w:hAnsi="仿宋_GB2312" w:eastAsia="仿宋_GB2312" w:cs="仿宋_GB2312"/>
          <w:snapToGrid w:val="0"/>
          <w:color w:val="auto"/>
          <w:kern w:val="0"/>
          <w:sz w:val="32"/>
          <w:szCs w:val="32"/>
        </w:rPr>
        <w:t>针对污染物可采取的物理、化学、生物处理技术如下表所示</w:t>
      </w:r>
      <w:r>
        <w:rPr>
          <w:rFonts w:hint="default" w:ascii="仿宋_GB2312" w:hAnsi="仿宋_GB2312" w:eastAsia="仿宋_GB2312" w:cs="仿宋_GB2312"/>
          <w:snapToGrid w:val="0"/>
          <w:color w:val="auto"/>
          <w:kern w:val="0"/>
          <w:sz w:val="32"/>
          <w:szCs w:val="32"/>
          <w:lang w:eastAsia="zh-CN"/>
        </w:rPr>
        <w:t>。</w:t>
      </w:r>
    </w:p>
    <w:p w14:paraId="38B57A56">
      <w:pPr>
        <w:pStyle w:val="29"/>
        <w:ind w:firstLine="1280" w:firstLineChars="400"/>
        <w:jc w:val="both"/>
        <w:rPr>
          <w:rFonts w:hint="eastAsia" w:ascii="方正小标宋简体" w:hAnsi="方正小标宋简体" w:eastAsia="方正小标宋简体" w:cs="方正小标宋简体"/>
          <w:b w:val="0"/>
          <w:bCs w:val="0"/>
          <w:color w:val="auto"/>
          <w:sz w:val="32"/>
          <w:szCs w:val="32"/>
          <w:shd w:val="clear" w:color="auto" w:fill="FFFFFF"/>
          <w:lang w:eastAsia="zh-CN"/>
        </w:rPr>
      </w:pPr>
      <w:r>
        <w:rPr>
          <w:rFonts w:hint="eastAsia" w:ascii="方正小标宋简体" w:hAnsi="方正小标宋简体" w:eastAsia="方正小标宋简体" w:cs="方正小标宋简体"/>
          <w:b w:val="0"/>
          <w:bCs w:val="0"/>
          <w:color w:val="auto"/>
          <w:sz w:val="32"/>
          <w:szCs w:val="32"/>
          <w:shd w:val="clear" w:color="auto" w:fill="FFFFFF"/>
          <w:lang w:eastAsia="zh-CN"/>
        </w:rPr>
        <w:t>表</w:t>
      </w:r>
      <w:r>
        <w:rPr>
          <w:rFonts w:hint="eastAsia" w:ascii="方正小标宋简体" w:hAnsi="方正小标宋简体" w:eastAsia="方正小标宋简体" w:cs="方正小标宋简体"/>
          <w:b w:val="0"/>
          <w:bCs w:val="0"/>
          <w:color w:val="auto"/>
          <w:sz w:val="32"/>
          <w:szCs w:val="32"/>
          <w:shd w:val="clear" w:color="auto" w:fill="FFFFFF"/>
          <w:lang w:val="en-US" w:eastAsia="zh-CN"/>
        </w:rPr>
        <w:t xml:space="preserve">6-1  </w:t>
      </w:r>
      <w:r>
        <w:rPr>
          <w:rFonts w:hint="eastAsia" w:ascii="方正小标宋简体" w:hAnsi="方正小标宋简体" w:eastAsia="方正小标宋简体" w:cs="方正小标宋简体"/>
          <w:b w:val="0"/>
          <w:bCs w:val="0"/>
          <w:color w:val="auto"/>
          <w:sz w:val="32"/>
          <w:szCs w:val="32"/>
          <w:shd w:val="clear" w:color="auto" w:fill="FFFFFF"/>
          <w:lang w:eastAsia="zh-CN"/>
        </w:rPr>
        <w:t>适用于处理不同超标项目的推荐技术</w:t>
      </w:r>
    </w:p>
    <w:tbl>
      <w:tblPr>
        <w:tblStyle w:val="22"/>
        <w:tblW w:w="5072" w:type="pct"/>
        <w:tblInd w:w="-100" w:type="dxa"/>
        <w:tblLayout w:type="autofit"/>
        <w:tblCellMar>
          <w:top w:w="0" w:type="dxa"/>
          <w:left w:w="0" w:type="dxa"/>
          <w:bottom w:w="0" w:type="dxa"/>
          <w:right w:w="0" w:type="dxa"/>
        </w:tblCellMar>
      </w:tblPr>
      <w:tblGrid>
        <w:gridCol w:w="2551"/>
        <w:gridCol w:w="6438"/>
      </w:tblGrid>
      <w:tr w14:paraId="3566178E">
        <w:tblPrEx>
          <w:tblCellMar>
            <w:top w:w="0" w:type="dxa"/>
            <w:left w:w="0" w:type="dxa"/>
            <w:bottom w:w="0" w:type="dxa"/>
            <w:right w:w="0" w:type="dxa"/>
          </w:tblCellMar>
        </w:tblPrEx>
        <w:trPr>
          <w:trHeight w:val="567" w:hRule="atLeast"/>
        </w:trPr>
        <w:tc>
          <w:tcPr>
            <w:tcW w:w="1419" w:type="pct"/>
            <w:tcBorders>
              <w:top w:val="single" w:color="000000" w:sz="6" w:space="0"/>
              <w:left w:val="single" w:color="000000" w:sz="6" w:space="0"/>
              <w:bottom w:val="single" w:color="000000" w:sz="4" w:space="0"/>
              <w:right w:val="single" w:color="000000" w:sz="4" w:space="0"/>
            </w:tcBorders>
            <w:vAlign w:val="center"/>
          </w:tcPr>
          <w:p w14:paraId="5AA660EE">
            <w:pPr>
              <w:widowControl/>
              <w:spacing w:line="336" w:lineRule="auto"/>
              <w:ind w:firstLine="0" w:firstLineChars="0"/>
              <w:jc w:val="center"/>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超标项目</w:t>
            </w:r>
          </w:p>
        </w:tc>
        <w:tc>
          <w:tcPr>
            <w:tcW w:w="3580" w:type="pct"/>
            <w:tcBorders>
              <w:top w:val="single" w:color="000000" w:sz="6" w:space="0"/>
              <w:left w:val="single" w:color="000000" w:sz="4" w:space="0"/>
              <w:bottom w:val="single" w:color="000000" w:sz="4" w:space="0"/>
              <w:right w:val="single" w:color="000000" w:sz="6" w:space="0"/>
            </w:tcBorders>
            <w:vAlign w:val="center"/>
          </w:tcPr>
          <w:p w14:paraId="246C392A">
            <w:pPr>
              <w:widowControl/>
              <w:spacing w:line="336" w:lineRule="auto"/>
              <w:ind w:firstLine="0" w:firstLineChars="0"/>
              <w:jc w:val="center"/>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推 荐 技 术</w:t>
            </w:r>
          </w:p>
        </w:tc>
      </w:tr>
      <w:tr w14:paraId="04EF64DA">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4" w:space="0"/>
              <w:right w:val="single" w:color="000000" w:sz="4" w:space="0"/>
            </w:tcBorders>
            <w:vAlign w:val="center"/>
          </w:tcPr>
          <w:p w14:paraId="01CBA9F0">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浊度</w:t>
            </w:r>
          </w:p>
        </w:tc>
        <w:tc>
          <w:tcPr>
            <w:tcW w:w="3580" w:type="pct"/>
            <w:tcBorders>
              <w:top w:val="single" w:color="000000" w:sz="4" w:space="0"/>
              <w:left w:val="single" w:color="000000" w:sz="4" w:space="0"/>
              <w:bottom w:val="single" w:color="000000" w:sz="4" w:space="0"/>
              <w:right w:val="single" w:color="000000" w:sz="6" w:space="0"/>
            </w:tcBorders>
            <w:vAlign w:val="center"/>
          </w:tcPr>
          <w:p w14:paraId="123CCB05">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快速砂滤池、絮凝、沉淀、过滤</w:t>
            </w:r>
          </w:p>
        </w:tc>
      </w:tr>
      <w:tr w14:paraId="1673124E">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4" w:space="0"/>
              <w:right w:val="single" w:color="000000" w:sz="4" w:space="0"/>
            </w:tcBorders>
            <w:vAlign w:val="center"/>
          </w:tcPr>
          <w:p w14:paraId="1128CAF4">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色度</w:t>
            </w:r>
          </w:p>
        </w:tc>
        <w:tc>
          <w:tcPr>
            <w:tcW w:w="3580" w:type="pct"/>
            <w:tcBorders>
              <w:top w:val="single" w:color="000000" w:sz="4" w:space="0"/>
              <w:left w:val="single" w:color="000000" w:sz="4" w:space="0"/>
              <w:bottom w:val="single" w:color="000000" w:sz="4" w:space="0"/>
              <w:right w:val="single" w:color="000000" w:sz="6" w:space="0"/>
            </w:tcBorders>
            <w:vAlign w:val="center"/>
          </w:tcPr>
          <w:p w14:paraId="48FD7E23">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快速砂滤池、絮凝；活性炭吸附；</w:t>
            </w:r>
          </w:p>
          <w:p w14:paraId="79798DA2">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化学氧化预处理：臭氧、氯、高锰酸钾、二氧化氯</w:t>
            </w:r>
          </w:p>
        </w:tc>
      </w:tr>
      <w:tr w14:paraId="280A577A">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4" w:space="0"/>
              <w:right w:val="single" w:color="000000" w:sz="4" w:space="0"/>
            </w:tcBorders>
            <w:vAlign w:val="center"/>
          </w:tcPr>
          <w:p w14:paraId="4B90B48E">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嗅味</w:t>
            </w:r>
          </w:p>
        </w:tc>
        <w:tc>
          <w:tcPr>
            <w:tcW w:w="3580" w:type="pct"/>
            <w:tcBorders>
              <w:top w:val="single" w:color="000000" w:sz="4" w:space="0"/>
              <w:left w:val="single" w:color="000000" w:sz="4" w:space="0"/>
              <w:bottom w:val="single" w:color="000000" w:sz="4" w:space="0"/>
              <w:right w:val="single" w:color="000000" w:sz="6" w:space="0"/>
            </w:tcBorders>
            <w:vAlign w:val="center"/>
          </w:tcPr>
          <w:p w14:paraId="75EA57B8">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化学氧化预处理：臭氧、氯、高锰酸钾、二氧化氯；</w:t>
            </w:r>
          </w:p>
          <w:p w14:paraId="52EA9655">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活性炭吸附；</w:t>
            </w:r>
          </w:p>
        </w:tc>
      </w:tr>
      <w:tr w14:paraId="47AD1729">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4" w:space="0"/>
              <w:right w:val="single" w:color="000000" w:sz="4" w:space="0"/>
            </w:tcBorders>
            <w:vAlign w:val="center"/>
          </w:tcPr>
          <w:p w14:paraId="32F6FF36">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氟化物</w:t>
            </w:r>
          </w:p>
        </w:tc>
        <w:tc>
          <w:tcPr>
            <w:tcW w:w="3580" w:type="pct"/>
            <w:tcBorders>
              <w:top w:val="single" w:color="000000" w:sz="4" w:space="0"/>
              <w:left w:val="single" w:color="000000" w:sz="4" w:space="0"/>
              <w:bottom w:val="single" w:color="000000" w:sz="4" w:space="0"/>
              <w:right w:val="single" w:color="000000" w:sz="6" w:space="0"/>
            </w:tcBorders>
            <w:vAlign w:val="center"/>
          </w:tcPr>
          <w:p w14:paraId="0FD17C25">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吸附法：氧化铝、磷酸二钙；</w:t>
            </w:r>
          </w:p>
          <w:p w14:paraId="5C2B9295">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混凝沉淀法：硫酸铝、聚合氯化铝；</w:t>
            </w:r>
          </w:p>
          <w:p w14:paraId="03484EC9">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离子交换法；电渗析法</w:t>
            </w:r>
          </w:p>
        </w:tc>
      </w:tr>
      <w:tr w14:paraId="3BBF90CD">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4" w:space="0"/>
              <w:right w:val="single" w:color="000000" w:sz="4" w:space="0"/>
            </w:tcBorders>
            <w:vAlign w:val="center"/>
          </w:tcPr>
          <w:p w14:paraId="1B0D8911">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氨氮</w:t>
            </w:r>
          </w:p>
        </w:tc>
        <w:tc>
          <w:tcPr>
            <w:tcW w:w="3580" w:type="pct"/>
            <w:tcBorders>
              <w:top w:val="single" w:color="000000" w:sz="4" w:space="0"/>
              <w:left w:val="single" w:color="000000" w:sz="4" w:space="0"/>
              <w:bottom w:val="single" w:color="000000" w:sz="4" w:space="0"/>
              <w:right w:val="single" w:color="000000" w:sz="6" w:space="0"/>
            </w:tcBorders>
            <w:vAlign w:val="center"/>
          </w:tcPr>
          <w:p w14:paraId="5044D7B8">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化学氧化预处理：氯、高锰酸钾；</w:t>
            </w:r>
          </w:p>
          <w:p w14:paraId="5914BC4C">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深度处理：臭氧-生物</w:t>
            </w:r>
            <w:r>
              <w:rPr>
                <w:rFonts w:hint="eastAsia" w:ascii="仿宋_GB2312" w:hAnsi="仿宋_GB2312" w:eastAsia="仿宋_GB2312" w:cs="仿宋_GB2312"/>
                <w:bCs/>
                <w:color w:val="auto"/>
                <w:kern w:val="0"/>
                <w:sz w:val="28"/>
                <w:szCs w:val="28"/>
                <w:lang w:eastAsia="zh-CN"/>
              </w:rPr>
              <w:t>活性炭</w:t>
            </w:r>
          </w:p>
        </w:tc>
      </w:tr>
      <w:tr w14:paraId="579AFC89">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4" w:space="0"/>
              <w:right w:val="single" w:color="000000" w:sz="4" w:space="0"/>
            </w:tcBorders>
            <w:vAlign w:val="center"/>
          </w:tcPr>
          <w:p w14:paraId="038BC298">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铁、锰</w:t>
            </w:r>
          </w:p>
        </w:tc>
        <w:tc>
          <w:tcPr>
            <w:tcW w:w="3580" w:type="pct"/>
            <w:tcBorders>
              <w:top w:val="single" w:color="000000" w:sz="4" w:space="0"/>
              <w:left w:val="single" w:color="000000" w:sz="4" w:space="0"/>
              <w:bottom w:val="single" w:color="000000" w:sz="4" w:space="0"/>
              <w:right w:val="single" w:color="000000" w:sz="6" w:space="0"/>
            </w:tcBorders>
            <w:vAlign w:val="center"/>
          </w:tcPr>
          <w:p w14:paraId="348E4F59">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锰砂；</w:t>
            </w:r>
          </w:p>
          <w:p w14:paraId="224F3F15">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化学氧化预处理：氯、高锰酸钾；</w:t>
            </w:r>
          </w:p>
          <w:p w14:paraId="7CDAA62C">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深度处理：臭氧-生物</w:t>
            </w:r>
            <w:r>
              <w:rPr>
                <w:rFonts w:hint="eastAsia" w:ascii="仿宋_GB2312" w:hAnsi="仿宋_GB2312" w:eastAsia="仿宋_GB2312" w:cs="仿宋_GB2312"/>
                <w:bCs/>
                <w:color w:val="auto"/>
                <w:kern w:val="0"/>
                <w:sz w:val="28"/>
                <w:szCs w:val="28"/>
                <w:lang w:eastAsia="zh-CN"/>
              </w:rPr>
              <w:t>活性炭</w:t>
            </w:r>
          </w:p>
        </w:tc>
      </w:tr>
      <w:tr w14:paraId="5FBC443C">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6" w:space="0"/>
              <w:right w:val="single" w:color="000000" w:sz="4" w:space="0"/>
            </w:tcBorders>
            <w:vAlign w:val="center"/>
          </w:tcPr>
          <w:p w14:paraId="2DF2CCD5">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挥发性有机物</w:t>
            </w:r>
          </w:p>
        </w:tc>
        <w:tc>
          <w:tcPr>
            <w:tcW w:w="3580" w:type="pct"/>
            <w:tcBorders>
              <w:top w:val="single" w:color="000000" w:sz="4" w:space="0"/>
              <w:left w:val="single" w:color="000000" w:sz="4" w:space="0"/>
              <w:bottom w:val="single" w:color="000000" w:sz="6" w:space="0"/>
              <w:right w:val="single" w:color="000000" w:sz="6" w:space="0"/>
            </w:tcBorders>
            <w:vAlign w:val="center"/>
          </w:tcPr>
          <w:p w14:paraId="2468DE89">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生物活性炭吸附</w:t>
            </w:r>
          </w:p>
        </w:tc>
      </w:tr>
      <w:tr w14:paraId="4E51688F">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6" w:space="0"/>
              <w:right w:val="single" w:color="000000" w:sz="4" w:space="0"/>
            </w:tcBorders>
            <w:vAlign w:val="center"/>
          </w:tcPr>
          <w:p w14:paraId="49897F94">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三氯甲烷和腐殖酸</w:t>
            </w:r>
          </w:p>
        </w:tc>
        <w:tc>
          <w:tcPr>
            <w:tcW w:w="3580" w:type="pct"/>
            <w:tcBorders>
              <w:top w:val="single" w:color="000000" w:sz="4" w:space="0"/>
              <w:left w:val="single" w:color="000000" w:sz="4" w:space="0"/>
              <w:bottom w:val="single" w:color="000000" w:sz="6" w:space="0"/>
              <w:right w:val="single" w:color="000000" w:sz="6" w:space="0"/>
            </w:tcBorders>
            <w:vAlign w:val="center"/>
          </w:tcPr>
          <w:p w14:paraId="628E64AE">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前驱物的去除：强化混凝、粒状活性炭、生物活性炭；</w:t>
            </w:r>
          </w:p>
          <w:p w14:paraId="7DE742A8">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氯化副产物的去除：粒状活性炭</w:t>
            </w:r>
          </w:p>
        </w:tc>
      </w:tr>
      <w:tr w14:paraId="2542EB54">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6" w:space="0"/>
              <w:right w:val="single" w:color="000000" w:sz="4" w:space="0"/>
            </w:tcBorders>
            <w:vAlign w:val="center"/>
          </w:tcPr>
          <w:p w14:paraId="66CEF1A5">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有机化合物</w:t>
            </w:r>
          </w:p>
        </w:tc>
        <w:tc>
          <w:tcPr>
            <w:tcW w:w="3580" w:type="pct"/>
            <w:tcBorders>
              <w:top w:val="single" w:color="000000" w:sz="4" w:space="0"/>
              <w:left w:val="single" w:color="000000" w:sz="4" w:space="0"/>
              <w:bottom w:val="single" w:color="000000" w:sz="6" w:space="0"/>
              <w:right w:val="single" w:color="000000" w:sz="6" w:space="0"/>
            </w:tcBorders>
            <w:vAlign w:val="center"/>
          </w:tcPr>
          <w:p w14:paraId="3AEFDE69">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生物</w:t>
            </w:r>
            <w:r>
              <w:rPr>
                <w:rFonts w:hint="eastAsia" w:ascii="仿宋_GB2312" w:hAnsi="仿宋_GB2312" w:eastAsia="仿宋_GB2312" w:cs="仿宋_GB2312"/>
                <w:bCs/>
                <w:color w:val="auto"/>
                <w:kern w:val="0"/>
                <w:sz w:val="28"/>
                <w:szCs w:val="28"/>
                <w:lang w:eastAsia="zh-CN"/>
              </w:rPr>
              <w:t>活性炭</w:t>
            </w:r>
            <w:r>
              <w:rPr>
                <w:rFonts w:hint="eastAsia" w:ascii="仿宋_GB2312" w:hAnsi="仿宋_GB2312" w:eastAsia="仿宋_GB2312" w:cs="仿宋_GB2312"/>
                <w:bCs/>
                <w:color w:val="auto"/>
                <w:kern w:val="0"/>
                <w:sz w:val="28"/>
                <w:szCs w:val="28"/>
              </w:rPr>
              <w:t>、膜处理</w:t>
            </w:r>
          </w:p>
        </w:tc>
      </w:tr>
      <w:tr w14:paraId="7584CE68">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6" w:space="0"/>
              <w:right w:val="single" w:color="000000" w:sz="4" w:space="0"/>
            </w:tcBorders>
            <w:vAlign w:val="center"/>
          </w:tcPr>
          <w:p w14:paraId="31CB2218">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细菌和病毒</w:t>
            </w:r>
          </w:p>
        </w:tc>
        <w:tc>
          <w:tcPr>
            <w:tcW w:w="3580" w:type="pct"/>
            <w:tcBorders>
              <w:top w:val="single" w:color="000000" w:sz="4" w:space="0"/>
              <w:left w:val="single" w:color="000000" w:sz="4" w:space="0"/>
              <w:bottom w:val="single" w:color="000000" w:sz="6" w:space="0"/>
              <w:right w:val="single" w:color="000000" w:sz="6" w:space="0"/>
            </w:tcBorders>
            <w:vAlign w:val="center"/>
          </w:tcPr>
          <w:p w14:paraId="37C61662">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过滤（部分去除）；</w:t>
            </w:r>
          </w:p>
          <w:p w14:paraId="3CEA97B0">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消毒处理：氯、二氧化氯、臭氧、膜处理、紫外消毒</w:t>
            </w:r>
          </w:p>
        </w:tc>
      </w:tr>
      <w:tr w14:paraId="100F2CCC">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6" w:space="0"/>
              <w:right w:val="single" w:color="000000" w:sz="4" w:space="0"/>
            </w:tcBorders>
            <w:vAlign w:val="center"/>
          </w:tcPr>
          <w:p w14:paraId="0847348C">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汞、铬等部分重金属</w:t>
            </w:r>
          </w:p>
          <w:p w14:paraId="44BFB8FC">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（应急状态）</w:t>
            </w:r>
          </w:p>
        </w:tc>
        <w:tc>
          <w:tcPr>
            <w:tcW w:w="3580" w:type="pct"/>
            <w:tcBorders>
              <w:top w:val="single" w:color="000000" w:sz="4" w:space="0"/>
              <w:left w:val="single" w:color="000000" w:sz="4" w:space="0"/>
              <w:bottom w:val="single" w:color="000000" w:sz="6" w:space="0"/>
              <w:right w:val="single" w:color="000000" w:sz="6" w:space="0"/>
            </w:tcBorders>
            <w:vAlign w:val="center"/>
          </w:tcPr>
          <w:p w14:paraId="6CAEFE28">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氧化法：高锰酸钾；</w:t>
            </w:r>
          </w:p>
          <w:p w14:paraId="20CF1D8F">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生物</w:t>
            </w:r>
            <w:r>
              <w:rPr>
                <w:rFonts w:hint="eastAsia" w:ascii="仿宋_GB2312" w:hAnsi="仿宋_GB2312" w:eastAsia="仿宋_GB2312" w:cs="仿宋_GB2312"/>
                <w:bCs/>
                <w:color w:val="auto"/>
                <w:kern w:val="0"/>
                <w:sz w:val="28"/>
                <w:szCs w:val="28"/>
                <w:lang w:eastAsia="zh-CN"/>
              </w:rPr>
              <w:t>活性炭</w:t>
            </w:r>
            <w:r>
              <w:rPr>
                <w:rFonts w:hint="eastAsia" w:ascii="仿宋_GB2312" w:hAnsi="仿宋_GB2312" w:eastAsia="仿宋_GB2312" w:cs="仿宋_GB2312"/>
                <w:bCs/>
                <w:color w:val="auto"/>
                <w:kern w:val="0"/>
                <w:sz w:val="28"/>
                <w:szCs w:val="28"/>
              </w:rPr>
              <w:t>吸附（部分去除）</w:t>
            </w:r>
          </w:p>
        </w:tc>
      </w:tr>
      <w:tr w14:paraId="2C997DA5">
        <w:tblPrEx>
          <w:tblCellMar>
            <w:top w:w="0" w:type="dxa"/>
            <w:left w:w="0" w:type="dxa"/>
            <w:bottom w:w="0" w:type="dxa"/>
            <w:right w:w="0" w:type="dxa"/>
          </w:tblCellMar>
        </w:tblPrEx>
        <w:trPr>
          <w:trHeight w:val="567" w:hRule="atLeast"/>
        </w:trPr>
        <w:tc>
          <w:tcPr>
            <w:tcW w:w="1419" w:type="pct"/>
            <w:tcBorders>
              <w:top w:val="single" w:color="000000" w:sz="4" w:space="0"/>
              <w:left w:val="single" w:color="000000" w:sz="6" w:space="0"/>
              <w:bottom w:val="single" w:color="000000" w:sz="6" w:space="0"/>
              <w:right w:val="single" w:color="000000" w:sz="4" w:space="0"/>
            </w:tcBorders>
            <w:vAlign w:val="center"/>
          </w:tcPr>
          <w:p w14:paraId="464866EA">
            <w:pPr>
              <w:keepNext w:val="0"/>
              <w:keepLines w:val="0"/>
              <w:pageBreakBefore w:val="0"/>
              <w:widowControl/>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藻类及藻毒素</w:t>
            </w:r>
          </w:p>
        </w:tc>
        <w:tc>
          <w:tcPr>
            <w:tcW w:w="3580" w:type="pct"/>
            <w:tcBorders>
              <w:top w:val="single" w:color="000000" w:sz="4" w:space="0"/>
              <w:left w:val="single" w:color="000000" w:sz="4" w:space="0"/>
              <w:bottom w:val="single" w:color="000000" w:sz="6" w:space="0"/>
              <w:right w:val="single" w:color="000000" w:sz="6" w:space="0"/>
            </w:tcBorders>
            <w:vAlign w:val="center"/>
          </w:tcPr>
          <w:p w14:paraId="555C75FD">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化学氧化预处理：除藻剂法、高锰酸钾、氯；</w:t>
            </w:r>
          </w:p>
          <w:p w14:paraId="216FB33F">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微滤法；气浮法；</w:t>
            </w:r>
          </w:p>
          <w:p w14:paraId="4CE7D622">
            <w:pPr>
              <w:keepNext w:val="0"/>
              <w:keepLines w:val="0"/>
              <w:pageBreakBefore w:val="0"/>
              <w:widowControl/>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bCs/>
                <w:color w:val="auto"/>
                <w:kern w:val="0"/>
                <w:sz w:val="28"/>
                <w:szCs w:val="28"/>
              </w:rPr>
            </w:pPr>
            <w:r>
              <w:rPr>
                <w:rFonts w:hint="eastAsia" w:ascii="仿宋_GB2312" w:hAnsi="仿宋_GB2312" w:eastAsia="仿宋_GB2312" w:cs="仿宋_GB2312"/>
                <w:bCs/>
                <w:color w:val="auto"/>
                <w:kern w:val="0"/>
                <w:sz w:val="28"/>
                <w:szCs w:val="28"/>
              </w:rPr>
              <w:t>臭氧氧化法</w:t>
            </w:r>
          </w:p>
        </w:tc>
      </w:tr>
    </w:tbl>
    <w:p w14:paraId="44FBC06B">
      <w:pPr>
        <w:pStyle w:val="31"/>
        <w:keepNext w:val="0"/>
        <w:keepLines w:val="0"/>
        <w:pageBreakBefore w:val="0"/>
        <w:widowControl/>
        <w:kinsoku/>
        <w:wordWrap/>
        <w:overflowPunct/>
        <w:topLinePunct w:val="0"/>
        <w:autoSpaceDE/>
        <w:autoSpaceDN/>
        <w:bidi w:val="0"/>
        <w:adjustRightInd/>
        <w:snapToGrid/>
        <w:spacing w:line="600" w:lineRule="exact"/>
        <w:ind w:firstLine="562"/>
        <w:textAlignment w:val="auto"/>
        <w:rPr>
          <w:rFonts w:hint="default" w:ascii="黑体" w:hAnsi="黑体" w:eastAsia="黑体" w:cs="黑体"/>
          <w:b w:val="0"/>
          <w:bCs w:val="0"/>
          <w:snapToGrid w:val="0"/>
          <w:color w:val="auto"/>
          <w:sz w:val="32"/>
          <w:szCs w:val="32"/>
        </w:rPr>
      </w:pPr>
      <w:r>
        <w:rPr>
          <w:rFonts w:hint="default" w:ascii="黑体" w:hAnsi="黑体" w:eastAsia="黑体" w:cs="黑体"/>
          <w:b w:val="0"/>
          <w:bCs w:val="0"/>
          <w:snapToGrid w:val="0"/>
          <w:color w:val="auto"/>
          <w:sz w:val="32"/>
          <w:szCs w:val="32"/>
        </w:rPr>
        <w:t>三、转移安置人员</w:t>
      </w:r>
    </w:p>
    <w:p w14:paraId="26996E1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根据突发环境事件影响及事发当地的气象、地理环境、人员密集度等，建立现场警戒区、交通管制区域和重点防护区域，确定受威胁人员疏散的方式和途径，有组织、有秩序地及时疏散转移受威胁人员和可能受影响地区居民，确保生命安全。妥善做好转移人员安置工作，确保有基本的生活条件和必要医疗条件。</w:t>
      </w:r>
    </w:p>
    <w:p w14:paraId="0D6A8AAE">
      <w:pPr>
        <w:pStyle w:val="31"/>
        <w:keepNext w:val="0"/>
        <w:keepLines w:val="0"/>
        <w:pageBreakBefore w:val="0"/>
        <w:widowControl/>
        <w:kinsoku/>
        <w:wordWrap/>
        <w:overflowPunct/>
        <w:topLinePunct w:val="0"/>
        <w:autoSpaceDE/>
        <w:autoSpaceDN/>
        <w:bidi w:val="0"/>
        <w:adjustRightInd/>
        <w:snapToGrid/>
        <w:spacing w:line="600" w:lineRule="exact"/>
        <w:ind w:firstLine="562"/>
        <w:textAlignment w:val="auto"/>
        <w:rPr>
          <w:rFonts w:hint="default" w:ascii="黑体" w:hAnsi="黑体" w:eastAsia="黑体" w:cs="黑体"/>
          <w:b w:val="0"/>
          <w:bCs w:val="0"/>
          <w:snapToGrid w:val="0"/>
          <w:color w:val="auto"/>
          <w:sz w:val="32"/>
          <w:szCs w:val="32"/>
        </w:rPr>
      </w:pPr>
      <w:r>
        <w:rPr>
          <w:rFonts w:hint="default" w:ascii="黑体" w:hAnsi="黑体" w:eastAsia="黑体" w:cs="黑体"/>
          <w:b w:val="0"/>
          <w:bCs w:val="0"/>
          <w:snapToGrid w:val="0"/>
          <w:color w:val="auto"/>
          <w:sz w:val="32"/>
          <w:szCs w:val="32"/>
        </w:rPr>
        <w:t>四、医疗救援</w:t>
      </w:r>
    </w:p>
    <w:p w14:paraId="4C4799C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迅速组织当地医疗资源和力量，对伤病员进行诊断治疗，根据需要及时、安全地将重症伤病员转运到有条件的医疗机构加强救治。指导和协助开展受污染人员的去污洗消工作，提出保护公众健康的措施建议。视情况增派医疗卫生专家和卫生应急队伍、调配急需医药物资，支持事发地医学救援工作。做好受影响人员的心理援助。</w:t>
      </w:r>
    </w:p>
    <w:p w14:paraId="6C7A7834">
      <w:pPr>
        <w:pStyle w:val="31"/>
        <w:keepNext w:val="0"/>
        <w:keepLines w:val="0"/>
        <w:pageBreakBefore w:val="0"/>
        <w:widowControl/>
        <w:kinsoku/>
        <w:wordWrap/>
        <w:overflowPunct/>
        <w:topLinePunct w:val="0"/>
        <w:autoSpaceDE/>
        <w:autoSpaceDN/>
        <w:bidi w:val="0"/>
        <w:adjustRightInd/>
        <w:snapToGrid/>
        <w:spacing w:line="600" w:lineRule="exact"/>
        <w:ind w:firstLine="562"/>
        <w:textAlignment w:val="auto"/>
        <w:rPr>
          <w:rFonts w:hint="default" w:ascii="黑体" w:hAnsi="黑体" w:eastAsia="黑体" w:cs="黑体"/>
          <w:b w:val="0"/>
          <w:bCs w:val="0"/>
          <w:snapToGrid w:val="0"/>
          <w:color w:val="auto"/>
          <w:sz w:val="32"/>
          <w:szCs w:val="32"/>
        </w:rPr>
      </w:pPr>
      <w:r>
        <w:rPr>
          <w:rFonts w:hint="default" w:ascii="黑体" w:hAnsi="黑体" w:eastAsia="黑体" w:cs="黑体"/>
          <w:b w:val="0"/>
          <w:bCs w:val="0"/>
          <w:snapToGrid w:val="0"/>
          <w:color w:val="auto"/>
          <w:sz w:val="32"/>
          <w:szCs w:val="32"/>
        </w:rPr>
        <w:t>五、供水安全保障</w:t>
      </w:r>
    </w:p>
    <w:p w14:paraId="4FF1C78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及时掌握供水单位的应急监测能力、深度处理设施的处理能力和备用水源启动时间等。建立向供水单位通报应急监测信息制度，并在启动预警时第一时间通知供水单位。供水单位应根据污染物的种类、浓度、可能影响取水口的时间，及时采取深度处理、低压供水或启动备用水源等应急措施，并加强污染物监测，待水质满足取水要求时恢复取水和供水。无备用水源的，应使用应急供水车等设施保障居民用水。</w:t>
      </w:r>
    </w:p>
    <w:p w14:paraId="747F547B">
      <w:pPr>
        <w:pStyle w:val="29"/>
        <w:rPr>
          <w:rFonts w:hint="default" w:ascii="Times New Roman" w:hAnsi="Times New Roman" w:cs="Times New Roman"/>
          <w:color w:val="auto"/>
        </w:rPr>
      </w:pPr>
    </w:p>
    <w:p w14:paraId="6CC0B4F5">
      <w:pPr>
        <w:pStyle w:val="29"/>
        <w:rPr>
          <w:rFonts w:hint="default" w:ascii="Times New Roman" w:hAnsi="Times New Roman" w:cs="Times New Roman"/>
          <w:color w:val="auto"/>
        </w:rPr>
      </w:pPr>
    </w:p>
    <w:p w14:paraId="5735AAD8">
      <w:pPr>
        <w:pStyle w:val="29"/>
        <w:rPr>
          <w:rFonts w:hint="default" w:ascii="Times New Roman" w:hAnsi="Times New Roman" w:cs="Times New Roman"/>
          <w:color w:val="auto"/>
        </w:rPr>
      </w:pPr>
    </w:p>
    <w:p w14:paraId="0F5D8233">
      <w:pPr>
        <w:pStyle w:val="29"/>
        <w:rPr>
          <w:rFonts w:hint="default" w:ascii="Times New Roman" w:hAnsi="Times New Roman" w:cs="Times New Roman"/>
          <w:color w:val="auto"/>
        </w:rPr>
      </w:pPr>
    </w:p>
    <w:p w14:paraId="404CB349">
      <w:pPr>
        <w:pStyle w:val="29"/>
        <w:ind w:firstLine="0" w:firstLineChars="0"/>
        <w:rPr>
          <w:rFonts w:hint="default" w:ascii="Times New Roman" w:hAnsi="Times New Roman" w:cs="Times New Roman"/>
          <w:color w:val="auto"/>
        </w:rPr>
        <w:sectPr>
          <w:footerReference r:id="rId9" w:type="default"/>
          <w:pgSz w:w="11906" w:h="16838"/>
          <w:pgMar w:top="2098" w:right="1474" w:bottom="1984" w:left="1587" w:header="851" w:footer="992" w:gutter="0"/>
          <w:pgNumType w:fmt="decimal"/>
          <w:cols w:space="425" w:num="1"/>
          <w:docGrid w:type="lines" w:linePitch="312" w:charSpace="0"/>
        </w:sectPr>
      </w:pPr>
    </w:p>
    <w:p w14:paraId="71140646">
      <w:pPr>
        <w:pStyle w:val="34"/>
        <w:keepNext/>
        <w:keepLines/>
        <w:pageBreakBefore w:val="0"/>
        <w:widowControl/>
        <w:numPr>
          <w:ilvl w:val="1"/>
          <w:numId w:val="0"/>
        </w:numPr>
        <w:kinsoku/>
        <w:wordWrap/>
        <w:overflowPunct/>
        <w:topLinePunct w:val="0"/>
        <w:autoSpaceDE/>
        <w:autoSpaceDN/>
        <w:bidi w:val="0"/>
        <w:adjustRightInd/>
        <w:snapToGrid/>
        <w:spacing w:before="0" w:line="600" w:lineRule="exact"/>
        <w:jc w:val="both"/>
        <w:textAlignment w:val="auto"/>
        <w:rPr>
          <w:rFonts w:hint="eastAsia" w:ascii="黑体" w:hAnsi="黑体" w:eastAsia="黑体" w:cs="黑体"/>
          <w:b w:val="0"/>
          <w:bCs w:val="0"/>
          <w:color w:val="auto"/>
          <w:sz w:val="32"/>
          <w:szCs w:val="32"/>
        </w:rPr>
      </w:pPr>
      <w:bookmarkStart w:id="308" w:name="_Toc769"/>
      <w:bookmarkStart w:id="309" w:name="_Toc18621"/>
      <w:bookmarkStart w:id="310" w:name="_Toc9570"/>
      <w:r>
        <w:rPr>
          <w:rFonts w:hint="eastAsia" w:ascii="黑体" w:hAnsi="黑体" w:eastAsia="黑体" w:cs="黑体"/>
          <w:b w:val="0"/>
          <w:bCs w:val="0"/>
          <w:color w:val="auto"/>
          <w:sz w:val="32"/>
          <w:szCs w:val="32"/>
        </w:rPr>
        <w:t>附件</w:t>
      </w:r>
      <w:r>
        <w:rPr>
          <w:rFonts w:hint="eastAsia" w:ascii="黑体" w:hAnsi="黑体" w:eastAsia="黑体" w:cs="黑体"/>
          <w:b w:val="0"/>
          <w:bCs w:val="0"/>
          <w:color w:val="auto"/>
          <w:sz w:val="32"/>
          <w:szCs w:val="32"/>
          <w:lang w:val="en-US" w:eastAsia="zh-CN"/>
        </w:rPr>
        <w:t>8</w:t>
      </w:r>
      <w:r>
        <w:rPr>
          <w:rFonts w:hint="eastAsia" w:ascii="黑体" w:hAnsi="黑体" w:eastAsia="黑体" w:cs="黑体"/>
          <w:b w:val="0"/>
          <w:bCs w:val="0"/>
          <w:color w:val="auto"/>
          <w:sz w:val="32"/>
          <w:szCs w:val="32"/>
        </w:rPr>
        <w:t xml:space="preserve">  </w:t>
      </w:r>
    </w:p>
    <w:p w14:paraId="4CE924C5">
      <w:pPr>
        <w:rPr>
          <w:rFonts w:hint="eastAsia"/>
        </w:rPr>
      </w:pPr>
    </w:p>
    <w:p w14:paraId="34BC6957">
      <w:pPr>
        <w:pStyle w:val="34"/>
        <w:pageBreakBefore w:val="0"/>
        <w:widowControl/>
        <w:numPr>
          <w:ilvl w:val="1"/>
          <w:numId w:val="0"/>
        </w:numPr>
        <w:kinsoku/>
        <w:wordWrap/>
        <w:overflowPunct/>
        <w:topLinePunct w:val="0"/>
        <w:autoSpaceDE/>
        <w:autoSpaceDN/>
        <w:bidi w:val="0"/>
        <w:adjustRightInd/>
        <w:snapToGrid/>
        <w:spacing w:before="0" w:line="60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val="en-US" w:eastAsia="zh-CN"/>
        </w:rPr>
        <w:t>昌江区产业</w:t>
      </w:r>
      <w:r>
        <w:rPr>
          <w:rFonts w:hint="eastAsia" w:ascii="方正小标宋简体" w:hAnsi="方正小标宋简体" w:eastAsia="方正小标宋简体" w:cs="方正小标宋简体"/>
          <w:b w:val="0"/>
          <w:bCs w:val="0"/>
          <w:color w:val="auto"/>
          <w:sz w:val="44"/>
          <w:szCs w:val="44"/>
        </w:rPr>
        <w:t>园区突发环境事件处置方案</w:t>
      </w:r>
      <w:bookmarkEnd w:id="308"/>
      <w:bookmarkEnd w:id="309"/>
      <w:bookmarkEnd w:id="310"/>
    </w:p>
    <w:p w14:paraId="0ADC7A8A">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snapToGrid w:val="0"/>
          <w:kern w:val="0"/>
        </w:rPr>
      </w:pPr>
    </w:p>
    <w:p w14:paraId="1B0FD13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目前昌江区产业园区主要为鱼山医药产业园和黑猫新材料产业园。鱼山医药产业园片区位于景德镇市昌江区鲇鱼山镇，总建设用地面积1.2825平方公里。鱼山医药产业园重点打造创新原料药、医药中间体、药物制剂、兽用药品、生物药品等生物和新医药产业的CDMO、制造、销售等上下游产业链，依托龙头企业高质量创新发展和电厂资源深度综合利用，形成生物和新医药、新型化学品等战略性新兴产业集聚。</w:t>
      </w:r>
    </w:p>
    <w:p w14:paraId="720A8CA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snapToGrid w:val="0"/>
          <w:color w:val="auto"/>
          <w:kern w:val="0"/>
          <w:sz w:val="32"/>
          <w:szCs w:val="32"/>
          <w:lang w:eastAsia="zh-CN"/>
        </w:rPr>
      </w:pPr>
      <w:r>
        <w:rPr>
          <w:rFonts w:hint="default" w:ascii="仿宋_GB2312" w:hAnsi="仿宋_GB2312" w:eastAsia="仿宋_GB2312" w:cs="仿宋_GB2312"/>
          <w:snapToGrid w:val="0"/>
          <w:color w:val="auto"/>
          <w:kern w:val="0"/>
          <w:sz w:val="32"/>
          <w:szCs w:val="32"/>
        </w:rPr>
        <w:t>黑猫新材料产业园</w:t>
      </w:r>
      <w:r>
        <w:rPr>
          <w:rFonts w:hint="eastAsia" w:ascii="仿宋_GB2312" w:hAnsi="仿宋_GB2312" w:eastAsia="仿宋_GB2312" w:cs="仿宋_GB2312"/>
          <w:snapToGrid w:val="0"/>
          <w:color w:val="auto"/>
          <w:kern w:val="0"/>
          <w:sz w:val="32"/>
          <w:szCs w:val="32"/>
          <w:lang w:val="en-US" w:eastAsia="zh-CN"/>
        </w:rPr>
        <w:t>位于</w:t>
      </w:r>
      <w:r>
        <w:rPr>
          <w:rFonts w:hint="eastAsia" w:ascii="仿宋_GB2312" w:hAnsi="仿宋_GB2312" w:eastAsia="仿宋_GB2312" w:cs="仿宋_GB2312"/>
          <w:snapToGrid w:val="0"/>
          <w:color w:val="auto"/>
          <w:kern w:val="0"/>
          <w:sz w:val="32"/>
          <w:szCs w:val="32"/>
          <w:lang w:eastAsia="zh-CN"/>
        </w:rPr>
        <w:t>景德镇市</w:t>
      </w:r>
      <w:r>
        <w:rPr>
          <w:rFonts w:hint="eastAsia" w:ascii="仿宋_GB2312" w:hAnsi="仿宋_GB2312" w:eastAsia="仿宋_GB2312" w:cs="仿宋_GB2312"/>
          <w:snapToGrid w:val="0"/>
          <w:color w:val="auto"/>
          <w:kern w:val="0"/>
          <w:sz w:val="32"/>
          <w:szCs w:val="32"/>
          <w:lang w:val="en-US" w:eastAsia="zh-CN"/>
        </w:rPr>
        <w:t>昌江区</w:t>
      </w:r>
      <w:r>
        <w:rPr>
          <w:rFonts w:hint="eastAsia" w:ascii="仿宋_GB2312" w:hAnsi="仿宋_GB2312" w:eastAsia="仿宋_GB2312" w:cs="仿宋_GB2312"/>
          <w:snapToGrid w:val="0"/>
          <w:color w:val="auto"/>
          <w:kern w:val="0"/>
          <w:sz w:val="32"/>
          <w:szCs w:val="32"/>
          <w:lang w:eastAsia="zh-CN"/>
        </w:rPr>
        <w:t>历尧片区</w:t>
      </w:r>
      <w:r>
        <w:rPr>
          <w:rFonts w:hint="eastAsia" w:ascii="仿宋_GB2312" w:hAnsi="仿宋_GB2312" w:eastAsia="仿宋_GB2312" w:cs="仿宋_GB2312"/>
          <w:snapToGrid w:val="0"/>
          <w:color w:val="auto"/>
          <w:kern w:val="0"/>
          <w:sz w:val="32"/>
          <w:szCs w:val="32"/>
          <w:lang w:val="en-US" w:eastAsia="zh-CN"/>
        </w:rPr>
        <w:t>，</w:t>
      </w:r>
      <w:r>
        <w:rPr>
          <w:rFonts w:hint="default" w:ascii="仿宋_GB2312" w:hAnsi="仿宋_GB2312" w:eastAsia="仿宋_GB2312" w:cs="仿宋_GB2312"/>
          <w:snapToGrid w:val="0"/>
          <w:color w:val="auto"/>
          <w:kern w:val="0"/>
          <w:sz w:val="32"/>
          <w:szCs w:val="32"/>
        </w:rPr>
        <w:t>总用地面积26.67hm2（0.267km2，400亩）</w:t>
      </w:r>
      <w:r>
        <w:rPr>
          <w:rFonts w:hint="eastAsia" w:ascii="仿宋_GB2312" w:hAnsi="仿宋_GB2312" w:eastAsia="仿宋_GB2312" w:cs="仿宋_GB2312"/>
          <w:snapToGrid w:val="0"/>
          <w:color w:val="auto"/>
          <w:kern w:val="0"/>
          <w:sz w:val="32"/>
          <w:szCs w:val="32"/>
          <w:lang w:eastAsia="zh-CN"/>
        </w:rPr>
        <w:t>，分为</w:t>
      </w:r>
      <w:r>
        <w:rPr>
          <w:rFonts w:hint="default" w:ascii="仿宋_GB2312" w:hAnsi="仿宋_GB2312" w:eastAsia="仿宋_GB2312" w:cs="仿宋_GB2312"/>
          <w:snapToGrid w:val="0"/>
          <w:color w:val="auto"/>
          <w:kern w:val="0"/>
          <w:sz w:val="32"/>
          <w:szCs w:val="32"/>
        </w:rPr>
        <w:t>锂电池导电剂产业区和高效节能电光源产业区两个片区</w:t>
      </w:r>
      <w:r>
        <w:rPr>
          <w:rFonts w:hint="eastAsia" w:ascii="仿宋_GB2312" w:hAnsi="仿宋_GB2312" w:eastAsia="仿宋_GB2312" w:cs="仿宋_GB2312"/>
          <w:snapToGrid w:val="0"/>
          <w:color w:val="auto"/>
          <w:kern w:val="0"/>
          <w:sz w:val="32"/>
          <w:szCs w:val="32"/>
          <w:lang w:eastAsia="zh-CN"/>
        </w:rPr>
        <w:t>。</w:t>
      </w:r>
      <w:r>
        <w:rPr>
          <w:rFonts w:hint="default" w:ascii="仿宋_GB2312" w:hAnsi="仿宋_GB2312" w:eastAsia="仿宋_GB2312" w:cs="仿宋_GB2312"/>
          <w:snapToGrid w:val="0"/>
          <w:color w:val="auto"/>
          <w:kern w:val="0"/>
          <w:sz w:val="32"/>
          <w:szCs w:val="32"/>
        </w:rPr>
        <w:t>锂电池导电剂产业区</w:t>
      </w:r>
      <w:r>
        <w:rPr>
          <w:rFonts w:hint="default" w:ascii="仿宋_GB2312" w:hAnsi="仿宋_GB2312" w:eastAsia="仿宋_GB2312" w:cs="仿宋_GB2312"/>
          <w:snapToGrid w:val="0"/>
          <w:color w:val="auto"/>
          <w:kern w:val="0"/>
          <w:sz w:val="32"/>
          <w:szCs w:val="32"/>
          <w:lang w:val="en-US" w:eastAsia="zh-CN"/>
        </w:rPr>
        <w:t>重点发展碳基纳米材料、石墨烯等导电新材料，配套引入电子级硅微粉等电池封装材料。</w:t>
      </w:r>
      <w:r>
        <w:rPr>
          <w:rFonts w:hint="default" w:ascii="仿宋_GB2312" w:hAnsi="仿宋_GB2312" w:eastAsia="仿宋_GB2312" w:cs="仿宋_GB2312"/>
          <w:snapToGrid w:val="0"/>
          <w:color w:val="auto"/>
          <w:kern w:val="0"/>
          <w:sz w:val="32"/>
          <w:szCs w:val="32"/>
        </w:rPr>
        <w:t>高效节能电光源产业区</w:t>
      </w:r>
      <w:r>
        <w:rPr>
          <w:rFonts w:hint="default" w:ascii="仿宋_GB2312" w:hAnsi="仿宋_GB2312" w:eastAsia="仿宋_GB2312" w:cs="仿宋_GB2312"/>
          <w:snapToGrid w:val="0"/>
          <w:color w:val="auto"/>
          <w:kern w:val="0"/>
          <w:sz w:val="32"/>
          <w:szCs w:val="32"/>
          <w:lang w:val="en-US" w:eastAsia="zh-CN"/>
        </w:rPr>
        <w:t>重点发展光电玻璃、绝缘陶瓷等产业。</w:t>
      </w:r>
    </w:p>
    <w:p w14:paraId="383043A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鱼山医药产业园和黑猫新材料产业园内</w:t>
      </w:r>
      <w:r>
        <w:rPr>
          <w:rFonts w:hint="default" w:ascii="仿宋_GB2312" w:hAnsi="仿宋_GB2312" w:eastAsia="仿宋_GB2312" w:cs="仿宋_GB2312"/>
          <w:snapToGrid w:val="0"/>
          <w:color w:val="auto"/>
          <w:kern w:val="0"/>
          <w:sz w:val="32"/>
          <w:szCs w:val="32"/>
        </w:rPr>
        <w:t>有毒有害、易燃易爆</w:t>
      </w:r>
      <w:r>
        <w:rPr>
          <w:rFonts w:hint="eastAsia" w:ascii="仿宋_GB2312" w:hAnsi="仿宋_GB2312" w:eastAsia="仿宋_GB2312" w:cs="仿宋_GB2312"/>
          <w:snapToGrid w:val="0"/>
          <w:color w:val="auto"/>
          <w:kern w:val="0"/>
          <w:sz w:val="32"/>
          <w:szCs w:val="32"/>
          <w:lang w:val="en-US" w:eastAsia="zh-CN"/>
        </w:rPr>
        <w:t>物质</w:t>
      </w:r>
      <w:r>
        <w:rPr>
          <w:rFonts w:hint="default" w:ascii="仿宋_GB2312" w:hAnsi="仿宋_GB2312" w:eastAsia="仿宋_GB2312" w:cs="仿宋_GB2312"/>
          <w:snapToGrid w:val="0"/>
          <w:color w:val="auto"/>
          <w:kern w:val="0"/>
          <w:sz w:val="32"/>
          <w:szCs w:val="32"/>
        </w:rPr>
        <w:t>品种类多、储量大，且近邻</w:t>
      </w:r>
      <w:r>
        <w:rPr>
          <w:rFonts w:hint="eastAsia" w:ascii="仿宋_GB2312" w:hAnsi="仿宋_GB2312" w:eastAsia="仿宋_GB2312" w:cs="仿宋_GB2312"/>
          <w:snapToGrid w:val="0"/>
          <w:color w:val="auto"/>
          <w:kern w:val="0"/>
          <w:sz w:val="32"/>
          <w:szCs w:val="32"/>
          <w:lang w:val="en-US" w:eastAsia="zh-CN"/>
        </w:rPr>
        <w:t>昌江</w:t>
      </w:r>
      <w:r>
        <w:rPr>
          <w:rFonts w:hint="default" w:ascii="仿宋_GB2312" w:hAnsi="仿宋_GB2312" w:eastAsia="仿宋_GB2312" w:cs="仿宋_GB2312"/>
          <w:snapToGrid w:val="0"/>
          <w:color w:val="auto"/>
          <w:kern w:val="0"/>
          <w:sz w:val="32"/>
          <w:szCs w:val="32"/>
        </w:rPr>
        <w:t>，发生危险化学品泄漏、火灾或爆炸等事故时，若应急处理不到位，即可能造成大面积的大气、水环境污染与生态破坏。</w:t>
      </w:r>
    </w:p>
    <w:p w14:paraId="65CE334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为健全</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突发环境污染事故应急机制，增强区域及区域内企业环境风险意识，切实加强</w:t>
      </w:r>
      <w:r>
        <w:rPr>
          <w:rFonts w:hint="eastAsia" w:ascii="仿宋_GB2312" w:hAnsi="仿宋_GB2312" w:eastAsia="仿宋_GB2312" w:cs="仿宋_GB2312"/>
          <w:snapToGrid w:val="0"/>
          <w:color w:val="auto"/>
          <w:kern w:val="0"/>
          <w:sz w:val="32"/>
          <w:szCs w:val="32"/>
          <w:lang w:val="en-US" w:eastAsia="zh-CN"/>
        </w:rPr>
        <w:t>各产业</w:t>
      </w:r>
      <w:r>
        <w:rPr>
          <w:rFonts w:hint="default" w:ascii="仿宋_GB2312" w:hAnsi="仿宋_GB2312" w:eastAsia="仿宋_GB2312" w:cs="仿宋_GB2312"/>
          <w:snapToGrid w:val="0"/>
          <w:color w:val="auto"/>
          <w:kern w:val="0"/>
          <w:sz w:val="32"/>
          <w:szCs w:val="32"/>
        </w:rPr>
        <w:t>园区环境安全管理，防范和减少突发环境污染事故的发生</w:t>
      </w:r>
      <w:r>
        <w:rPr>
          <w:rFonts w:hint="eastAsia" w:ascii="仿宋_GB2312" w:hAnsi="仿宋_GB2312" w:eastAsia="仿宋_GB2312" w:cs="仿宋_GB2312"/>
          <w:snapToGrid w:val="0"/>
          <w:color w:val="auto"/>
          <w:kern w:val="0"/>
          <w:sz w:val="32"/>
          <w:szCs w:val="32"/>
          <w:lang w:eastAsia="zh-CN"/>
        </w:rPr>
        <w:t>，</w:t>
      </w:r>
      <w:r>
        <w:rPr>
          <w:rFonts w:hint="default" w:ascii="仿宋_GB2312" w:hAnsi="仿宋_GB2312" w:eastAsia="仿宋_GB2312" w:cs="仿宋_GB2312"/>
          <w:snapToGrid w:val="0"/>
          <w:color w:val="auto"/>
          <w:kern w:val="0"/>
          <w:sz w:val="32"/>
          <w:szCs w:val="32"/>
        </w:rPr>
        <w:t>特制定《</w:t>
      </w:r>
      <w:r>
        <w:rPr>
          <w:rFonts w:hint="eastAsia" w:ascii="仿宋_GB2312" w:hAnsi="仿宋_GB2312" w:eastAsia="仿宋_GB2312" w:cs="仿宋_GB2312"/>
          <w:snapToGrid w:val="0"/>
          <w:color w:val="auto"/>
          <w:kern w:val="0"/>
          <w:sz w:val="32"/>
          <w:szCs w:val="32"/>
          <w:lang w:val="en-US" w:eastAsia="zh-CN"/>
        </w:rPr>
        <w:t>昌江区产业</w:t>
      </w:r>
      <w:r>
        <w:rPr>
          <w:rFonts w:hint="default" w:ascii="仿宋_GB2312" w:hAnsi="仿宋_GB2312" w:eastAsia="仿宋_GB2312" w:cs="仿宋_GB2312"/>
          <w:snapToGrid w:val="0"/>
          <w:color w:val="auto"/>
          <w:kern w:val="0"/>
          <w:sz w:val="32"/>
          <w:szCs w:val="32"/>
        </w:rPr>
        <w:t>园区突发环境事件处置方案》（以下简称“方案”）。本方案可作为园区发生突发环境事件时，指导园区管委会第一时间开展人员疏散、现场控制、事故处理等应急处置工作。</w:t>
      </w:r>
    </w:p>
    <w:p w14:paraId="1FFE25E2">
      <w:pPr>
        <w:pStyle w:val="31"/>
        <w:keepNext w:val="0"/>
        <w:keepLines w:val="0"/>
        <w:pageBreakBefore w:val="0"/>
        <w:kinsoku/>
        <w:wordWrap/>
        <w:overflowPunct/>
        <w:topLinePunct w:val="0"/>
        <w:autoSpaceDE/>
        <w:autoSpaceDN/>
        <w:bidi w:val="0"/>
        <w:adjustRightInd/>
        <w:snapToGrid/>
        <w:spacing w:line="600" w:lineRule="exact"/>
        <w:ind w:firstLine="562"/>
        <w:jc w:val="both"/>
        <w:textAlignment w:val="auto"/>
        <w:rPr>
          <w:rFonts w:hint="eastAsia" w:ascii="黑体" w:hAnsi="黑体" w:eastAsia="黑体" w:cs="黑体"/>
          <w:b w:val="0"/>
          <w:bCs w:val="0"/>
          <w:snapToGrid w:val="0"/>
          <w:color w:val="auto"/>
          <w:kern w:val="0"/>
          <w:sz w:val="32"/>
          <w:szCs w:val="32"/>
        </w:rPr>
      </w:pPr>
      <w:r>
        <w:rPr>
          <w:rFonts w:hint="eastAsia" w:ascii="黑体" w:hAnsi="黑体" w:eastAsia="黑体" w:cs="黑体"/>
          <w:b w:val="0"/>
          <w:bCs w:val="0"/>
          <w:snapToGrid w:val="0"/>
          <w:color w:val="auto"/>
          <w:kern w:val="0"/>
          <w:sz w:val="32"/>
          <w:szCs w:val="32"/>
        </w:rPr>
        <w:t>一、现场处置程序</w:t>
      </w:r>
    </w:p>
    <w:p w14:paraId="19C6651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bookmarkStart w:id="311" w:name="_Toc463980246"/>
      <w:bookmarkEnd w:id="311"/>
      <w:bookmarkStart w:id="312" w:name="_Toc468283979"/>
      <w:bookmarkEnd w:id="312"/>
      <w:bookmarkStart w:id="313" w:name="_Toc468649755"/>
      <w:bookmarkEnd w:id="313"/>
      <w:bookmarkStart w:id="314" w:name="_Toc468283684"/>
      <w:bookmarkEnd w:id="314"/>
      <w:bookmarkStart w:id="315" w:name="_Toc463967852"/>
      <w:r>
        <w:rPr>
          <w:rFonts w:hint="default" w:ascii="仿宋_GB2312" w:hAnsi="仿宋_GB2312" w:eastAsia="仿宋_GB2312" w:cs="仿宋_GB2312"/>
          <w:snapToGrid w:val="0"/>
          <w:color w:val="auto"/>
          <w:kern w:val="0"/>
          <w:sz w:val="32"/>
          <w:szCs w:val="32"/>
        </w:rPr>
        <w:t>突发环境事件发生后，发生环境事件的企业应立即启动企业级应急预案，企业</w:t>
      </w:r>
      <w:bookmarkEnd w:id="315"/>
      <w:r>
        <w:rPr>
          <w:rFonts w:hint="default" w:ascii="仿宋_GB2312" w:hAnsi="仿宋_GB2312" w:eastAsia="仿宋_GB2312" w:cs="仿宋_GB2312"/>
          <w:snapToGrid w:val="0"/>
          <w:color w:val="auto"/>
          <w:kern w:val="0"/>
          <w:sz w:val="32"/>
          <w:szCs w:val="32"/>
        </w:rPr>
        <w:t>现场应急救援指挥部根据事态发展变化情况，出现急剧恶化的特殊险情时，依法采取紧急处置措施，同时向园区管委会报告。</w:t>
      </w:r>
    </w:p>
    <w:p w14:paraId="26619E2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snapToGrid w:val="0"/>
          <w:color w:val="auto"/>
          <w:kern w:val="0"/>
          <w:sz w:val="32"/>
          <w:szCs w:val="32"/>
        </w:rPr>
      </w:pPr>
      <w:r>
        <w:rPr>
          <w:rFonts w:hint="eastAsia" w:ascii="楷体_GB2312" w:hAnsi="楷体_GB2312" w:eastAsia="楷体_GB2312" w:cs="楷体_GB2312"/>
          <w:snapToGrid w:val="0"/>
          <w:color w:val="auto"/>
          <w:kern w:val="0"/>
          <w:sz w:val="32"/>
          <w:szCs w:val="32"/>
        </w:rPr>
        <w:t>园区管委会的现场处置程序如下：</w:t>
      </w:r>
    </w:p>
    <w:p w14:paraId="63E03E4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（1）接警。接警时应明确危险化学品事故发生的单位、地址、事故引发物质、事故简要情况、人员伤亡情况等。</w:t>
      </w:r>
    </w:p>
    <w:p w14:paraId="0027DC0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（2）配合隔离事故现场，建立警戒区。事故发生后，配合企业建立警戒区，在通往事故现场的主要干道上实行交通管制。若发生的为园区类事件，园区管委会协调其他位于警戒区内的企业迅速停工撤离。</w:t>
      </w:r>
    </w:p>
    <w:p w14:paraId="7A64ADC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（3）人员疏散。事故发生后，园区管委会应根据专家的预测和建议，配合事故发生企业指挥事故影响范围内的非应急救援人员疏散，以减少不必要的人员伤亡。</w:t>
      </w:r>
    </w:p>
    <w:p w14:paraId="156ADDF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（4）现场控制。根据事故特点和事故引发物质的不同，应采取不同的防护措施和急救方法。园区管委会调动区内和周边可用应急救援物资、防护物资，提供物资保障，根据需要联系消防队、医疗机构。</w:t>
      </w:r>
    </w:p>
    <w:p w14:paraId="3E43DA7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（5）事故处理。根据事故类型，联系区内对应专业应急救援队伍和周边的专家、技术人员，为事故处理提供专业意见。</w:t>
      </w:r>
    </w:p>
    <w:p w14:paraId="1AB9E12D">
      <w:pPr>
        <w:pStyle w:val="31"/>
        <w:keepNext w:val="0"/>
        <w:keepLines w:val="0"/>
        <w:pageBreakBefore w:val="0"/>
        <w:kinsoku/>
        <w:wordWrap/>
        <w:overflowPunct/>
        <w:topLinePunct w:val="0"/>
        <w:autoSpaceDE/>
        <w:autoSpaceDN/>
        <w:bidi w:val="0"/>
        <w:adjustRightInd/>
        <w:snapToGrid/>
        <w:spacing w:line="600" w:lineRule="exact"/>
        <w:ind w:firstLine="562"/>
        <w:jc w:val="both"/>
        <w:textAlignment w:val="auto"/>
        <w:rPr>
          <w:rFonts w:hint="default" w:ascii="黑体" w:hAnsi="黑体" w:eastAsia="黑体" w:cs="黑体"/>
          <w:b w:val="0"/>
          <w:bCs w:val="0"/>
          <w:snapToGrid w:val="0"/>
          <w:color w:val="auto"/>
          <w:kern w:val="0"/>
          <w:sz w:val="32"/>
          <w:szCs w:val="32"/>
        </w:rPr>
      </w:pPr>
      <w:bookmarkStart w:id="316" w:name="_Toc16942"/>
      <w:bookmarkEnd w:id="316"/>
      <w:r>
        <w:rPr>
          <w:rFonts w:hint="default" w:ascii="黑体" w:hAnsi="黑体" w:eastAsia="黑体" w:cs="黑体"/>
          <w:b w:val="0"/>
          <w:bCs w:val="0"/>
          <w:snapToGrid w:val="0"/>
          <w:color w:val="auto"/>
          <w:kern w:val="0"/>
          <w:sz w:val="32"/>
          <w:szCs w:val="32"/>
        </w:rPr>
        <w:t>二、现场处置方案的制定</w:t>
      </w:r>
    </w:p>
    <w:p w14:paraId="79DD74B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现场处置方案由环境应急现场指挥部组织责任部门和专家组制订，通过应急指挥部批准后实施。现场处置要依靠科技和专家力量，立足于彻底消除污染危害，尽可能控制和缩小已排出污染物扩散、蔓延范围，将突发环境事件危害降低到最小程度。</w:t>
      </w:r>
    </w:p>
    <w:p w14:paraId="7A1A957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317" w:name="_Toc21673"/>
      <w:bookmarkStart w:id="318" w:name="_Toc16655"/>
      <w:bookmarkStart w:id="319" w:name="_Toc4172"/>
      <w:bookmarkStart w:id="320" w:name="_Toc32487"/>
      <w:bookmarkStart w:id="321" w:name="_Toc14684"/>
      <w:bookmarkStart w:id="322" w:name="_Toc22857"/>
      <w:r>
        <w:rPr>
          <w:rFonts w:hint="default" w:ascii="楷体_GB2312" w:hAnsi="楷体_GB2312" w:eastAsia="楷体_GB2312" w:cs="楷体_GB2312"/>
          <w:b/>
          <w:bCs/>
          <w:snapToGrid w:val="0"/>
          <w:color w:val="auto"/>
          <w:kern w:val="0"/>
          <w:sz w:val="32"/>
          <w:szCs w:val="32"/>
        </w:rPr>
        <w:t>1</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由企业生产装置或设备泄漏、火灾或爆炸引发的突发环境事件</w:t>
      </w:r>
      <w:bookmarkEnd w:id="317"/>
      <w:bookmarkEnd w:id="318"/>
      <w:bookmarkEnd w:id="319"/>
      <w:bookmarkEnd w:id="320"/>
      <w:bookmarkEnd w:id="321"/>
      <w:bookmarkEnd w:id="322"/>
    </w:p>
    <w:p w14:paraId="26C19CB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企业单位生产装置或设备泄漏、火灾或爆炸引发的突发环境事件，由园区管委会领导、</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应急管理局、</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生态环境局等部门</w:t>
      </w:r>
      <w:r>
        <w:rPr>
          <w:rFonts w:hint="eastAsia" w:ascii="仿宋_GB2312" w:hAnsi="仿宋_GB2312" w:eastAsia="仿宋_GB2312" w:cs="仿宋_GB2312"/>
          <w:snapToGrid w:val="0"/>
          <w:color w:val="auto"/>
          <w:kern w:val="0"/>
          <w:sz w:val="32"/>
          <w:szCs w:val="32"/>
          <w:lang w:eastAsia="zh-CN"/>
        </w:rPr>
        <w:t>会同</w:t>
      </w:r>
      <w:r>
        <w:rPr>
          <w:rFonts w:hint="default" w:ascii="仿宋_GB2312" w:hAnsi="仿宋_GB2312" w:eastAsia="仿宋_GB2312" w:cs="仿宋_GB2312"/>
          <w:snapToGrid w:val="0"/>
          <w:color w:val="auto"/>
          <w:kern w:val="0"/>
          <w:sz w:val="32"/>
          <w:szCs w:val="32"/>
        </w:rPr>
        <w:t>专家组</w:t>
      </w:r>
      <w:r>
        <w:rPr>
          <w:rFonts w:hint="eastAsia" w:ascii="仿宋_GB2312" w:hAnsi="仿宋_GB2312" w:eastAsia="仿宋_GB2312" w:cs="仿宋_GB2312"/>
          <w:snapToGrid w:val="0"/>
          <w:color w:val="auto"/>
          <w:kern w:val="0"/>
          <w:sz w:val="32"/>
          <w:szCs w:val="32"/>
          <w:lang w:eastAsia="zh-CN"/>
        </w:rPr>
        <w:t>制定</w:t>
      </w:r>
      <w:r>
        <w:rPr>
          <w:rFonts w:hint="default" w:ascii="仿宋_GB2312" w:hAnsi="仿宋_GB2312" w:eastAsia="仿宋_GB2312" w:cs="仿宋_GB2312"/>
          <w:snapToGrid w:val="0"/>
          <w:color w:val="auto"/>
          <w:kern w:val="0"/>
          <w:sz w:val="32"/>
          <w:szCs w:val="32"/>
        </w:rPr>
        <w:t>现场处置方案，方案应主要包括污染源排查和切断、污染范围及趋势确定、减轻与消除污染等内容。</w:t>
      </w:r>
    </w:p>
    <w:p w14:paraId="06C6081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b/>
          <w:bCs/>
          <w:snapToGrid w:val="0"/>
          <w:color w:val="auto"/>
          <w:kern w:val="0"/>
          <w:sz w:val="32"/>
          <w:szCs w:val="32"/>
        </w:rPr>
      </w:pPr>
      <w:bookmarkStart w:id="323" w:name="_Toc4641"/>
      <w:bookmarkStart w:id="324" w:name="_Toc30000"/>
      <w:bookmarkStart w:id="325" w:name="_Toc15401"/>
      <w:bookmarkStart w:id="326" w:name="_Toc2937"/>
      <w:bookmarkStart w:id="327" w:name="_Toc249"/>
      <w:bookmarkStart w:id="328" w:name="_Toc1126"/>
      <w:r>
        <w:rPr>
          <w:rFonts w:hint="eastAsia" w:ascii="仿宋_GB2312" w:hAnsi="仿宋_GB2312" w:eastAsia="仿宋_GB2312" w:cs="仿宋_GB2312"/>
          <w:b/>
          <w:bCs/>
          <w:snapToGrid w:val="0"/>
          <w:color w:val="auto"/>
          <w:kern w:val="0"/>
          <w:sz w:val="32"/>
          <w:szCs w:val="32"/>
        </w:rPr>
        <w:t>（1）污染源排查和切断</w:t>
      </w:r>
      <w:bookmarkEnd w:id="323"/>
      <w:bookmarkEnd w:id="324"/>
      <w:bookmarkEnd w:id="325"/>
      <w:bookmarkEnd w:id="326"/>
      <w:bookmarkEnd w:id="327"/>
      <w:bookmarkEnd w:id="328"/>
    </w:p>
    <w:p w14:paraId="7FB75B2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对未知排污单位：突发环境事件发生后，应急救援小组迅速赶往现场，在事故发生地开展应急监测，确定污染因子及污染范围。根据监测结果排查区域及区域内可能导致污染的企业，确定污染源后，要求企业启动企业突发环境事件应急预案，采取相应措施切断污染源。</w:t>
      </w:r>
    </w:p>
    <w:p w14:paraId="7AA58F9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对已知排污单位：园区管委会要求企业启动企业突发环境事件应急预案，采取相应措施切断污染源。</w:t>
      </w:r>
    </w:p>
    <w:p w14:paraId="1610C66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29" w:name="_Toc28404"/>
      <w:bookmarkStart w:id="330" w:name="_Toc25600"/>
      <w:bookmarkStart w:id="331" w:name="_Toc14598"/>
      <w:bookmarkStart w:id="332" w:name="_Toc3580"/>
      <w:bookmarkStart w:id="333" w:name="_Toc30196"/>
      <w:bookmarkStart w:id="334" w:name="_Toc21210"/>
      <w:r>
        <w:rPr>
          <w:rFonts w:hint="default" w:ascii="仿宋_GB2312" w:hAnsi="仿宋_GB2312" w:eastAsia="仿宋_GB2312" w:cs="仿宋_GB2312"/>
          <w:b/>
          <w:bCs/>
          <w:snapToGrid w:val="0"/>
          <w:color w:val="auto"/>
          <w:kern w:val="0"/>
          <w:sz w:val="32"/>
          <w:szCs w:val="32"/>
        </w:rPr>
        <w:t>（2）确定污染范围及趋势</w:t>
      </w:r>
      <w:bookmarkEnd w:id="329"/>
      <w:bookmarkEnd w:id="330"/>
      <w:bookmarkEnd w:id="331"/>
      <w:bookmarkEnd w:id="332"/>
      <w:bookmarkEnd w:id="333"/>
      <w:bookmarkEnd w:id="334"/>
    </w:p>
    <w:p w14:paraId="13C8077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应急监测组配合监测</w:t>
      </w:r>
      <w:r>
        <w:rPr>
          <w:rFonts w:hint="eastAsia" w:ascii="仿宋_GB2312" w:hAnsi="仿宋_GB2312" w:eastAsia="仿宋_GB2312" w:cs="仿宋_GB2312"/>
          <w:snapToGrid w:val="0"/>
          <w:color w:val="auto"/>
          <w:kern w:val="0"/>
          <w:sz w:val="32"/>
          <w:szCs w:val="32"/>
          <w:lang w:eastAsia="zh-CN"/>
        </w:rPr>
        <w:t>单位</w:t>
      </w:r>
      <w:r>
        <w:rPr>
          <w:rFonts w:hint="default" w:ascii="仿宋_GB2312" w:hAnsi="仿宋_GB2312" w:eastAsia="仿宋_GB2312" w:cs="仿宋_GB2312"/>
          <w:snapToGrid w:val="0"/>
          <w:color w:val="auto"/>
          <w:kern w:val="0"/>
          <w:sz w:val="32"/>
          <w:szCs w:val="32"/>
        </w:rPr>
        <w:t>做好事件现场的应急监测，并定期将监测结果上报至环境应急现场指挥部。周围情形复杂时，及时组织专家组开展污染物扩散规律分析，明确污染程度与范围，确定拦截、洗消范围，判断污染物发展趋势。</w:t>
      </w:r>
    </w:p>
    <w:p w14:paraId="3D46626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35" w:name="_Toc20630"/>
      <w:bookmarkStart w:id="336" w:name="_Toc24988"/>
      <w:bookmarkStart w:id="337" w:name="_Toc12220"/>
      <w:bookmarkStart w:id="338" w:name="_Toc19195"/>
      <w:bookmarkStart w:id="339" w:name="_Toc4848"/>
      <w:bookmarkStart w:id="340" w:name="_Toc15054"/>
      <w:r>
        <w:rPr>
          <w:rFonts w:hint="default" w:ascii="仿宋_GB2312" w:hAnsi="仿宋_GB2312" w:eastAsia="仿宋_GB2312" w:cs="仿宋_GB2312"/>
          <w:b/>
          <w:bCs/>
          <w:snapToGrid w:val="0"/>
          <w:color w:val="auto"/>
          <w:kern w:val="0"/>
          <w:sz w:val="32"/>
          <w:szCs w:val="32"/>
        </w:rPr>
        <w:t>（3）减轻与消除污染</w:t>
      </w:r>
      <w:bookmarkEnd w:id="335"/>
      <w:bookmarkEnd w:id="336"/>
      <w:bookmarkEnd w:id="337"/>
      <w:bookmarkEnd w:id="338"/>
      <w:bookmarkEnd w:id="339"/>
      <w:bookmarkEnd w:id="340"/>
    </w:p>
    <w:p w14:paraId="7E7024C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针对污染物扩散情况，可采用拦截、稀释、吸附、吸收等措施防止污染物扩散；采用中和、固化、沉淀、降解、清理等措施减轻或消除污染。</w:t>
      </w:r>
    </w:p>
    <w:p w14:paraId="7BFC89D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341" w:name="_Toc15721"/>
      <w:bookmarkStart w:id="342" w:name="_Toc8963"/>
      <w:bookmarkStart w:id="343" w:name="_Toc32582"/>
      <w:bookmarkStart w:id="344" w:name="_Toc5479"/>
      <w:bookmarkStart w:id="345" w:name="_Toc19956"/>
      <w:bookmarkStart w:id="346" w:name="_Toc31654"/>
      <w:r>
        <w:rPr>
          <w:rFonts w:hint="default" w:ascii="楷体_GB2312" w:hAnsi="楷体_GB2312" w:eastAsia="楷体_GB2312" w:cs="楷体_GB2312"/>
          <w:b/>
          <w:bCs/>
          <w:snapToGrid w:val="0"/>
          <w:color w:val="auto"/>
          <w:kern w:val="0"/>
          <w:sz w:val="32"/>
          <w:szCs w:val="32"/>
        </w:rPr>
        <w:t>2</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园区污水处理厂排污引发的突发环境事件</w:t>
      </w:r>
      <w:bookmarkEnd w:id="341"/>
      <w:bookmarkEnd w:id="342"/>
      <w:bookmarkEnd w:id="343"/>
      <w:bookmarkEnd w:id="344"/>
      <w:bookmarkEnd w:id="345"/>
      <w:bookmarkEnd w:id="346"/>
    </w:p>
    <w:p w14:paraId="36772AE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由园区污水处理厂排污引发的突发环境事件，园区管委会领导、</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生态环境局等部门会同专家组制订现场处置方案，方案应主要包括排查事故原因和污染源、切断和控制污染源、确定污染范围、减轻与消除污染等内容。</w:t>
      </w:r>
    </w:p>
    <w:p w14:paraId="54026F4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47" w:name="_Toc29757"/>
      <w:bookmarkStart w:id="348" w:name="_Toc28291"/>
      <w:bookmarkStart w:id="349" w:name="_Toc30126"/>
      <w:bookmarkStart w:id="350" w:name="_Toc31323"/>
      <w:bookmarkStart w:id="351" w:name="_Toc4250"/>
      <w:bookmarkStart w:id="352" w:name="_Toc10437"/>
      <w:r>
        <w:rPr>
          <w:rFonts w:hint="default" w:ascii="仿宋_GB2312" w:hAnsi="仿宋_GB2312" w:eastAsia="仿宋_GB2312" w:cs="仿宋_GB2312"/>
          <w:b/>
          <w:bCs/>
          <w:snapToGrid w:val="0"/>
          <w:color w:val="auto"/>
          <w:kern w:val="0"/>
          <w:sz w:val="32"/>
          <w:szCs w:val="32"/>
        </w:rPr>
        <w:t>（1）污染源排查和切断</w:t>
      </w:r>
      <w:bookmarkEnd w:id="347"/>
      <w:bookmarkEnd w:id="348"/>
      <w:bookmarkEnd w:id="349"/>
      <w:bookmarkEnd w:id="350"/>
      <w:bookmarkEnd w:id="351"/>
      <w:bookmarkEnd w:id="352"/>
    </w:p>
    <w:p w14:paraId="2BF48D9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污水处理厂主要环境风险为废水事故排放，原因主要为废水处理装置发生故障。通过询问车间工作人员查找事故原因，第一时间关闭进水泵及尾水的切断阀，要求企业启动企业突发环境事件应急预案。</w:t>
      </w:r>
    </w:p>
    <w:p w14:paraId="5F3CF49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53" w:name="_Toc32289"/>
      <w:bookmarkStart w:id="354" w:name="_Toc11760"/>
      <w:bookmarkStart w:id="355" w:name="_Toc18052"/>
      <w:bookmarkStart w:id="356" w:name="_Toc12019"/>
      <w:bookmarkStart w:id="357" w:name="_Toc32045"/>
      <w:bookmarkStart w:id="358" w:name="_Toc517"/>
      <w:r>
        <w:rPr>
          <w:rFonts w:hint="default" w:ascii="仿宋_GB2312" w:hAnsi="仿宋_GB2312" w:eastAsia="仿宋_GB2312" w:cs="仿宋_GB2312"/>
          <w:b/>
          <w:bCs/>
          <w:snapToGrid w:val="0"/>
          <w:color w:val="auto"/>
          <w:kern w:val="0"/>
          <w:sz w:val="32"/>
          <w:szCs w:val="32"/>
        </w:rPr>
        <w:t>（2）确定污染范围</w:t>
      </w:r>
      <w:bookmarkEnd w:id="353"/>
      <w:bookmarkEnd w:id="354"/>
      <w:bookmarkEnd w:id="355"/>
      <w:bookmarkEnd w:id="356"/>
      <w:bookmarkEnd w:id="357"/>
      <w:bookmarkEnd w:id="358"/>
    </w:p>
    <w:p w14:paraId="753EA26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应急监测组配合监测单位应做好事件现场的应急监测、扩散规律分析，明确污染边界。</w:t>
      </w:r>
    </w:p>
    <w:p w14:paraId="37A96F7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59" w:name="_Toc415"/>
      <w:bookmarkStart w:id="360" w:name="_Toc26855"/>
      <w:bookmarkStart w:id="361" w:name="_Toc21812"/>
      <w:bookmarkStart w:id="362" w:name="_Toc29919"/>
      <w:bookmarkStart w:id="363" w:name="_Toc24810"/>
      <w:bookmarkStart w:id="364" w:name="_Toc1167"/>
      <w:r>
        <w:rPr>
          <w:rFonts w:hint="default" w:ascii="仿宋_GB2312" w:hAnsi="仿宋_GB2312" w:eastAsia="仿宋_GB2312" w:cs="仿宋_GB2312"/>
          <w:b/>
          <w:bCs/>
          <w:snapToGrid w:val="0"/>
          <w:color w:val="auto"/>
          <w:kern w:val="0"/>
          <w:sz w:val="32"/>
          <w:szCs w:val="32"/>
        </w:rPr>
        <w:t>（3）减轻与消除污染</w:t>
      </w:r>
      <w:bookmarkEnd w:id="359"/>
      <w:bookmarkEnd w:id="360"/>
      <w:bookmarkEnd w:id="361"/>
      <w:bookmarkEnd w:id="362"/>
      <w:bookmarkEnd w:id="363"/>
      <w:bookmarkEnd w:id="364"/>
    </w:p>
    <w:p w14:paraId="2FF3925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关闭进水泵及尾水的切断阀后，将事故废水泵入事故池中，待废水处理装置故障消除后，将事故废水再次泵入废水处理装置中进行处理。</w:t>
      </w:r>
    </w:p>
    <w:p w14:paraId="4F21E6E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365" w:name="_Toc19068"/>
      <w:bookmarkStart w:id="366" w:name="_Toc1841"/>
      <w:bookmarkStart w:id="367" w:name="_Toc5696"/>
      <w:bookmarkStart w:id="368" w:name="_Toc12838"/>
      <w:bookmarkStart w:id="369" w:name="_Toc19962"/>
      <w:bookmarkStart w:id="370" w:name="_Toc5947"/>
      <w:r>
        <w:rPr>
          <w:rFonts w:hint="default" w:ascii="楷体_GB2312" w:hAnsi="楷体_GB2312" w:eastAsia="楷体_GB2312" w:cs="楷体_GB2312"/>
          <w:b/>
          <w:bCs/>
          <w:snapToGrid w:val="0"/>
          <w:color w:val="auto"/>
          <w:kern w:val="0"/>
          <w:sz w:val="32"/>
          <w:szCs w:val="32"/>
        </w:rPr>
        <w:t>3</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由企业在危化品或危废贮存过程中的事故引发的突发环境事件</w:t>
      </w:r>
      <w:bookmarkEnd w:id="365"/>
      <w:bookmarkEnd w:id="366"/>
      <w:bookmarkEnd w:id="367"/>
      <w:bookmarkEnd w:id="368"/>
      <w:bookmarkEnd w:id="369"/>
      <w:bookmarkEnd w:id="370"/>
    </w:p>
    <w:p w14:paraId="522CBA0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由企业在危化品或危废贮存过程中的事故引发的突发环境事件，由园区管委会领导、</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应急管理局、</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生态环境局等部门</w:t>
      </w:r>
      <w:r>
        <w:rPr>
          <w:rFonts w:hint="eastAsia" w:ascii="仿宋_GB2312" w:hAnsi="仿宋_GB2312" w:eastAsia="仿宋_GB2312" w:cs="仿宋_GB2312"/>
          <w:snapToGrid w:val="0"/>
          <w:color w:val="auto"/>
          <w:kern w:val="0"/>
          <w:sz w:val="32"/>
          <w:szCs w:val="32"/>
          <w:lang w:eastAsia="zh-CN"/>
        </w:rPr>
        <w:t>会同</w:t>
      </w:r>
      <w:r>
        <w:rPr>
          <w:rFonts w:hint="default" w:ascii="仿宋_GB2312" w:hAnsi="仿宋_GB2312" w:eastAsia="仿宋_GB2312" w:cs="仿宋_GB2312"/>
          <w:snapToGrid w:val="0"/>
          <w:color w:val="auto"/>
          <w:kern w:val="0"/>
          <w:sz w:val="32"/>
          <w:szCs w:val="32"/>
        </w:rPr>
        <w:t>专家组</w:t>
      </w:r>
      <w:r>
        <w:rPr>
          <w:rFonts w:hint="eastAsia" w:ascii="仿宋_GB2312" w:hAnsi="仿宋_GB2312" w:eastAsia="仿宋_GB2312" w:cs="仿宋_GB2312"/>
          <w:snapToGrid w:val="0"/>
          <w:color w:val="auto"/>
          <w:kern w:val="0"/>
          <w:sz w:val="32"/>
          <w:szCs w:val="32"/>
          <w:lang w:eastAsia="zh-CN"/>
        </w:rPr>
        <w:t>制定</w:t>
      </w:r>
      <w:r>
        <w:rPr>
          <w:rFonts w:hint="default" w:ascii="仿宋_GB2312" w:hAnsi="仿宋_GB2312" w:eastAsia="仿宋_GB2312" w:cs="仿宋_GB2312"/>
          <w:snapToGrid w:val="0"/>
          <w:color w:val="auto"/>
          <w:kern w:val="0"/>
          <w:sz w:val="32"/>
          <w:szCs w:val="32"/>
        </w:rPr>
        <w:t>现场处置方案，方案应主要包括污染源排查和切断、污染范围及趋势确定、减轻与消除污染等内容。</w:t>
      </w:r>
    </w:p>
    <w:p w14:paraId="373BAFD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71" w:name="_Toc30421"/>
      <w:bookmarkStart w:id="372" w:name="_Toc22782"/>
      <w:bookmarkStart w:id="373" w:name="_Toc16370"/>
      <w:bookmarkStart w:id="374" w:name="_Toc5929"/>
      <w:bookmarkStart w:id="375" w:name="_Toc13754"/>
      <w:bookmarkStart w:id="376" w:name="_Toc7193"/>
      <w:r>
        <w:rPr>
          <w:rFonts w:hint="default" w:ascii="仿宋_GB2312" w:hAnsi="仿宋_GB2312" w:eastAsia="仿宋_GB2312" w:cs="仿宋_GB2312"/>
          <w:b/>
          <w:bCs/>
          <w:snapToGrid w:val="0"/>
          <w:color w:val="auto"/>
          <w:kern w:val="0"/>
          <w:sz w:val="32"/>
          <w:szCs w:val="32"/>
        </w:rPr>
        <w:t>（1）污染源排查和切断</w:t>
      </w:r>
      <w:bookmarkEnd w:id="371"/>
      <w:bookmarkEnd w:id="372"/>
      <w:bookmarkEnd w:id="373"/>
      <w:bookmarkEnd w:id="374"/>
      <w:bookmarkEnd w:id="375"/>
      <w:bookmarkEnd w:id="376"/>
    </w:p>
    <w:p w14:paraId="3C0899F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对未知排污单位：突发环境事件发生后，应急救援小组迅速赶往现场，在事故发生地开展应急监测，确定污染因子及污染范围。根据监测结果排查区域及区域内可能导致污染的企业，确定污染源后，要求企业启动企业突发环境事件应急预案，采取相应措施切断污染源。</w:t>
      </w:r>
    </w:p>
    <w:p w14:paraId="6160B66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对已知排污单位：园区管委会要求企业启动企业突发环境事件应急预案，采取相应措施切断污染源。</w:t>
      </w:r>
    </w:p>
    <w:p w14:paraId="665AAE2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77" w:name="_Toc13505"/>
      <w:bookmarkStart w:id="378" w:name="_Toc31616"/>
      <w:bookmarkStart w:id="379" w:name="_Toc11460"/>
      <w:bookmarkStart w:id="380" w:name="_Toc9141"/>
      <w:bookmarkStart w:id="381" w:name="_Toc31441"/>
      <w:bookmarkStart w:id="382" w:name="_Toc16091"/>
      <w:r>
        <w:rPr>
          <w:rFonts w:hint="default" w:ascii="仿宋_GB2312" w:hAnsi="仿宋_GB2312" w:eastAsia="仿宋_GB2312" w:cs="仿宋_GB2312"/>
          <w:b/>
          <w:bCs/>
          <w:snapToGrid w:val="0"/>
          <w:color w:val="auto"/>
          <w:kern w:val="0"/>
          <w:sz w:val="32"/>
          <w:szCs w:val="32"/>
        </w:rPr>
        <w:t>（2）确定污染范围及趋势</w:t>
      </w:r>
      <w:bookmarkEnd w:id="377"/>
      <w:bookmarkEnd w:id="378"/>
      <w:bookmarkEnd w:id="379"/>
      <w:bookmarkEnd w:id="380"/>
      <w:bookmarkEnd w:id="381"/>
      <w:bookmarkEnd w:id="382"/>
    </w:p>
    <w:p w14:paraId="5F16C6E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应急监测组配合监测</w:t>
      </w:r>
      <w:r>
        <w:rPr>
          <w:rFonts w:hint="eastAsia" w:ascii="仿宋_GB2312" w:hAnsi="仿宋_GB2312" w:eastAsia="仿宋_GB2312" w:cs="仿宋_GB2312"/>
          <w:snapToGrid w:val="0"/>
          <w:color w:val="auto"/>
          <w:kern w:val="0"/>
          <w:sz w:val="32"/>
          <w:szCs w:val="32"/>
          <w:lang w:eastAsia="zh-CN"/>
        </w:rPr>
        <w:t>单位</w:t>
      </w:r>
      <w:r>
        <w:rPr>
          <w:rFonts w:hint="default" w:ascii="仿宋_GB2312" w:hAnsi="仿宋_GB2312" w:eastAsia="仿宋_GB2312" w:cs="仿宋_GB2312"/>
          <w:snapToGrid w:val="0"/>
          <w:color w:val="auto"/>
          <w:kern w:val="0"/>
          <w:sz w:val="32"/>
          <w:szCs w:val="32"/>
        </w:rPr>
        <w:t>做好事件现场的应急监测，并定期将监测结果上报至环境应急现场指挥部。周围情形复杂时，及时组织专家组开展污染物扩散规律分析，明确污染程度与范围，确定拦截、洗消范围，判断污染物发展趋势。</w:t>
      </w:r>
    </w:p>
    <w:p w14:paraId="769C890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83" w:name="_Toc1068"/>
      <w:bookmarkStart w:id="384" w:name="_Toc1809"/>
      <w:bookmarkStart w:id="385" w:name="_Toc17198"/>
      <w:bookmarkStart w:id="386" w:name="_Toc21404"/>
      <w:bookmarkStart w:id="387" w:name="_Toc18781"/>
      <w:bookmarkStart w:id="388" w:name="_Toc963"/>
      <w:r>
        <w:rPr>
          <w:rFonts w:hint="default" w:ascii="仿宋_GB2312" w:hAnsi="仿宋_GB2312" w:eastAsia="仿宋_GB2312" w:cs="仿宋_GB2312"/>
          <w:b/>
          <w:bCs/>
          <w:snapToGrid w:val="0"/>
          <w:color w:val="auto"/>
          <w:kern w:val="0"/>
          <w:sz w:val="32"/>
          <w:szCs w:val="32"/>
        </w:rPr>
        <w:t>（3）减轻与消除污染</w:t>
      </w:r>
      <w:bookmarkEnd w:id="383"/>
      <w:bookmarkEnd w:id="384"/>
      <w:bookmarkEnd w:id="385"/>
      <w:bookmarkEnd w:id="386"/>
      <w:bookmarkEnd w:id="387"/>
      <w:bookmarkEnd w:id="388"/>
    </w:p>
    <w:p w14:paraId="22C69FD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针对污染物扩散情况，可采用拦截、稀释、吸附、吸收等措施防止污染物扩散；采用中和、固化、沉淀、降解、清理等措施减轻或消除污染。</w:t>
      </w:r>
    </w:p>
    <w:p w14:paraId="3B729AF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snapToGrid w:val="0"/>
          <w:color w:val="auto"/>
          <w:kern w:val="0"/>
          <w:sz w:val="32"/>
          <w:szCs w:val="32"/>
        </w:rPr>
      </w:pPr>
      <w:bookmarkStart w:id="389" w:name="_Toc12746"/>
      <w:bookmarkStart w:id="390" w:name="_Toc30728"/>
      <w:bookmarkStart w:id="391" w:name="_Toc9960"/>
      <w:bookmarkStart w:id="392" w:name="_Toc10241"/>
      <w:bookmarkStart w:id="393" w:name="_Toc24310"/>
      <w:bookmarkStart w:id="394" w:name="_Toc128"/>
      <w:r>
        <w:rPr>
          <w:rFonts w:hint="eastAsia" w:ascii="楷体_GB2312" w:hAnsi="楷体_GB2312" w:eastAsia="楷体_GB2312" w:cs="楷体_GB2312"/>
          <w:b/>
          <w:bCs/>
          <w:snapToGrid w:val="0"/>
          <w:color w:val="auto"/>
          <w:kern w:val="0"/>
          <w:sz w:val="32"/>
          <w:szCs w:val="32"/>
        </w:rPr>
        <w:t>4</w:t>
      </w:r>
      <w:r>
        <w:rPr>
          <w:rFonts w:hint="eastAsia" w:ascii="楷体_GB2312" w:hAnsi="楷体_GB2312" w:eastAsia="楷体_GB2312" w:cs="楷体_GB2312"/>
          <w:b/>
          <w:bCs/>
          <w:snapToGrid w:val="0"/>
          <w:color w:val="auto"/>
          <w:kern w:val="0"/>
          <w:sz w:val="32"/>
          <w:szCs w:val="32"/>
          <w:lang w:val="en-US" w:eastAsia="zh-CN"/>
        </w:rPr>
        <w:t>.</w:t>
      </w:r>
      <w:r>
        <w:rPr>
          <w:rFonts w:hint="eastAsia" w:ascii="楷体_GB2312" w:hAnsi="楷体_GB2312" w:eastAsia="楷体_GB2312" w:cs="楷体_GB2312"/>
          <w:b/>
          <w:bCs/>
          <w:snapToGrid w:val="0"/>
          <w:color w:val="auto"/>
          <w:kern w:val="0"/>
          <w:sz w:val="32"/>
          <w:szCs w:val="32"/>
        </w:rPr>
        <w:t>由企业在危化品或危废运输过程中的事故引发的突发环境事件</w:t>
      </w:r>
      <w:bookmarkEnd w:id="389"/>
      <w:bookmarkEnd w:id="390"/>
      <w:bookmarkEnd w:id="391"/>
      <w:bookmarkEnd w:id="392"/>
      <w:bookmarkEnd w:id="393"/>
      <w:bookmarkEnd w:id="394"/>
    </w:p>
    <w:p w14:paraId="729D410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由企业在危化品或危废运输过程中的事故引发的突发环境事件，由园区管委会领导、</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应急管理局、</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生态环境局等部门</w:t>
      </w:r>
      <w:r>
        <w:rPr>
          <w:rFonts w:hint="eastAsia" w:ascii="仿宋_GB2312" w:hAnsi="仿宋_GB2312" w:eastAsia="仿宋_GB2312" w:cs="仿宋_GB2312"/>
          <w:snapToGrid w:val="0"/>
          <w:color w:val="auto"/>
          <w:kern w:val="0"/>
          <w:sz w:val="32"/>
          <w:szCs w:val="32"/>
          <w:lang w:eastAsia="zh-CN"/>
        </w:rPr>
        <w:t>会同</w:t>
      </w:r>
      <w:r>
        <w:rPr>
          <w:rFonts w:hint="default" w:ascii="仿宋_GB2312" w:hAnsi="仿宋_GB2312" w:eastAsia="仿宋_GB2312" w:cs="仿宋_GB2312"/>
          <w:snapToGrid w:val="0"/>
          <w:color w:val="auto"/>
          <w:kern w:val="0"/>
          <w:sz w:val="32"/>
          <w:szCs w:val="32"/>
        </w:rPr>
        <w:t>专家组</w:t>
      </w:r>
      <w:r>
        <w:rPr>
          <w:rFonts w:hint="eastAsia" w:ascii="仿宋_GB2312" w:hAnsi="仿宋_GB2312" w:eastAsia="仿宋_GB2312" w:cs="仿宋_GB2312"/>
          <w:snapToGrid w:val="0"/>
          <w:color w:val="auto"/>
          <w:kern w:val="0"/>
          <w:sz w:val="32"/>
          <w:szCs w:val="32"/>
          <w:lang w:eastAsia="zh-CN"/>
        </w:rPr>
        <w:t>制定</w:t>
      </w:r>
      <w:r>
        <w:rPr>
          <w:rFonts w:hint="default" w:ascii="仿宋_GB2312" w:hAnsi="仿宋_GB2312" w:eastAsia="仿宋_GB2312" w:cs="仿宋_GB2312"/>
          <w:snapToGrid w:val="0"/>
          <w:color w:val="auto"/>
          <w:kern w:val="0"/>
          <w:sz w:val="32"/>
          <w:szCs w:val="32"/>
        </w:rPr>
        <w:t>现场处置方案，方案应主要包括污染源排查和切断、污染范围及趋势确定、减轻与消除污染等内容。</w:t>
      </w:r>
    </w:p>
    <w:p w14:paraId="22627FE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395" w:name="_Toc18619"/>
      <w:bookmarkStart w:id="396" w:name="_Toc11055"/>
      <w:bookmarkStart w:id="397" w:name="_Toc26202"/>
      <w:bookmarkStart w:id="398" w:name="_Toc23327"/>
      <w:bookmarkStart w:id="399" w:name="_Toc28409"/>
      <w:bookmarkStart w:id="400" w:name="_Toc1460"/>
      <w:r>
        <w:rPr>
          <w:rFonts w:hint="default" w:ascii="仿宋_GB2312" w:hAnsi="仿宋_GB2312" w:eastAsia="仿宋_GB2312" w:cs="仿宋_GB2312"/>
          <w:b/>
          <w:bCs/>
          <w:snapToGrid w:val="0"/>
          <w:color w:val="auto"/>
          <w:kern w:val="0"/>
          <w:sz w:val="32"/>
          <w:szCs w:val="32"/>
        </w:rPr>
        <w:t>（1）污染源排查</w:t>
      </w:r>
      <w:bookmarkEnd w:id="395"/>
      <w:bookmarkEnd w:id="396"/>
      <w:bookmarkEnd w:id="397"/>
      <w:bookmarkEnd w:id="398"/>
      <w:bookmarkEnd w:id="399"/>
      <w:bookmarkEnd w:id="400"/>
    </w:p>
    <w:p w14:paraId="16E227C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园区应急救援小组立即进行现场勘查，通过向当事人询问、查看运载记录或利用应急监测设备等方法迅速判明危险化学品种类、危害程度、扩散方式。</w:t>
      </w:r>
    </w:p>
    <w:p w14:paraId="6D63DB5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01" w:name="_Toc24877"/>
      <w:bookmarkStart w:id="402" w:name="_Toc22828"/>
      <w:bookmarkStart w:id="403" w:name="_Toc20099"/>
      <w:bookmarkStart w:id="404" w:name="_Toc14854"/>
      <w:bookmarkStart w:id="405" w:name="_Toc32557"/>
      <w:bookmarkStart w:id="406" w:name="_Toc25291"/>
      <w:r>
        <w:rPr>
          <w:rFonts w:hint="default" w:ascii="仿宋_GB2312" w:hAnsi="仿宋_GB2312" w:eastAsia="仿宋_GB2312" w:cs="仿宋_GB2312"/>
          <w:b/>
          <w:bCs/>
          <w:snapToGrid w:val="0"/>
          <w:color w:val="auto"/>
          <w:kern w:val="0"/>
          <w:sz w:val="32"/>
          <w:szCs w:val="32"/>
        </w:rPr>
        <w:t>（2）确定污染范围</w:t>
      </w:r>
      <w:bookmarkEnd w:id="401"/>
      <w:bookmarkEnd w:id="402"/>
      <w:bookmarkEnd w:id="403"/>
      <w:bookmarkEnd w:id="404"/>
      <w:bookmarkEnd w:id="405"/>
      <w:bookmarkEnd w:id="406"/>
    </w:p>
    <w:p w14:paraId="2540469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根据事故点地形地貌、气象条件，依据污染扩散模型，确定污染范围和合理警戒区域。在现场勘察的同时，迅速查明事故点周围的敏感目标，包括：1km范围内的居民区（村庄）、公共场所、河流、水库、水源、交通要道等。以防止污染物进入水体造成次生污染，并为群众转移做好前期准备工作。</w:t>
      </w:r>
    </w:p>
    <w:p w14:paraId="5FB8584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07" w:name="_Toc17394"/>
      <w:bookmarkStart w:id="408" w:name="_Toc9546"/>
      <w:bookmarkStart w:id="409" w:name="_Toc21928"/>
      <w:bookmarkStart w:id="410" w:name="_Toc28434"/>
      <w:bookmarkStart w:id="411" w:name="_Toc9693"/>
      <w:bookmarkStart w:id="412" w:name="_Toc18776"/>
      <w:r>
        <w:rPr>
          <w:rFonts w:hint="default" w:ascii="仿宋_GB2312" w:hAnsi="仿宋_GB2312" w:eastAsia="仿宋_GB2312" w:cs="仿宋_GB2312"/>
          <w:b/>
          <w:bCs/>
          <w:snapToGrid w:val="0"/>
          <w:color w:val="auto"/>
          <w:kern w:val="0"/>
          <w:sz w:val="32"/>
          <w:szCs w:val="32"/>
        </w:rPr>
        <w:t>（3）减轻与消除污染</w:t>
      </w:r>
      <w:bookmarkEnd w:id="407"/>
      <w:bookmarkEnd w:id="408"/>
      <w:bookmarkEnd w:id="409"/>
      <w:bookmarkEnd w:id="410"/>
      <w:bookmarkEnd w:id="411"/>
      <w:bookmarkEnd w:id="412"/>
    </w:p>
    <w:p w14:paraId="5957ECD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在环境应急现场指挥部的统一指挥和专家的现场指导下，根据危化品的种类、突发环境事件的类型（泄漏、燃烧、爆炸等），采取相应的应急处置措施。通过对污染物进行分段阻隔、洗消，并采用拦截、稀释、吸附、吸收等措施防止污染物扩散；通过采用中和、固化、沉淀、降解、清理等措施减轻或消除污染。</w:t>
      </w:r>
    </w:p>
    <w:p w14:paraId="3BE4254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突发环境事件发生在公路桥上或水源地附近时，应采取导流等措施，避免对水体造成影响，防止发生二次污染。若危化品已经进入雨水管网，应该立即通知雨污管网截流阀负责人员，及时关闭截流阀，防止污水进入水体，污染水体。同时对雨水管网中已受污染水体进行合理处置。</w:t>
      </w:r>
    </w:p>
    <w:p w14:paraId="15F7385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snapToGrid w:val="0"/>
          <w:color w:val="auto"/>
          <w:kern w:val="0"/>
          <w:sz w:val="32"/>
          <w:szCs w:val="32"/>
        </w:rPr>
      </w:pPr>
      <w:bookmarkStart w:id="413" w:name="_Toc15144"/>
      <w:bookmarkStart w:id="414" w:name="_Toc22540"/>
      <w:bookmarkStart w:id="415" w:name="_Toc15561"/>
      <w:bookmarkStart w:id="416" w:name="_Toc12564"/>
      <w:bookmarkStart w:id="417" w:name="_Toc10766"/>
      <w:bookmarkStart w:id="418" w:name="_Toc656"/>
      <w:r>
        <w:rPr>
          <w:rFonts w:hint="eastAsia" w:ascii="楷体_GB2312" w:hAnsi="楷体_GB2312" w:eastAsia="楷体_GB2312" w:cs="楷体_GB2312"/>
          <w:b/>
          <w:bCs/>
          <w:snapToGrid w:val="0"/>
          <w:color w:val="auto"/>
          <w:kern w:val="0"/>
          <w:sz w:val="32"/>
          <w:szCs w:val="32"/>
        </w:rPr>
        <w:t>5</w:t>
      </w:r>
      <w:r>
        <w:rPr>
          <w:rFonts w:hint="eastAsia" w:ascii="楷体_GB2312" w:hAnsi="楷体_GB2312" w:eastAsia="楷体_GB2312" w:cs="楷体_GB2312"/>
          <w:b/>
          <w:bCs/>
          <w:snapToGrid w:val="0"/>
          <w:color w:val="auto"/>
          <w:kern w:val="0"/>
          <w:sz w:val="32"/>
          <w:szCs w:val="32"/>
          <w:lang w:val="en-US" w:eastAsia="zh-CN"/>
        </w:rPr>
        <w:t>.</w:t>
      </w:r>
      <w:r>
        <w:rPr>
          <w:rFonts w:hint="eastAsia" w:ascii="楷体_GB2312" w:hAnsi="楷体_GB2312" w:eastAsia="楷体_GB2312" w:cs="楷体_GB2312"/>
          <w:b/>
          <w:bCs/>
          <w:snapToGrid w:val="0"/>
          <w:color w:val="auto"/>
          <w:kern w:val="0"/>
          <w:sz w:val="32"/>
          <w:szCs w:val="32"/>
        </w:rPr>
        <w:t>由于突发事故引发的次生/伴生突发环境事件</w:t>
      </w:r>
      <w:bookmarkEnd w:id="413"/>
      <w:bookmarkEnd w:id="414"/>
      <w:bookmarkEnd w:id="415"/>
      <w:bookmarkEnd w:id="416"/>
      <w:bookmarkEnd w:id="417"/>
      <w:bookmarkEnd w:id="418"/>
    </w:p>
    <w:p w14:paraId="33FDDC1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由于突发事故引发的次伴生突发环境事件，由园区管委会负责，会同</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应急管理局、</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气象局、</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生态环境局等部门会同专家组制订现场处置方案，方案应主要包括控制污染源、确定污染范围、减轻与消除污染等内容。</w:t>
      </w:r>
    </w:p>
    <w:p w14:paraId="1FE90CD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19" w:name="_Toc4234"/>
      <w:bookmarkStart w:id="420" w:name="_Toc24131"/>
      <w:bookmarkStart w:id="421" w:name="_Toc27200"/>
      <w:bookmarkStart w:id="422" w:name="_Toc12031"/>
      <w:bookmarkStart w:id="423" w:name="_Toc17750"/>
      <w:bookmarkStart w:id="424" w:name="_Toc149"/>
      <w:r>
        <w:rPr>
          <w:rFonts w:hint="default" w:ascii="仿宋_GB2312" w:hAnsi="仿宋_GB2312" w:eastAsia="仿宋_GB2312" w:cs="仿宋_GB2312"/>
          <w:b/>
          <w:bCs/>
          <w:snapToGrid w:val="0"/>
          <w:color w:val="auto"/>
          <w:kern w:val="0"/>
          <w:sz w:val="32"/>
          <w:szCs w:val="32"/>
        </w:rPr>
        <w:t>（1）控制污染源</w:t>
      </w:r>
      <w:bookmarkEnd w:id="419"/>
      <w:bookmarkEnd w:id="420"/>
      <w:bookmarkEnd w:id="421"/>
      <w:bookmarkEnd w:id="422"/>
      <w:bookmarkEnd w:id="423"/>
      <w:bookmarkEnd w:id="424"/>
    </w:p>
    <w:p w14:paraId="622C977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突发环境事件发生后，园区管委会、</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气象局、</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等应迅速赶往现场，并通过采取对相关单位有关人员（如管理、技术人员、操作工人等）调查询问，或利用快速监测设备等方式确定污染源，要求企业启动企业突发环境事件应急预案，采取相应措施切断污染源。</w:t>
      </w:r>
    </w:p>
    <w:p w14:paraId="67F20F3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25" w:name="_Toc21871"/>
      <w:bookmarkStart w:id="426" w:name="_Toc12436"/>
      <w:bookmarkStart w:id="427" w:name="_Toc9293"/>
      <w:bookmarkStart w:id="428" w:name="_Toc27548"/>
      <w:bookmarkStart w:id="429" w:name="_Toc17982"/>
      <w:bookmarkStart w:id="430" w:name="_Toc30612"/>
      <w:r>
        <w:rPr>
          <w:rFonts w:hint="default" w:ascii="仿宋_GB2312" w:hAnsi="仿宋_GB2312" w:eastAsia="仿宋_GB2312" w:cs="仿宋_GB2312"/>
          <w:b/>
          <w:bCs/>
          <w:snapToGrid w:val="0"/>
          <w:color w:val="auto"/>
          <w:kern w:val="0"/>
          <w:sz w:val="32"/>
          <w:szCs w:val="32"/>
        </w:rPr>
        <w:t>（2）确定污染范围</w:t>
      </w:r>
      <w:bookmarkEnd w:id="425"/>
      <w:bookmarkEnd w:id="426"/>
      <w:bookmarkEnd w:id="427"/>
      <w:bookmarkEnd w:id="428"/>
      <w:bookmarkEnd w:id="429"/>
      <w:bookmarkEnd w:id="430"/>
    </w:p>
    <w:p w14:paraId="23C38AE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应急监测组配合监测单位应做好事件现场的应急监测、扩散规律分析，明确污染边界。</w:t>
      </w:r>
    </w:p>
    <w:p w14:paraId="423825E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31" w:name="_Toc16318"/>
      <w:bookmarkStart w:id="432" w:name="_Toc20871"/>
      <w:bookmarkStart w:id="433" w:name="_Toc28979"/>
      <w:bookmarkStart w:id="434" w:name="_Toc8630"/>
      <w:bookmarkStart w:id="435" w:name="_Toc18004"/>
      <w:bookmarkStart w:id="436" w:name="_Toc32563"/>
      <w:r>
        <w:rPr>
          <w:rFonts w:hint="default" w:ascii="仿宋_GB2312" w:hAnsi="仿宋_GB2312" w:eastAsia="仿宋_GB2312" w:cs="仿宋_GB2312"/>
          <w:b/>
          <w:bCs/>
          <w:snapToGrid w:val="0"/>
          <w:color w:val="auto"/>
          <w:kern w:val="0"/>
          <w:sz w:val="32"/>
          <w:szCs w:val="32"/>
        </w:rPr>
        <w:t>（3）减轻与消除污染</w:t>
      </w:r>
      <w:bookmarkEnd w:id="431"/>
      <w:bookmarkEnd w:id="432"/>
      <w:bookmarkEnd w:id="433"/>
      <w:bookmarkEnd w:id="434"/>
      <w:bookmarkEnd w:id="435"/>
      <w:bookmarkEnd w:id="436"/>
    </w:p>
    <w:p w14:paraId="0AE1890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根据污染物的特征，通过对污染物进行分段阻隔、洗消，并采用拦截、稀释、吸附、吸收等措施防止污染物扩散；通过采用中和、固化、沉淀、降解、清理等措施减轻或消除污染。</w:t>
      </w:r>
    </w:p>
    <w:p w14:paraId="36BEA07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snapToGrid w:val="0"/>
          <w:color w:val="auto"/>
          <w:kern w:val="0"/>
          <w:sz w:val="32"/>
          <w:szCs w:val="32"/>
        </w:rPr>
      </w:pPr>
      <w:bookmarkStart w:id="437" w:name="_Toc6453"/>
      <w:bookmarkStart w:id="438" w:name="_Toc30124"/>
      <w:bookmarkStart w:id="439" w:name="_Toc6750"/>
      <w:bookmarkStart w:id="440" w:name="_Toc15086"/>
      <w:bookmarkStart w:id="441" w:name="_Toc29499"/>
      <w:bookmarkStart w:id="442" w:name="_Toc18727"/>
      <w:r>
        <w:rPr>
          <w:rFonts w:hint="eastAsia" w:ascii="楷体_GB2312" w:hAnsi="楷体_GB2312" w:eastAsia="楷体_GB2312" w:cs="楷体_GB2312"/>
          <w:b/>
          <w:bCs/>
          <w:snapToGrid w:val="0"/>
          <w:color w:val="auto"/>
          <w:kern w:val="0"/>
          <w:sz w:val="32"/>
          <w:szCs w:val="32"/>
        </w:rPr>
        <w:t>6</w:t>
      </w:r>
      <w:r>
        <w:rPr>
          <w:rFonts w:hint="eastAsia" w:ascii="楷体_GB2312" w:hAnsi="楷体_GB2312" w:eastAsia="楷体_GB2312" w:cs="楷体_GB2312"/>
          <w:b/>
          <w:bCs/>
          <w:snapToGrid w:val="0"/>
          <w:color w:val="auto"/>
          <w:kern w:val="0"/>
          <w:sz w:val="32"/>
          <w:szCs w:val="32"/>
          <w:lang w:val="en-US" w:eastAsia="zh-CN"/>
        </w:rPr>
        <w:t>.</w:t>
      </w:r>
      <w:r>
        <w:rPr>
          <w:rFonts w:hint="eastAsia" w:ascii="楷体_GB2312" w:hAnsi="楷体_GB2312" w:eastAsia="楷体_GB2312" w:cs="楷体_GB2312"/>
          <w:b/>
          <w:bCs/>
          <w:snapToGrid w:val="0"/>
          <w:color w:val="auto"/>
          <w:kern w:val="0"/>
          <w:sz w:val="32"/>
          <w:szCs w:val="32"/>
        </w:rPr>
        <w:t>由于园区天然气管道火灾爆炸事故</w:t>
      </w:r>
      <w:bookmarkEnd w:id="437"/>
      <w:bookmarkEnd w:id="438"/>
      <w:bookmarkEnd w:id="439"/>
      <w:bookmarkEnd w:id="440"/>
      <w:bookmarkEnd w:id="441"/>
      <w:bookmarkEnd w:id="442"/>
    </w:p>
    <w:p w14:paraId="10F0C58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发生突发环境事件时，园区应急救援小组做好事故现场人员向应急疏散集中点的疏散、周边警戒和交通疏导工作。园区应急救援中心迅速组织急救人员开展受伤人员抢救工作，最大限度地减少人员伤亡。园区应急组织机构配合监测中心站等部门应迅速开展环境应急监测工作，判断事故性质、类别、影响范围等基本情况。</w:t>
      </w:r>
    </w:p>
    <w:p w14:paraId="6E2A808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环境应急现场指挥部汇总现场信息后，立即将人员、环境受影响最新情况、事件重大变化情况、采取应对措施的效果等及时上报</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人民政府。</w:t>
      </w:r>
    </w:p>
    <w:p w14:paraId="646C171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43" w:name="_Toc26265"/>
      <w:bookmarkStart w:id="444" w:name="_Toc7722"/>
      <w:bookmarkStart w:id="445" w:name="_Toc21737"/>
      <w:bookmarkStart w:id="446" w:name="_Toc29271"/>
      <w:bookmarkStart w:id="447" w:name="_Toc16479"/>
      <w:bookmarkStart w:id="448" w:name="_Toc14721"/>
      <w:r>
        <w:rPr>
          <w:rFonts w:hint="default" w:ascii="仿宋_GB2312" w:hAnsi="仿宋_GB2312" w:eastAsia="仿宋_GB2312" w:cs="仿宋_GB2312"/>
          <w:b/>
          <w:bCs/>
          <w:snapToGrid w:val="0"/>
          <w:color w:val="auto"/>
          <w:kern w:val="0"/>
          <w:sz w:val="32"/>
          <w:szCs w:val="32"/>
        </w:rPr>
        <w:t>（1）控制污染源</w:t>
      </w:r>
      <w:bookmarkEnd w:id="443"/>
      <w:bookmarkEnd w:id="444"/>
      <w:bookmarkEnd w:id="445"/>
      <w:bookmarkEnd w:id="446"/>
      <w:bookmarkEnd w:id="447"/>
      <w:bookmarkEnd w:id="448"/>
    </w:p>
    <w:p w14:paraId="659E32D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突发环境事件发生后，园区管委会、</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应急管理局、</w:t>
      </w:r>
      <w:r>
        <w:rPr>
          <w:rFonts w:hint="eastAsia" w:ascii="仿宋_GB2312" w:hAnsi="仿宋_GB2312" w:eastAsia="仿宋_GB2312" w:cs="仿宋_GB2312"/>
          <w:snapToGrid w:val="0"/>
          <w:color w:val="auto"/>
          <w:kern w:val="0"/>
          <w:sz w:val="32"/>
          <w:szCs w:val="32"/>
          <w:lang w:val="en-US" w:eastAsia="zh-CN"/>
        </w:rPr>
        <w:t>景德镇市昌江</w:t>
      </w:r>
      <w:r>
        <w:rPr>
          <w:rFonts w:hint="default" w:ascii="仿宋_GB2312" w:hAnsi="仿宋_GB2312" w:eastAsia="仿宋_GB2312" w:cs="仿宋_GB2312"/>
          <w:snapToGrid w:val="0"/>
          <w:color w:val="auto"/>
          <w:kern w:val="0"/>
          <w:sz w:val="32"/>
          <w:szCs w:val="32"/>
        </w:rPr>
        <w:t>生态环境局、</w:t>
      </w:r>
      <w:r>
        <w:rPr>
          <w:rFonts w:hint="eastAsia" w:ascii="仿宋_GB2312" w:hAnsi="仿宋_GB2312" w:eastAsia="仿宋_GB2312" w:cs="仿宋_GB2312"/>
          <w:snapToGrid w:val="0"/>
          <w:color w:val="auto"/>
          <w:kern w:val="0"/>
          <w:sz w:val="32"/>
          <w:szCs w:val="32"/>
          <w:lang w:val="en-US" w:eastAsia="zh-CN"/>
        </w:rPr>
        <w:t>昌江区</w:t>
      </w:r>
      <w:r>
        <w:rPr>
          <w:rFonts w:hint="default" w:ascii="仿宋_GB2312" w:hAnsi="仿宋_GB2312" w:eastAsia="仿宋_GB2312" w:cs="仿宋_GB2312"/>
          <w:snapToGrid w:val="0"/>
          <w:color w:val="auto"/>
          <w:kern w:val="0"/>
          <w:sz w:val="32"/>
          <w:szCs w:val="32"/>
        </w:rPr>
        <w:t>消防</w:t>
      </w:r>
      <w:r>
        <w:rPr>
          <w:rFonts w:hint="eastAsia" w:ascii="仿宋_GB2312" w:hAnsi="仿宋_GB2312" w:eastAsia="仿宋_GB2312" w:cs="仿宋_GB2312"/>
          <w:snapToGrid w:val="0"/>
          <w:color w:val="auto"/>
          <w:kern w:val="0"/>
          <w:sz w:val="32"/>
          <w:szCs w:val="32"/>
          <w:lang w:val="en-US" w:eastAsia="zh-CN"/>
        </w:rPr>
        <w:t>救援大</w:t>
      </w:r>
      <w:r>
        <w:rPr>
          <w:rFonts w:hint="default" w:ascii="仿宋_GB2312" w:hAnsi="仿宋_GB2312" w:eastAsia="仿宋_GB2312" w:cs="仿宋_GB2312"/>
          <w:snapToGrid w:val="0"/>
          <w:color w:val="auto"/>
          <w:kern w:val="0"/>
          <w:sz w:val="32"/>
          <w:szCs w:val="32"/>
        </w:rPr>
        <w:t>队等应迅速赶往现场，关闭输气管道，同时通过采取对天然气公司的有关人员（如管理、技术人员、操作工人等）调查询问，要求企业启动企业突发环境事件应急预案。</w:t>
      </w:r>
    </w:p>
    <w:p w14:paraId="5F1ECD8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49" w:name="_Toc18065"/>
      <w:bookmarkStart w:id="450" w:name="_Toc2922"/>
      <w:bookmarkStart w:id="451" w:name="_Toc27106"/>
      <w:bookmarkStart w:id="452" w:name="_Toc19925"/>
      <w:bookmarkStart w:id="453" w:name="_Toc18465"/>
      <w:bookmarkStart w:id="454" w:name="_Toc2562"/>
      <w:r>
        <w:rPr>
          <w:rFonts w:hint="default" w:ascii="仿宋_GB2312" w:hAnsi="仿宋_GB2312" w:eastAsia="仿宋_GB2312" w:cs="仿宋_GB2312"/>
          <w:b/>
          <w:bCs/>
          <w:snapToGrid w:val="0"/>
          <w:color w:val="auto"/>
          <w:kern w:val="0"/>
          <w:sz w:val="32"/>
          <w:szCs w:val="32"/>
        </w:rPr>
        <w:t>（2）确定污染源</w:t>
      </w:r>
      <w:bookmarkEnd w:id="449"/>
      <w:bookmarkEnd w:id="450"/>
      <w:bookmarkEnd w:id="451"/>
      <w:bookmarkEnd w:id="452"/>
      <w:bookmarkEnd w:id="453"/>
      <w:bookmarkEnd w:id="454"/>
    </w:p>
    <w:p w14:paraId="4162303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如果发生火灾事故，应急监测组配合监测单位应做好事件现场的应急监测、扩散规律分析，明确污染边界，确定拦截、洗消范围。</w:t>
      </w:r>
    </w:p>
    <w:p w14:paraId="60654C2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snapToGrid w:val="0"/>
          <w:color w:val="auto"/>
          <w:kern w:val="0"/>
          <w:sz w:val="32"/>
          <w:szCs w:val="32"/>
        </w:rPr>
      </w:pPr>
      <w:bookmarkStart w:id="455" w:name="_Toc1463"/>
      <w:bookmarkStart w:id="456" w:name="_Toc29965"/>
      <w:bookmarkStart w:id="457" w:name="_Toc20051"/>
      <w:bookmarkStart w:id="458" w:name="_Toc12446"/>
      <w:bookmarkStart w:id="459" w:name="_Toc29038"/>
      <w:bookmarkStart w:id="460" w:name="_Toc29224"/>
      <w:r>
        <w:rPr>
          <w:rFonts w:hint="default" w:ascii="仿宋_GB2312" w:hAnsi="仿宋_GB2312" w:eastAsia="仿宋_GB2312" w:cs="仿宋_GB2312"/>
          <w:b/>
          <w:bCs/>
          <w:snapToGrid w:val="0"/>
          <w:color w:val="auto"/>
          <w:kern w:val="0"/>
          <w:sz w:val="32"/>
          <w:szCs w:val="32"/>
        </w:rPr>
        <w:t>（3）减轻与洗消污染</w:t>
      </w:r>
      <w:bookmarkEnd w:id="455"/>
      <w:bookmarkEnd w:id="456"/>
      <w:bookmarkEnd w:id="457"/>
      <w:bookmarkEnd w:id="458"/>
      <w:bookmarkEnd w:id="459"/>
      <w:bookmarkEnd w:id="460"/>
    </w:p>
    <w:p w14:paraId="34FD2E7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发生火灾后，消防队做好消防、灭火工作，同时采取设立隔离带等措施防止火势的进一步蔓延。</w:t>
      </w:r>
    </w:p>
    <w:p w14:paraId="3D2DB846">
      <w:pPr>
        <w:pStyle w:val="31"/>
        <w:keepNext w:val="0"/>
        <w:keepLines w:val="0"/>
        <w:pageBreakBefore w:val="0"/>
        <w:kinsoku/>
        <w:wordWrap/>
        <w:overflowPunct/>
        <w:topLinePunct w:val="0"/>
        <w:autoSpaceDE/>
        <w:autoSpaceDN/>
        <w:bidi w:val="0"/>
        <w:adjustRightInd/>
        <w:snapToGrid/>
        <w:spacing w:line="600" w:lineRule="exact"/>
        <w:ind w:firstLine="562"/>
        <w:jc w:val="both"/>
        <w:textAlignment w:val="auto"/>
        <w:rPr>
          <w:rFonts w:hint="default" w:ascii="黑体" w:hAnsi="黑体" w:eastAsia="黑体" w:cs="黑体"/>
          <w:b w:val="0"/>
          <w:bCs w:val="0"/>
          <w:snapToGrid w:val="0"/>
          <w:color w:val="auto"/>
          <w:kern w:val="0"/>
          <w:sz w:val="32"/>
          <w:szCs w:val="32"/>
        </w:rPr>
      </w:pPr>
      <w:r>
        <w:rPr>
          <w:rFonts w:hint="default" w:ascii="黑体" w:hAnsi="黑体" w:eastAsia="黑体" w:cs="黑体"/>
          <w:b w:val="0"/>
          <w:bCs w:val="0"/>
          <w:snapToGrid w:val="0"/>
          <w:color w:val="auto"/>
          <w:kern w:val="0"/>
          <w:sz w:val="32"/>
          <w:szCs w:val="32"/>
        </w:rPr>
        <w:t>三、危险区的隔离</w:t>
      </w:r>
    </w:p>
    <w:p w14:paraId="26ECD80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461" w:name="_Toc21282"/>
      <w:bookmarkStart w:id="462" w:name="_Toc10032"/>
      <w:bookmarkStart w:id="463" w:name="_Toc22876"/>
      <w:bookmarkStart w:id="464" w:name="_Toc17031"/>
      <w:bookmarkStart w:id="465" w:name="_Toc3800"/>
      <w:bookmarkStart w:id="466" w:name="_Toc27301"/>
      <w:r>
        <w:rPr>
          <w:rFonts w:hint="default" w:ascii="楷体_GB2312" w:hAnsi="楷体_GB2312" w:eastAsia="楷体_GB2312" w:cs="楷体_GB2312"/>
          <w:b/>
          <w:bCs/>
          <w:snapToGrid w:val="0"/>
          <w:color w:val="auto"/>
          <w:kern w:val="0"/>
          <w:sz w:val="32"/>
          <w:szCs w:val="32"/>
        </w:rPr>
        <w:t>1</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事件现场隔离区划定方式、方法</w:t>
      </w:r>
      <w:bookmarkEnd w:id="461"/>
      <w:bookmarkEnd w:id="462"/>
      <w:bookmarkEnd w:id="463"/>
      <w:bookmarkEnd w:id="464"/>
      <w:bookmarkEnd w:id="465"/>
      <w:bookmarkEnd w:id="466"/>
    </w:p>
    <w:p w14:paraId="34E9714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事件现场隔离区的划定要考虑影响污染物扩散的主要因素：如风向、风力和主要危险源地点等。</w:t>
      </w:r>
    </w:p>
    <w:p w14:paraId="7B835AA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snapToGrid w:val="0"/>
          <w:color w:val="auto"/>
          <w:kern w:val="0"/>
          <w:sz w:val="32"/>
          <w:szCs w:val="32"/>
        </w:rPr>
      </w:pPr>
      <w:r>
        <w:rPr>
          <w:rFonts w:hint="default" w:ascii="仿宋_GB2312" w:hAnsi="仿宋_GB2312" w:eastAsia="仿宋_GB2312" w:cs="仿宋_GB2312"/>
          <w:snapToGrid w:val="0"/>
          <w:color w:val="auto"/>
          <w:kern w:val="0"/>
          <w:sz w:val="32"/>
          <w:szCs w:val="32"/>
        </w:rPr>
        <w:t>对于重大突发环境事件要根据事件的特性来划分事件中心区域（事件波及区域）和受影响区域，在有风的条件下，适当调整警戒范围。根据泄漏物质特性以及当时风向和厂区内地面环境状况，由应急指挥部划定紧急隔离区域，除污区域和支援区（见图1），以便及时开展抢险和救援。</w:t>
      </w:r>
    </w:p>
    <w:p w14:paraId="64D8E045">
      <w:pPr>
        <w:pStyle w:val="31"/>
        <w:spacing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683250" cy="3529330"/>
            <wp:effectExtent l="0" t="0" r="12700"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5683250" cy="3529330"/>
                    </a:xfrm>
                    <a:prstGeom prst="rect">
                      <a:avLst/>
                    </a:prstGeom>
                    <a:noFill/>
                    <a:ln>
                      <a:noFill/>
                    </a:ln>
                  </pic:spPr>
                </pic:pic>
              </a:graphicData>
            </a:graphic>
          </wp:inline>
        </w:drawing>
      </w:r>
    </w:p>
    <w:p w14:paraId="64933F3F">
      <w:pPr>
        <w:pStyle w:val="31"/>
        <w:ind w:firstLine="422"/>
        <w:jc w:val="center"/>
        <w:rPr>
          <w:rFonts w:hint="eastAsia" w:ascii="黑体" w:hAnsi="黑体" w:eastAsia="黑体" w:cs="黑体"/>
          <w:b w:val="0"/>
          <w:bCs w:val="0"/>
          <w:color w:val="auto"/>
          <w:sz w:val="22"/>
          <w:szCs w:val="22"/>
        </w:rPr>
      </w:pPr>
      <w:r>
        <w:rPr>
          <w:rFonts w:hint="eastAsia" w:ascii="黑体" w:hAnsi="黑体" w:eastAsia="黑体" w:cs="黑体"/>
          <w:b w:val="0"/>
          <w:bCs w:val="0"/>
          <w:color w:val="auto"/>
          <w:sz w:val="22"/>
          <w:szCs w:val="22"/>
        </w:rPr>
        <w:t>图</w:t>
      </w:r>
      <w:r>
        <w:rPr>
          <w:rFonts w:hint="eastAsia" w:ascii="黑体" w:hAnsi="黑体" w:eastAsia="黑体" w:cs="黑体"/>
          <w:b w:val="0"/>
          <w:bCs w:val="0"/>
          <w:color w:val="auto"/>
          <w:sz w:val="22"/>
          <w:szCs w:val="22"/>
          <w:lang w:val="en-US" w:eastAsia="zh-CN"/>
        </w:rPr>
        <w:t>7-</w:t>
      </w:r>
      <w:r>
        <w:rPr>
          <w:rFonts w:hint="eastAsia" w:ascii="黑体" w:hAnsi="黑体" w:eastAsia="黑体" w:cs="黑体"/>
          <w:b w:val="0"/>
          <w:bCs w:val="0"/>
          <w:color w:val="auto"/>
          <w:sz w:val="22"/>
          <w:szCs w:val="22"/>
        </w:rPr>
        <w:t>1  事故处理管制区域划分示意图</w:t>
      </w:r>
    </w:p>
    <w:p w14:paraId="53BFCEB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467" w:name="_Toc30500"/>
      <w:bookmarkStart w:id="468" w:name="_Toc20157"/>
      <w:bookmarkStart w:id="469" w:name="_Toc7558"/>
      <w:bookmarkStart w:id="470" w:name="_Toc28672"/>
      <w:bookmarkStart w:id="471" w:name="_Toc28288"/>
      <w:bookmarkStart w:id="472" w:name="_Toc4185"/>
      <w:r>
        <w:rPr>
          <w:rFonts w:hint="default" w:ascii="楷体_GB2312" w:hAnsi="楷体_GB2312" w:eastAsia="楷体_GB2312" w:cs="楷体_GB2312"/>
          <w:b/>
          <w:bCs/>
          <w:snapToGrid w:val="0"/>
          <w:color w:val="auto"/>
          <w:kern w:val="0"/>
          <w:sz w:val="32"/>
          <w:szCs w:val="32"/>
        </w:rPr>
        <w:t>2</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事件现场隔离方法</w:t>
      </w:r>
      <w:bookmarkEnd w:id="467"/>
      <w:bookmarkEnd w:id="468"/>
      <w:bookmarkEnd w:id="469"/>
      <w:bookmarkEnd w:id="470"/>
      <w:bookmarkEnd w:id="471"/>
      <w:bookmarkEnd w:id="472"/>
    </w:p>
    <w:p w14:paraId="69B9CDE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警戒区域的边界应设有警示标志并有专人警戒。除消防、应急处置人员及必须坚守岗位人员外，其他人员禁止进入警戒区。</w:t>
      </w:r>
    </w:p>
    <w:p w14:paraId="5EDDC6E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事故发生后园区管委会应在警戒线周围设置警戒标志或画警戒线。</w:t>
      </w:r>
    </w:p>
    <w:p w14:paraId="1F4FE63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事件现场周边区域的道路隔离或交通疏导办法：</w:t>
      </w:r>
    </w:p>
    <w:p w14:paraId="2FFF44D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事件发生后，应根据污染泄漏的扩散情况，所</w:t>
      </w:r>
      <w:r>
        <w:rPr>
          <w:rFonts w:hint="eastAsia" w:ascii="仿宋_GB2312" w:hAnsi="仿宋_GB2312" w:eastAsia="仿宋_GB2312" w:cs="仿宋_GB2312"/>
          <w:color w:val="auto"/>
          <w:kern w:val="0"/>
          <w:sz w:val="32"/>
          <w:szCs w:val="32"/>
          <w:lang w:eastAsia="zh-CN"/>
        </w:rPr>
        <w:t>波及</w:t>
      </w:r>
      <w:r>
        <w:rPr>
          <w:rFonts w:hint="default" w:ascii="仿宋_GB2312" w:hAnsi="仿宋_GB2312" w:eastAsia="仿宋_GB2312" w:cs="仿宋_GB2312"/>
          <w:color w:val="auto"/>
          <w:kern w:val="0"/>
          <w:sz w:val="32"/>
          <w:szCs w:val="32"/>
        </w:rPr>
        <w:t>的范围设立警戒区，并在通往事件现场的主要干道上实行交通管制，并且迅速请求</w:t>
      </w:r>
      <w:r>
        <w:rPr>
          <w:rFonts w:hint="eastAsia" w:ascii="仿宋_GB2312" w:hAnsi="仿宋_GB2312" w:eastAsia="仿宋_GB2312" w:cs="仿宋_GB2312"/>
          <w:color w:val="auto"/>
          <w:kern w:val="0"/>
          <w:sz w:val="32"/>
          <w:szCs w:val="32"/>
          <w:lang w:val="en-US" w:eastAsia="zh-CN"/>
        </w:rPr>
        <w:t>当地乡镇人民政府</w:t>
      </w:r>
      <w:r>
        <w:rPr>
          <w:rFonts w:hint="default" w:ascii="仿宋_GB2312" w:hAnsi="仿宋_GB2312" w:eastAsia="仿宋_GB2312" w:cs="仿宋_GB2312"/>
          <w:color w:val="auto"/>
          <w:kern w:val="0"/>
          <w:sz w:val="32"/>
          <w:szCs w:val="32"/>
        </w:rPr>
        <w:t>及有关专业部门进行事件现场的主要干道上实行交通管制，以便救援人员能够迅速</w:t>
      </w:r>
      <w:r>
        <w:rPr>
          <w:rFonts w:hint="eastAsia" w:ascii="仿宋_GB2312" w:hAnsi="仿宋_GB2312" w:eastAsia="仿宋_GB2312" w:cs="仿宋_GB2312"/>
          <w:color w:val="auto"/>
          <w:kern w:val="0"/>
          <w:sz w:val="32"/>
          <w:szCs w:val="32"/>
          <w:lang w:eastAsia="zh-CN"/>
        </w:rPr>
        <w:t>地</w:t>
      </w:r>
      <w:r>
        <w:rPr>
          <w:rFonts w:hint="default" w:ascii="仿宋_GB2312" w:hAnsi="仿宋_GB2312" w:eastAsia="仿宋_GB2312" w:cs="仿宋_GB2312"/>
          <w:color w:val="auto"/>
          <w:kern w:val="0"/>
          <w:sz w:val="32"/>
          <w:szCs w:val="32"/>
        </w:rPr>
        <w:t>到达事件现场开展工作。</w:t>
      </w:r>
    </w:p>
    <w:p w14:paraId="6B91AFC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在发生紧急事故时，园区管委会应根据事故状态划分出危险区、安全区。根据危险物质泄漏情况建立警戒区，对污染危险区采用拉警戒线、挂警示牌等方式隔离，并在通往事故现场的主要干道上实行交通管制。</w:t>
      </w:r>
    </w:p>
    <w:p w14:paraId="2E0FCF4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473" w:name="_Toc15575"/>
      <w:bookmarkStart w:id="474" w:name="_Toc29565"/>
      <w:bookmarkStart w:id="475" w:name="_Toc29456"/>
      <w:bookmarkStart w:id="476" w:name="_Toc25851"/>
      <w:bookmarkStart w:id="477" w:name="_Toc4856"/>
      <w:bookmarkStart w:id="478" w:name="_Toc26512"/>
      <w:r>
        <w:rPr>
          <w:rFonts w:hint="default" w:ascii="楷体_GB2312" w:hAnsi="楷体_GB2312" w:eastAsia="楷体_GB2312" w:cs="楷体_GB2312"/>
          <w:b/>
          <w:bCs/>
          <w:snapToGrid w:val="0"/>
          <w:color w:val="auto"/>
          <w:kern w:val="0"/>
          <w:sz w:val="32"/>
          <w:szCs w:val="32"/>
        </w:rPr>
        <w:t>3</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隔离和疏散距离</w:t>
      </w:r>
      <w:bookmarkEnd w:id="473"/>
      <w:bookmarkEnd w:id="474"/>
      <w:bookmarkEnd w:id="475"/>
      <w:bookmarkEnd w:id="476"/>
      <w:bookmarkEnd w:id="477"/>
      <w:bookmarkEnd w:id="478"/>
    </w:p>
    <w:p w14:paraId="3971676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疏散距离分为</w:t>
      </w:r>
      <w:r>
        <w:rPr>
          <w:rFonts w:hint="eastAsia" w:ascii="仿宋_GB2312" w:hAnsi="仿宋_GB2312" w:eastAsia="仿宋_GB2312" w:cs="仿宋_GB2312"/>
          <w:color w:val="auto"/>
          <w:kern w:val="0"/>
          <w:sz w:val="32"/>
          <w:szCs w:val="32"/>
          <w:lang w:eastAsia="zh-CN"/>
        </w:rPr>
        <w:t>两种</w:t>
      </w:r>
      <w:r>
        <w:rPr>
          <w:rFonts w:hint="default" w:ascii="仿宋_GB2312" w:hAnsi="仿宋_GB2312" w:eastAsia="仿宋_GB2312" w:cs="仿宋_GB2312"/>
          <w:color w:val="auto"/>
          <w:kern w:val="0"/>
          <w:sz w:val="32"/>
          <w:szCs w:val="32"/>
        </w:rPr>
        <w:t>：紧急隔离带是以紧急隔离距离为半径的圆，非事故处理人员不得入内；下风向疏散距离是指必须采取保护措施的范围，即该范围内的居民处于有害接触的危险之中，可以采取撤离、密闭住所窗户等有效措施，并</w:t>
      </w:r>
      <w:r>
        <w:rPr>
          <w:rFonts w:hint="eastAsia" w:ascii="仿宋_GB2312" w:hAnsi="仿宋_GB2312" w:eastAsia="仿宋_GB2312" w:cs="仿宋_GB2312"/>
          <w:color w:val="auto"/>
          <w:kern w:val="0"/>
          <w:sz w:val="32"/>
          <w:szCs w:val="32"/>
          <w:lang w:eastAsia="zh-CN"/>
        </w:rPr>
        <w:t>保持通信畅通</w:t>
      </w:r>
      <w:r>
        <w:rPr>
          <w:rFonts w:hint="default" w:ascii="仿宋_GB2312" w:hAnsi="仿宋_GB2312" w:eastAsia="仿宋_GB2312" w:cs="仿宋_GB2312"/>
          <w:color w:val="auto"/>
          <w:kern w:val="0"/>
          <w:sz w:val="32"/>
          <w:szCs w:val="32"/>
        </w:rPr>
        <w:t>以听从指挥。由于夜间气象条件对毒气云的混合作用要比白天来得小，毒气云不易散开，因而下风向疏散距离相对比白天的远。夜间和白天的区分以太阳升起和降落为准。</w:t>
      </w:r>
    </w:p>
    <w:p w14:paraId="1127D77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疏散距离还应结合事故现场的实际情况（如泄漏量、泄漏压力、泄漏形成的释放池面积、周围建筑或树木情况以及当时风速等）进行修正；如泄漏物质发生火灾时，中毒危害与火灾/爆炸危害相比就处于次要地位，如有数辆槽车、储罐或大钢瓶泄漏，应增大</w:t>
      </w:r>
      <w:r>
        <w:rPr>
          <w:rFonts w:hint="eastAsia" w:ascii="仿宋_GB2312" w:hAnsi="仿宋_GB2312" w:eastAsia="仿宋_GB2312" w:cs="仿宋_GB2312"/>
          <w:color w:val="auto"/>
          <w:kern w:val="0"/>
          <w:sz w:val="32"/>
          <w:szCs w:val="32"/>
          <w:lang w:eastAsia="zh-CN"/>
        </w:rPr>
        <w:t>泄漏</w:t>
      </w:r>
      <w:r>
        <w:rPr>
          <w:rFonts w:hint="default" w:ascii="仿宋_GB2312" w:hAnsi="仿宋_GB2312" w:eastAsia="仿宋_GB2312" w:cs="仿宋_GB2312"/>
          <w:color w:val="auto"/>
          <w:kern w:val="0"/>
          <w:sz w:val="32"/>
          <w:szCs w:val="32"/>
        </w:rPr>
        <w:t>的疏散距离；如泄漏形成的毒气云从山谷或高楼之间穿过，因大气的混合作用减小，疏散距离应增加，白天气温逆转或在有雪覆盖的地区，或者</w:t>
      </w:r>
      <w:r>
        <w:rPr>
          <w:rFonts w:hint="default" w:ascii="仿宋_GB2312" w:hAnsi="仿宋_GB2312" w:eastAsia="仿宋_GB2312" w:cs="仿宋_GB2312"/>
          <w:color w:val="auto"/>
          <w:kern w:val="0"/>
          <w:sz w:val="32"/>
          <w:szCs w:val="32"/>
          <w:lang w:val="en-US"/>
        </w:rPr>
        <w:t>在</w:t>
      </w:r>
      <w:r>
        <w:rPr>
          <w:rFonts w:hint="default" w:ascii="仿宋_GB2312" w:hAnsi="仿宋_GB2312" w:eastAsia="仿宋_GB2312" w:cs="仿宋_GB2312"/>
          <w:color w:val="auto"/>
          <w:kern w:val="0"/>
          <w:sz w:val="32"/>
          <w:szCs w:val="32"/>
        </w:rPr>
        <w:t>日落时发生泄漏，或伴有稳定的风，也需要增加疏散距离；对于液态化学品泄漏，如果物料温度或室外气温超过30℃，疏散距离也应增加。</w:t>
      </w:r>
    </w:p>
    <w:p w14:paraId="4FF1F75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具体隔离距离和疏散距离见下表。下表中少量</w:t>
      </w:r>
      <w:r>
        <w:rPr>
          <w:rFonts w:hint="eastAsia" w:ascii="仿宋_GB2312" w:hAnsi="仿宋_GB2312" w:eastAsia="仿宋_GB2312" w:cs="仿宋_GB2312"/>
          <w:color w:val="auto"/>
          <w:kern w:val="0"/>
          <w:sz w:val="32"/>
          <w:szCs w:val="32"/>
          <w:lang w:eastAsia="zh-CN"/>
        </w:rPr>
        <w:t>泄漏</w:t>
      </w:r>
      <w:r>
        <w:rPr>
          <w:rFonts w:hint="default" w:ascii="仿宋_GB2312" w:hAnsi="仿宋_GB2312" w:eastAsia="仿宋_GB2312" w:cs="仿宋_GB2312"/>
          <w:color w:val="auto"/>
          <w:kern w:val="0"/>
          <w:sz w:val="32"/>
          <w:szCs w:val="32"/>
        </w:rPr>
        <w:t>指小包装（＜200L）泄漏或者大包装少量</w:t>
      </w:r>
      <w:r>
        <w:rPr>
          <w:rFonts w:hint="eastAsia" w:ascii="仿宋_GB2312" w:hAnsi="仿宋_GB2312" w:eastAsia="仿宋_GB2312" w:cs="仿宋_GB2312"/>
          <w:color w:val="auto"/>
          <w:kern w:val="0"/>
          <w:sz w:val="32"/>
          <w:szCs w:val="32"/>
          <w:lang w:eastAsia="zh-CN"/>
        </w:rPr>
        <w:t>泄漏</w:t>
      </w:r>
      <w:r>
        <w:rPr>
          <w:rFonts w:hint="default" w:ascii="仿宋_GB2312" w:hAnsi="仿宋_GB2312" w:eastAsia="仿宋_GB2312" w:cs="仿宋_GB2312"/>
          <w:color w:val="auto"/>
          <w:kern w:val="0"/>
          <w:sz w:val="32"/>
          <w:szCs w:val="32"/>
        </w:rPr>
        <w:t>；大量泄漏指大包装（≥200L）泄漏或多个小包装同时泄漏。</w:t>
      </w:r>
    </w:p>
    <w:p w14:paraId="4E949349">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default" w:ascii="黑体" w:hAnsi="黑体" w:eastAsia="黑体" w:cs="黑体"/>
          <w:b w:val="0"/>
          <w:bCs w:val="0"/>
          <w:color w:val="auto"/>
          <w:sz w:val="32"/>
          <w:szCs w:val="32"/>
          <w:shd w:val="clear" w:color="auto" w:fill="FFFFFF"/>
        </w:rPr>
      </w:pPr>
      <w:r>
        <w:rPr>
          <w:rFonts w:hint="default"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w:t>
      </w:r>
      <w:r>
        <w:rPr>
          <w:rFonts w:hint="default" w:ascii="黑体" w:hAnsi="黑体" w:eastAsia="黑体" w:cs="黑体"/>
          <w:b w:val="0"/>
          <w:bCs w:val="0"/>
          <w:color w:val="auto"/>
          <w:sz w:val="32"/>
          <w:szCs w:val="32"/>
          <w:shd w:val="clear" w:color="auto" w:fill="FFFFFF"/>
        </w:rPr>
        <w:t>-1  部分化学品泄漏隔离距离和疏散距离参考值</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927"/>
        <w:gridCol w:w="1396"/>
        <w:gridCol w:w="1004"/>
        <w:gridCol w:w="1009"/>
        <w:gridCol w:w="1009"/>
        <w:gridCol w:w="1008"/>
        <w:gridCol w:w="1011"/>
        <w:gridCol w:w="1011"/>
      </w:tblGrid>
      <w:tr w14:paraId="6EAC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95" w:type="dxa"/>
            <w:vMerge w:val="restart"/>
            <w:vAlign w:val="center"/>
          </w:tcPr>
          <w:p w14:paraId="755D34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b/>
                <w:bCs/>
                <w:color w:val="auto"/>
                <w:kern w:val="0"/>
                <w:sz w:val="21"/>
                <w:szCs w:val="21"/>
              </w:rPr>
              <w:t>序</w:t>
            </w:r>
            <w:r>
              <w:rPr>
                <w:rFonts w:hint="default" w:ascii="Times New Roman" w:hAnsi="Times New Roman" w:eastAsia="宋体" w:cs="Times New Roman"/>
                <w:b/>
                <w:bCs/>
                <w:color w:val="auto"/>
                <w:kern w:val="0"/>
                <w:sz w:val="21"/>
                <w:szCs w:val="21"/>
              </w:rPr>
              <w:t>号</w:t>
            </w:r>
          </w:p>
        </w:tc>
        <w:tc>
          <w:tcPr>
            <w:tcW w:w="938" w:type="dxa"/>
            <w:vMerge w:val="restart"/>
            <w:vAlign w:val="center"/>
          </w:tcPr>
          <w:p w14:paraId="76A102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b/>
                <w:bCs/>
                <w:color w:val="auto"/>
                <w:kern w:val="0"/>
                <w:sz w:val="21"/>
                <w:szCs w:val="21"/>
              </w:rPr>
              <w:t>UN号</w:t>
            </w:r>
          </w:p>
        </w:tc>
        <w:tc>
          <w:tcPr>
            <w:tcW w:w="1424" w:type="dxa"/>
            <w:vMerge w:val="restart"/>
            <w:vAlign w:val="center"/>
          </w:tcPr>
          <w:p w14:paraId="7E300E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b/>
                <w:bCs/>
                <w:color w:val="auto"/>
                <w:kern w:val="0"/>
                <w:sz w:val="21"/>
                <w:szCs w:val="21"/>
              </w:rPr>
              <w:t>化学品名称</w:t>
            </w:r>
          </w:p>
        </w:tc>
        <w:tc>
          <w:tcPr>
            <w:tcW w:w="3057" w:type="dxa"/>
            <w:gridSpan w:val="3"/>
            <w:vAlign w:val="center"/>
          </w:tcPr>
          <w:p w14:paraId="66A858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少量</w:t>
            </w:r>
            <w:r>
              <w:rPr>
                <w:rFonts w:hint="eastAsia" w:ascii="Times New Roman" w:hAnsi="Times New Roman" w:eastAsia="宋体" w:cs="Times New Roman"/>
                <w:b/>
                <w:bCs/>
                <w:color w:val="auto"/>
                <w:kern w:val="0"/>
                <w:sz w:val="21"/>
                <w:szCs w:val="21"/>
                <w:lang w:eastAsia="zh-CN"/>
              </w:rPr>
              <w:t>泄漏</w:t>
            </w:r>
          </w:p>
        </w:tc>
        <w:tc>
          <w:tcPr>
            <w:tcW w:w="3059" w:type="dxa"/>
            <w:gridSpan w:val="3"/>
            <w:vAlign w:val="center"/>
          </w:tcPr>
          <w:p w14:paraId="0615C2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大量泄漏</w:t>
            </w:r>
          </w:p>
        </w:tc>
      </w:tr>
      <w:tr w14:paraId="4E6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695" w:type="dxa"/>
            <w:vMerge w:val="continue"/>
          </w:tcPr>
          <w:p w14:paraId="2FD4EE27">
            <w:pPr>
              <w:pStyle w:val="20"/>
              <w:widowControl/>
              <w:spacing w:beforeAutospacing="0" w:afterAutospacing="0" w:line="400" w:lineRule="exact"/>
              <w:jc w:val="both"/>
              <w:rPr>
                <w:rFonts w:hint="default" w:ascii="Times New Roman" w:hAnsi="Times New Roman" w:eastAsia="宋体" w:cs="Times New Roman"/>
                <w:color w:val="auto"/>
                <w:sz w:val="21"/>
                <w:szCs w:val="21"/>
                <w:shd w:val="clear" w:color="auto" w:fill="FFFFFF"/>
              </w:rPr>
            </w:pPr>
          </w:p>
        </w:tc>
        <w:tc>
          <w:tcPr>
            <w:tcW w:w="938" w:type="dxa"/>
            <w:vMerge w:val="continue"/>
          </w:tcPr>
          <w:p w14:paraId="06AF882A">
            <w:pPr>
              <w:pStyle w:val="20"/>
              <w:widowControl/>
              <w:spacing w:beforeAutospacing="0" w:afterAutospacing="0" w:line="400" w:lineRule="exact"/>
              <w:jc w:val="both"/>
              <w:rPr>
                <w:rFonts w:hint="default" w:ascii="Times New Roman" w:hAnsi="Times New Roman" w:eastAsia="宋体" w:cs="Times New Roman"/>
                <w:color w:val="auto"/>
                <w:sz w:val="21"/>
                <w:szCs w:val="21"/>
                <w:shd w:val="clear" w:color="auto" w:fill="FFFFFF"/>
              </w:rPr>
            </w:pPr>
          </w:p>
        </w:tc>
        <w:tc>
          <w:tcPr>
            <w:tcW w:w="1424" w:type="dxa"/>
            <w:vMerge w:val="continue"/>
          </w:tcPr>
          <w:p w14:paraId="27DB1846">
            <w:pPr>
              <w:pStyle w:val="20"/>
              <w:widowControl/>
              <w:spacing w:beforeAutospacing="0" w:afterAutospacing="0" w:line="400" w:lineRule="exact"/>
              <w:jc w:val="both"/>
              <w:rPr>
                <w:rFonts w:hint="default" w:ascii="Times New Roman" w:hAnsi="Times New Roman" w:eastAsia="宋体" w:cs="Times New Roman"/>
                <w:color w:val="auto"/>
                <w:sz w:val="21"/>
                <w:szCs w:val="21"/>
                <w:shd w:val="clear" w:color="auto" w:fill="FFFFFF"/>
              </w:rPr>
            </w:pPr>
          </w:p>
        </w:tc>
        <w:tc>
          <w:tcPr>
            <w:tcW w:w="1019" w:type="dxa"/>
            <w:vAlign w:val="center"/>
          </w:tcPr>
          <w:p w14:paraId="548D28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紧急隔离</w:t>
            </w:r>
          </w:p>
        </w:tc>
        <w:tc>
          <w:tcPr>
            <w:tcW w:w="1019" w:type="dxa"/>
            <w:vAlign w:val="center"/>
          </w:tcPr>
          <w:p w14:paraId="513A4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白天疏散</w:t>
            </w:r>
          </w:p>
        </w:tc>
        <w:tc>
          <w:tcPr>
            <w:tcW w:w="1019" w:type="dxa"/>
            <w:vAlign w:val="center"/>
          </w:tcPr>
          <w:p w14:paraId="70D364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夜间疏散</w:t>
            </w:r>
          </w:p>
        </w:tc>
        <w:tc>
          <w:tcPr>
            <w:tcW w:w="1019" w:type="dxa"/>
            <w:vAlign w:val="center"/>
          </w:tcPr>
          <w:p w14:paraId="11F497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紧急隔离</w:t>
            </w:r>
          </w:p>
        </w:tc>
        <w:tc>
          <w:tcPr>
            <w:tcW w:w="1020" w:type="dxa"/>
            <w:vAlign w:val="center"/>
          </w:tcPr>
          <w:p w14:paraId="663A47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白天疏散</w:t>
            </w:r>
          </w:p>
        </w:tc>
        <w:tc>
          <w:tcPr>
            <w:tcW w:w="1020" w:type="dxa"/>
            <w:vAlign w:val="center"/>
          </w:tcPr>
          <w:p w14:paraId="60F5E4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夜间疏散</w:t>
            </w:r>
          </w:p>
        </w:tc>
      </w:tr>
      <w:tr w14:paraId="2C0E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5" w:type="dxa"/>
            <w:vAlign w:val="center"/>
          </w:tcPr>
          <w:p w14:paraId="3E089CE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w:t>
            </w:r>
          </w:p>
        </w:tc>
        <w:tc>
          <w:tcPr>
            <w:tcW w:w="938" w:type="dxa"/>
            <w:vAlign w:val="center"/>
          </w:tcPr>
          <w:p w14:paraId="2051FAB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1005</w:t>
            </w:r>
          </w:p>
        </w:tc>
        <w:tc>
          <w:tcPr>
            <w:tcW w:w="1424" w:type="dxa"/>
            <w:vAlign w:val="center"/>
          </w:tcPr>
          <w:p w14:paraId="7EEEEA7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氨（液氨）</w:t>
            </w:r>
          </w:p>
        </w:tc>
        <w:tc>
          <w:tcPr>
            <w:tcW w:w="1019" w:type="dxa"/>
            <w:vAlign w:val="center"/>
          </w:tcPr>
          <w:p w14:paraId="133FD42A">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19A65BBC">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0B80963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6970F9BB">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60m</w:t>
            </w:r>
          </w:p>
        </w:tc>
        <w:tc>
          <w:tcPr>
            <w:tcW w:w="1020" w:type="dxa"/>
            <w:vAlign w:val="center"/>
          </w:tcPr>
          <w:p w14:paraId="6B60DED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0.5km</w:t>
            </w:r>
          </w:p>
        </w:tc>
        <w:tc>
          <w:tcPr>
            <w:tcW w:w="1020" w:type="dxa"/>
            <w:vAlign w:val="center"/>
          </w:tcPr>
          <w:p w14:paraId="35CDE42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1.1km</w:t>
            </w:r>
          </w:p>
        </w:tc>
      </w:tr>
      <w:tr w14:paraId="7271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95" w:type="dxa"/>
            <w:vAlign w:val="center"/>
          </w:tcPr>
          <w:p w14:paraId="0A3E74E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2</w:t>
            </w:r>
          </w:p>
        </w:tc>
        <w:tc>
          <w:tcPr>
            <w:tcW w:w="938" w:type="dxa"/>
            <w:vAlign w:val="center"/>
          </w:tcPr>
          <w:p w14:paraId="26AC5CD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1016</w:t>
            </w:r>
          </w:p>
        </w:tc>
        <w:tc>
          <w:tcPr>
            <w:tcW w:w="1424" w:type="dxa"/>
            <w:vAlign w:val="center"/>
          </w:tcPr>
          <w:p w14:paraId="63EC8D73">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一氧化碳</w:t>
            </w:r>
          </w:p>
        </w:tc>
        <w:tc>
          <w:tcPr>
            <w:tcW w:w="1019" w:type="dxa"/>
            <w:vAlign w:val="center"/>
          </w:tcPr>
          <w:p w14:paraId="50ADE36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1F25C69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09EA4B5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122D37D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125m</w:t>
            </w:r>
          </w:p>
        </w:tc>
        <w:tc>
          <w:tcPr>
            <w:tcW w:w="1020" w:type="dxa"/>
            <w:vAlign w:val="center"/>
          </w:tcPr>
          <w:p w14:paraId="34C22A0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0.6km</w:t>
            </w:r>
          </w:p>
        </w:tc>
        <w:tc>
          <w:tcPr>
            <w:tcW w:w="1020" w:type="dxa"/>
            <w:vAlign w:val="center"/>
          </w:tcPr>
          <w:p w14:paraId="29D5B575">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1.8km</w:t>
            </w:r>
          </w:p>
        </w:tc>
      </w:tr>
      <w:tr w14:paraId="7536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95" w:type="dxa"/>
            <w:vAlign w:val="center"/>
          </w:tcPr>
          <w:p w14:paraId="46A3551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3</w:t>
            </w:r>
          </w:p>
        </w:tc>
        <w:tc>
          <w:tcPr>
            <w:tcW w:w="938" w:type="dxa"/>
            <w:vAlign w:val="center"/>
          </w:tcPr>
          <w:p w14:paraId="0D198F8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1050</w:t>
            </w:r>
          </w:p>
        </w:tc>
        <w:tc>
          <w:tcPr>
            <w:tcW w:w="1424" w:type="dxa"/>
            <w:vAlign w:val="center"/>
          </w:tcPr>
          <w:p w14:paraId="60E84A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无水氯化氢</w:t>
            </w:r>
          </w:p>
        </w:tc>
        <w:tc>
          <w:tcPr>
            <w:tcW w:w="1019" w:type="dxa"/>
            <w:vAlign w:val="center"/>
          </w:tcPr>
          <w:p w14:paraId="00A76AC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2C5E7DF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1B1311A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0.6km</w:t>
            </w:r>
          </w:p>
        </w:tc>
        <w:tc>
          <w:tcPr>
            <w:tcW w:w="1019" w:type="dxa"/>
            <w:vAlign w:val="center"/>
          </w:tcPr>
          <w:p w14:paraId="0E16506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185m</w:t>
            </w:r>
          </w:p>
        </w:tc>
        <w:tc>
          <w:tcPr>
            <w:tcW w:w="1020" w:type="dxa"/>
            <w:vAlign w:val="center"/>
          </w:tcPr>
          <w:p w14:paraId="4FA1CAB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1.6km</w:t>
            </w:r>
          </w:p>
        </w:tc>
        <w:tc>
          <w:tcPr>
            <w:tcW w:w="1020" w:type="dxa"/>
            <w:vAlign w:val="center"/>
          </w:tcPr>
          <w:p w14:paraId="6CE9829B">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4.3km</w:t>
            </w:r>
          </w:p>
        </w:tc>
      </w:tr>
      <w:tr w14:paraId="138E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695" w:type="dxa"/>
            <w:vAlign w:val="center"/>
          </w:tcPr>
          <w:p w14:paraId="230E0A1B">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4</w:t>
            </w:r>
          </w:p>
        </w:tc>
        <w:tc>
          <w:tcPr>
            <w:tcW w:w="938" w:type="dxa"/>
            <w:vAlign w:val="center"/>
          </w:tcPr>
          <w:p w14:paraId="7CAD0545">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1017</w:t>
            </w:r>
          </w:p>
        </w:tc>
        <w:tc>
          <w:tcPr>
            <w:tcW w:w="1424" w:type="dxa"/>
            <w:vAlign w:val="center"/>
          </w:tcPr>
          <w:p w14:paraId="1BF933D1">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氯气</w:t>
            </w:r>
          </w:p>
        </w:tc>
        <w:tc>
          <w:tcPr>
            <w:tcW w:w="1019" w:type="dxa"/>
            <w:vAlign w:val="center"/>
          </w:tcPr>
          <w:p w14:paraId="23EF00D8">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30m</w:t>
            </w:r>
          </w:p>
        </w:tc>
        <w:tc>
          <w:tcPr>
            <w:tcW w:w="1019" w:type="dxa"/>
            <w:vAlign w:val="center"/>
          </w:tcPr>
          <w:p w14:paraId="08D145A2">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0.3km</w:t>
            </w:r>
          </w:p>
        </w:tc>
        <w:tc>
          <w:tcPr>
            <w:tcW w:w="1019" w:type="dxa"/>
            <w:vAlign w:val="center"/>
          </w:tcPr>
          <w:p w14:paraId="30EA6DF8">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1.1km</w:t>
            </w:r>
          </w:p>
        </w:tc>
        <w:tc>
          <w:tcPr>
            <w:tcW w:w="1019" w:type="dxa"/>
            <w:vAlign w:val="center"/>
          </w:tcPr>
          <w:p w14:paraId="4FD1FBF4">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275m</w:t>
            </w:r>
          </w:p>
        </w:tc>
        <w:tc>
          <w:tcPr>
            <w:tcW w:w="1020" w:type="dxa"/>
            <w:vAlign w:val="center"/>
          </w:tcPr>
          <w:p w14:paraId="640CE2D0">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2.7km</w:t>
            </w:r>
          </w:p>
        </w:tc>
        <w:tc>
          <w:tcPr>
            <w:tcW w:w="1020" w:type="dxa"/>
            <w:vAlign w:val="center"/>
          </w:tcPr>
          <w:p w14:paraId="37A4D0B4">
            <w:pPr>
              <w:widowControl/>
              <w:spacing w:line="400" w:lineRule="exac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6.8km</w:t>
            </w:r>
          </w:p>
        </w:tc>
      </w:tr>
      <w:tr w14:paraId="6A0A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95" w:type="dxa"/>
            <w:vAlign w:val="center"/>
          </w:tcPr>
          <w:p w14:paraId="666DDC2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5</w:t>
            </w:r>
          </w:p>
        </w:tc>
        <w:tc>
          <w:tcPr>
            <w:tcW w:w="938" w:type="dxa"/>
            <w:vAlign w:val="center"/>
          </w:tcPr>
          <w:p w14:paraId="68235C93">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1067</w:t>
            </w:r>
          </w:p>
        </w:tc>
        <w:tc>
          <w:tcPr>
            <w:tcW w:w="1424" w:type="dxa"/>
            <w:vAlign w:val="center"/>
          </w:tcPr>
          <w:p w14:paraId="49BADB7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氮氧化物</w:t>
            </w:r>
          </w:p>
        </w:tc>
        <w:tc>
          <w:tcPr>
            <w:tcW w:w="1019" w:type="dxa"/>
            <w:vAlign w:val="center"/>
          </w:tcPr>
          <w:p w14:paraId="7DB2746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0DB45E20">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0.2km</w:t>
            </w:r>
          </w:p>
        </w:tc>
        <w:tc>
          <w:tcPr>
            <w:tcW w:w="1019" w:type="dxa"/>
            <w:vAlign w:val="center"/>
          </w:tcPr>
          <w:p w14:paraId="12C3C19C">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0.5km</w:t>
            </w:r>
          </w:p>
        </w:tc>
        <w:tc>
          <w:tcPr>
            <w:tcW w:w="1019" w:type="dxa"/>
            <w:vAlign w:val="center"/>
          </w:tcPr>
          <w:p w14:paraId="48A83DA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305m</w:t>
            </w:r>
          </w:p>
        </w:tc>
        <w:tc>
          <w:tcPr>
            <w:tcW w:w="1020" w:type="dxa"/>
            <w:vAlign w:val="center"/>
          </w:tcPr>
          <w:p w14:paraId="199EB642">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1.3km</w:t>
            </w:r>
          </w:p>
        </w:tc>
        <w:tc>
          <w:tcPr>
            <w:tcW w:w="1020" w:type="dxa"/>
            <w:vAlign w:val="center"/>
          </w:tcPr>
          <w:p w14:paraId="355FA913">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3.9km</w:t>
            </w:r>
          </w:p>
        </w:tc>
      </w:tr>
      <w:tr w14:paraId="7F76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95" w:type="dxa"/>
            <w:vAlign w:val="center"/>
          </w:tcPr>
          <w:p w14:paraId="0CC2513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6</w:t>
            </w:r>
          </w:p>
        </w:tc>
        <w:tc>
          <w:tcPr>
            <w:tcW w:w="938" w:type="dxa"/>
            <w:vAlign w:val="center"/>
          </w:tcPr>
          <w:p w14:paraId="453873C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1079</w:t>
            </w:r>
          </w:p>
        </w:tc>
        <w:tc>
          <w:tcPr>
            <w:tcW w:w="1424" w:type="dxa"/>
            <w:vAlign w:val="center"/>
          </w:tcPr>
          <w:p w14:paraId="40E68C4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二氧化硫</w:t>
            </w:r>
          </w:p>
        </w:tc>
        <w:tc>
          <w:tcPr>
            <w:tcW w:w="1019" w:type="dxa"/>
            <w:vAlign w:val="center"/>
          </w:tcPr>
          <w:p w14:paraId="56868169">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30m</w:t>
            </w:r>
          </w:p>
        </w:tc>
        <w:tc>
          <w:tcPr>
            <w:tcW w:w="1019" w:type="dxa"/>
            <w:vAlign w:val="center"/>
          </w:tcPr>
          <w:p w14:paraId="573E1E4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0.3km</w:t>
            </w:r>
          </w:p>
        </w:tc>
        <w:tc>
          <w:tcPr>
            <w:tcW w:w="1019" w:type="dxa"/>
            <w:vAlign w:val="center"/>
          </w:tcPr>
          <w:p w14:paraId="2619DEBC">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1.1km</w:t>
            </w:r>
          </w:p>
        </w:tc>
        <w:tc>
          <w:tcPr>
            <w:tcW w:w="1019" w:type="dxa"/>
            <w:vAlign w:val="center"/>
          </w:tcPr>
          <w:p w14:paraId="6B7B6376">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185m</w:t>
            </w:r>
          </w:p>
        </w:tc>
        <w:tc>
          <w:tcPr>
            <w:tcW w:w="1020" w:type="dxa"/>
            <w:vAlign w:val="center"/>
          </w:tcPr>
          <w:p w14:paraId="0A8896D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3.1km</w:t>
            </w:r>
          </w:p>
        </w:tc>
        <w:tc>
          <w:tcPr>
            <w:tcW w:w="1020" w:type="dxa"/>
            <w:vAlign w:val="center"/>
          </w:tcPr>
          <w:p w14:paraId="397E449E">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7.2km</w:t>
            </w:r>
          </w:p>
        </w:tc>
      </w:tr>
      <w:tr w14:paraId="68EB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Align w:val="center"/>
          </w:tcPr>
          <w:p w14:paraId="5DD75E1D">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sz w:val="21"/>
                <w:szCs w:val="21"/>
                <w:shd w:val="clear" w:color="auto" w:fill="FFFFFF"/>
              </w:rPr>
              <w:t>7</w:t>
            </w:r>
          </w:p>
        </w:tc>
        <w:tc>
          <w:tcPr>
            <w:tcW w:w="938" w:type="dxa"/>
            <w:vAlign w:val="center"/>
          </w:tcPr>
          <w:p w14:paraId="71D215F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1831</w:t>
            </w:r>
          </w:p>
        </w:tc>
        <w:tc>
          <w:tcPr>
            <w:tcW w:w="1424" w:type="dxa"/>
            <w:vAlign w:val="center"/>
          </w:tcPr>
          <w:p w14:paraId="530A7E3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发烟硫酸（硫酸雾）</w:t>
            </w:r>
          </w:p>
        </w:tc>
        <w:tc>
          <w:tcPr>
            <w:tcW w:w="1019" w:type="dxa"/>
            <w:vAlign w:val="center"/>
          </w:tcPr>
          <w:p w14:paraId="7F59F571">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60m</w:t>
            </w:r>
          </w:p>
        </w:tc>
        <w:tc>
          <w:tcPr>
            <w:tcW w:w="1019" w:type="dxa"/>
            <w:vAlign w:val="center"/>
          </w:tcPr>
          <w:p w14:paraId="662B63A7">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0.3km</w:t>
            </w:r>
          </w:p>
        </w:tc>
        <w:tc>
          <w:tcPr>
            <w:tcW w:w="1019" w:type="dxa"/>
            <w:vAlign w:val="center"/>
          </w:tcPr>
          <w:p w14:paraId="7937BC25">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1.1km</w:t>
            </w:r>
          </w:p>
        </w:tc>
        <w:tc>
          <w:tcPr>
            <w:tcW w:w="1019" w:type="dxa"/>
            <w:vAlign w:val="center"/>
          </w:tcPr>
          <w:p w14:paraId="1A7504AF">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305m</w:t>
            </w:r>
          </w:p>
        </w:tc>
        <w:tc>
          <w:tcPr>
            <w:tcW w:w="1020" w:type="dxa"/>
            <w:vAlign w:val="center"/>
          </w:tcPr>
          <w:p w14:paraId="1AF53D3A">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2.1km</w:t>
            </w:r>
          </w:p>
        </w:tc>
        <w:tc>
          <w:tcPr>
            <w:tcW w:w="1020" w:type="dxa"/>
            <w:vAlign w:val="center"/>
          </w:tcPr>
          <w:p w14:paraId="6C17CE84">
            <w:pPr>
              <w:widowControl/>
              <w:spacing w:line="400" w:lineRule="exact"/>
              <w:ind w:firstLine="0" w:firstLineChars="0"/>
              <w:jc w:val="center"/>
              <w:rPr>
                <w:rFonts w:hint="default" w:ascii="Times New Roman" w:hAnsi="Times New Roman" w:cs="Times New Roman"/>
                <w:color w:val="auto"/>
                <w:sz w:val="21"/>
                <w:szCs w:val="21"/>
                <w:shd w:val="clear" w:color="auto" w:fill="FFFFFF"/>
              </w:rPr>
            </w:pPr>
            <w:r>
              <w:rPr>
                <w:rFonts w:hint="default" w:ascii="Times New Roman" w:hAnsi="Times New Roman" w:cs="Times New Roman"/>
                <w:color w:val="auto"/>
                <w:kern w:val="0"/>
                <w:sz w:val="21"/>
                <w:szCs w:val="21"/>
              </w:rPr>
              <w:t>5.6km</w:t>
            </w:r>
          </w:p>
        </w:tc>
      </w:tr>
    </w:tbl>
    <w:p w14:paraId="1129BC5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snapToGrid w:val="0"/>
          <w:color w:val="auto"/>
          <w:kern w:val="0"/>
          <w:sz w:val="32"/>
          <w:szCs w:val="32"/>
        </w:rPr>
      </w:pPr>
      <w:bookmarkStart w:id="479" w:name="_Toc8678"/>
      <w:bookmarkStart w:id="480" w:name="_Toc4792"/>
      <w:bookmarkStart w:id="481" w:name="_Toc28023"/>
      <w:bookmarkStart w:id="482" w:name="_Toc26886"/>
      <w:bookmarkStart w:id="483" w:name="_Toc16085"/>
      <w:bookmarkStart w:id="484" w:name="_Toc11566"/>
      <w:bookmarkStart w:id="485" w:name="_Toc463967856"/>
      <w:r>
        <w:rPr>
          <w:rFonts w:hint="default" w:ascii="楷体_GB2312" w:hAnsi="楷体_GB2312" w:eastAsia="楷体_GB2312" w:cs="楷体_GB2312"/>
          <w:b/>
          <w:bCs/>
          <w:snapToGrid w:val="0"/>
          <w:color w:val="auto"/>
          <w:kern w:val="0"/>
          <w:sz w:val="32"/>
          <w:szCs w:val="32"/>
        </w:rPr>
        <w:t>4</w:t>
      </w:r>
      <w:r>
        <w:rPr>
          <w:rFonts w:hint="eastAsia" w:ascii="楷体_GB2312" w:hAnsi="楷体_GB2312" w:eastAsia="楷体_GB2312" w:cs="楷体_GB2312"/>
          <w:b/>
          <w:bCs/>
          <w:snapToGrid w:val="0"/>
          <w:color w:val="auto"/>
          <w:kern w:val="0"/>
          <w:sz w:val="32"/>
          <w:szCs w:val="32"/>
          <w:lang w:val="en-US" w:eastAsia="zh-CN"/>
        </w:rPr>
        <w:t>.</w:t>
      </w:r>
      <w:r>
        <w:rPr>
          <w:rFonts w:hint="default" w:ascii="楷体_GB2312" w:hAnsi="楷体_GB2312" w:eastAsia="楷体_GB2312" w:cs="楷体_GB2312"/>
          <w:b/>
          <w:bCs/>
          <w:snapToGrid w:val="0"/>
          <w:color w:val="auto"/>
          <w:kern w:val="0"/>
          <w:sz w:val="32"/>
          <w:szCs w:val="32"/>
        </w:rPr>
        <w:t>人员紧急撤离和疏散</w:t>
      </w:r>
      <w:bookmarkEnd w:id="479"/>
      <w:bookmarkEnd w:id="480"/>
      <w:bookmarkEnd w:id="481"/>
      <w:bookmarkEnd w:id="482"/>
      <w:bookmarkEnd w:id="483"/>
      <w:bookmarkEnd w:id="484"/>
    </w:p>
    <w:p w14:paraId="0AE4B85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在发生危险化学品泄漏、天然气泄漏及火灾爆炸等严重威胁现场人员生命安全的环境事件时，</w:t>
      </w:r>
      <w:bookmarkEnd w:id="485"/>
      <w:r>
        <w:rPr>
          <w:rFonts w:hint="default" w:ascii="仿宋_GB2312" w:hAnsi="仿宋_GB2312" w:eastAsia="仿宋_GB2312" w:cs="仿宋_GB2312"/>
          <w:color w:val="auto"/>
          <w:kern w:val="0"/>
          <w:sz w:val="32"/>
          <w:szCs w:val="32"/>
        </w:rPr>
        <w:t>园区事故现场应急指挥部有权做出与事故处理无关人员的撤离，或全部人员撤离的命令，并指挥协调各企业完成本企业内的人员疏散活动。</w:t>
      </w:r>
    </w:p>
    <w:p w14:paraId="69E057C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在发生严重的泄漏事故时，应依据当时的风向选择确定上风向的一侧作为紧急集合地点，等待进一步的指令。当经过积极的灾害急救处理后，灾情仍无法控制的，由事故应急指挥小组下达撤离命令后，现场所有人员按自己所处位置，选择特定路线撤离，并引导现场其他人员迅速撤离现场。</w:t>
      </w:r>
    </w:p>
    <w:p w14:paraId="4BA4F9A7">
      <w:pPr>
        <w:pStyle w:val="31"/>
        <w:keepNext w:val="0"/>
        <w:keepLines w:val="0"/>
        <w:pageBreakBefore w:val="0"/>
        <w:widowControl/>
        <w:kinsoku/>
        <w:wordWrap/>
        <w:overflowPunct/>
        <w:topLinePunct w:val="0"/>
        <w:autoSpaceDE/>
        <w:autoSpaceDN/>
        <w:bidi w:val="0"/>
        <w:adjustRightInd/>
        <w:snapToGrid/>
        <w:spacing w:line="600" w:lineRule="exact"/>
        <w:ind w:firstLine="562"/>
        <w:textAlignment w:val="auto"/>
        <w:outlineLvl w:val="1"/>
        <w:rPr>
          <w:rFonts w:hint="eastAsia" w:ascii="黑体" w:hAnsi="黑体" w:eastAsia="黑体" w:cs="黑体"/>
          <w:b w:val="0"/>
          <w:bCs w:val="0"/>
          <w:color w:val="auto"/>
          <w:sz w:val="32"/>
          <w:szCs w:val="32"/>
        </w:rPr>
      </w:pPr>
      <w:bookmarkStart w:id="486" w:name="_Toc4766"/>
      <w:bookmarkStart w:id="487" w:name="_Toc24736"/>
      <w:bookmarkStart w:id="488" w:name="_Toc32552"/>
      <w:bookmarkStart w:id="489" w:name="_Toc22820"/>
      <w:bookmarkStart w:id="490" w:name="_Toc27087"/>
      <w:bookmarkStart w:id="491" w:name="_Toc1340"/>
      <w:r>
        <w:rPr>
          <w:rFonts w:hint="eastAsia" w:ascii="黑体" w:hAnsi="黑体" w:eastAsia="黑体" w:cs="黑体"/>
          <w:b w:val="0"/>
          <w:bCs w:val="0"/>
          <w:color w:val="auto"/>
          <w:sz w:val="32"/>
          <w:szCs w:val="32"/>
        </w:rPr>
        <w:t>四、现场应急措施</w:t>
      </w:r>
      <w:bookmarkEnd w:id="486"/>
      <w:bookmarkEnd w:id="487"/>
      <w:bookmarkEnd w:id="488"/>
      <w:bookmarkEnd w:id="489"/>
      <w:bookmarkEnd w:id="490"/>
      <w:bookmarkEnd w:id="491"/>
    </w:p>
    <w:p w14:paraId="6C4EDEB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突发环境事故发生后，必须迅速展开应急救援工作，采取一定现场应急措施。企业级事故影响范围局限于企业车间内，应急救援以企业自救为主；若影响范围蔓延出企业厂区，需由园区管委会进行应急救援工作的指挥协调。若发生移动类事件，首先运输人员必须积极自救，同时应通知园区管委会，由园区管委会协调应急救援工作。</w:t>
      </w:r>
    </w:p>
    <w:p w14:paraId="31F2015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公共区域发生危险化学品、危险废物、消防废水泄漏可能进入污水、雨水管网，沿管网扩散至外环境；企业内发生危险化学品、危险废物、消防废水泄漏，首先应通过雨水、污水管网收集于企业应急事故池中，未收集部分可能沿管网扩散至外环境。若进入污水管网，应立即通知园区污水处理厂，收集至园区污水处理厂进行处理，</w:t>
      </w:r>
      <w:r>
        <w:rPr>
          <w:rFonts w:hint="eastAsia" w:ascii="仿宋_GB2312" w:hAnsi="仿宋_GB2312" w:eastAsia="仿宋_GB2312" w:cs="仿宋_GB2312"/>
          <w:color w:val="auto"/>
          <w:kern w:val="0"/>
          <w:sz w:val="32"/>
          <w:szCs w:val="32"/>
          <w:lang w:eastAsia="zh-CN"/>
        </w:rPr>
        <w:t>若</w:t>
      </w:r>
      <w:r>
        <w:rPr>
          <w:rFonts w:hint="default" w:ascii="仿宋_GB2312" w:hAnsi="仿宋_GB2312" w:eastAsia="仿宋_GB2312" w:cs="仿宋_GB2312"/>
          <w:color w:val="auto"/>
          <w:kern w:val="0"/>
          <w:sz w:val="32"/>
          <w:szCs w:val="32"/>
        </w:rPr>
        <w:t>在公共区域或企业危险品泄漏超出企业范围进入雨水管网，应将该区域雨水导入该片区应急事故池。避免沿雨水管网就近排至附近水体。</w:t>
      </w:r>
    </w:p>
    <w:p w14:paraId="11C8B10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492" w:name="_Toc25610994"/>
      <w:bookmarkEnd w:id="492"/>
      <w:bookmarkStart w:id="493" w:name="_Toc15053303"/>
      <w:bookmarkEnd w:id="493"/>
      <w:bookmarkStart w:id="494" w:name="_Toc8206"/>
      <w:bookmarkStart w:id="495" w:name="_Toc19991"/>
      <w:bookmarkStart w:id="496" w:name="_Toc4903"/>
      <w:bookmarkStart w:id="497" w:name="_Toc23092"/>
      <w:bookmarkStart w:id="498" w:name="_Toc3745"/>
      <w:bookmarkStart w:id="499" w:name="_Toc15324"/>
      <w:bookmarkStart w:id="500" w:name="_Toc11318"/>
      <w:r>
        <w:rPr>
          <w:rFonts w:hint="eastAsia" w:ascii="楷体_GB2312" w:hAnsi="楷体_GB2312" w:eastAsia="楷体_GB2312" w:cs="楷体_GB2312"/>
          <w:b/>
          <w:bCs/>
          <w:color w:val="auto"/>
          <w:kern w:val="0"/>
          <w:sz w:val="32"/>
          <w:szCs w:val="32"/>
        </w:rPr>
        <w:t>1</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园区大气污染事件应急处置措施</w:t>
      </w:r>
      <w:bookmarkEnd w:id="494"/>
      <w:bookmarkEnd w:id="495"/>
      <w:bookmarkEnd w:id="496"/>
      <w:bookmarkEnd w:id="497"/>
      <w:bookmarkEnd w:id="498"/>
      <w:bookmarkEnd w:id="499"/>
      <w:bookmarkEnd w:id="500"/>
    </w:p>
    <w:p w14:paraId="7D8F644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501" w:name="_Toc29832"/>
      <w:bookmarkStart w:id="502" w:name="_Toc13100"/>
      <w:bookmarkStart w:id="503" w:name="_Toc26644"/>
      <w:bookmarkStart w:id="504" w:name="_Toc7154"/>
      <w:bookmarkStart w:id="505" w:name="_Toc5849"/>
      <w:bookmarkStart w:id="506" w:name="_Toc11621"/>
      <w:r>
        <w:rPr>
          <w:rFonts w:hint="default" w:ascii="仿宋_GB2312" w:hAnsi="仿宋_GB2312" w:eastAsia="仿宋_GB2312" w:cs="仿宋_GB2312"/>
          <w:b/>
          <w:bCs/>
          <w:color w:val="auto"/>
          <w:kern w:val="0"/>
          <w:sz w:val="32"/>
          <w:szCs w:val="32"/>
        </w:rPr>
        <w:t>（1）易燃物质火灾、燃烧、爆炸应急处置措施</w:t>
      </w:r>
      <w:bookmarkEnd w:id="501"/>
      <w:bookmarkEnd w:id="502"/>
      <w:bookmarkEnd w:id="503"/>
      <w:bookmarkEnd w:id="504"/>
      <w:bookmarkEnd w:id="505"/>
      <w:bookmarkEnd w:id="506"/>
    </w:p>
    <w:p w14:paraId="5402F3F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①撤离周围易燃可燃物品等控制火势。火灾蔓延扩大，企业或园区公共区域及周围人员应该撤离至安全区域；</w:t>
      </w:r>
    </w:p>
    <w:p w14:paraId="29F60D0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②穿好消防服和口罩利用厂区或园区公共区域的消防灭火设施消防水带、消防车、灭火器等设施进行灭火，另通知当地的消防部门进行灭火；</w:t>
      </w:r>
    </w:p>
    <w:p w14:paraId="26B726A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③利用自身污水处理设施对消防废水进行处理或利用槽罐车将消防废水拖至区域污水处理设施处理达标后外排，将火灾过程中产生的沉渣进行清运或无害化处理。</w:t>
      </w:r>
    </w:p>
    <w:p w14:paraId="67E1D826">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default" w:ascii="黑体" w:hAnsi="黑体" w:eastAsia="黑体" w:cs="黑体"/>
          <w:b w:val="0"/>
          <w:bCs w:val="0"/>
          <w:color w:val="auto"/>
          <w:sz w:val="32"/>
          <w:szCs w:val="32"/>
          <w:shd w:val="clear" w:color="auto" w:fill="FFFFFF"/>
        </w:rPr>
      </w:pPr>
      <w:r>
        <w:rPr>
          <w:rFonts w:hint="default"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7-2</w:t>
      </w:r>
      <w:r>
        <w:rPr>
          <w:rFonts w:hint="default" w:ascii="黑体" w:hAnsi="黑体" w:eastAsia="黑体" w:cs="黑体"/>
          <w:b w:val="0"/>
          <w:bCs w:val="0"/>
          <w:color w:val="auto"/>
          <w:sz w:val="32"/>
          <w:szCs w:val="32"/>
          <w:shd w:val="clear" w:color="auto" w:fill="FFFFFF"/>
        </w:rPr>
        <w:t xml:space="preserve">  园区易燃物质火灾、燃烧、爆炸应急处置措施</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1581"/>
        <w:gridCol w:w="6565"/>
      </w:tblGrid>
      <w:tr w14:paraId="7E6F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3" w:hRule="atLeast"/>
        </w:trPr>
        <w:tc>
          <w:tcPr>
            <w:tcW w:w="922" w:type="dxa"/>
            <w:vAlign w:val="center"/>
          </w:tcPr>
          <w:p w14:paraId="42C6D2B7">
            <w:pPr>
              <w:spacing w:line="400" w:lineRule="exact"/>
              <w:ind w:firstLine="0" w:firstLineChars="0"/>
              <w:jc w:val="center"/>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序号</w:t>
            </w:r>
          </w:p>
        </w:tc>
        <w:tc>
          <w:tcPr>
            <w:tcW w:w="1593" w:type="dxa"/>
            <w:vAlign w:val="center"/>
          </w:tcPr>
          <w:p w14:paraId="2ACAB8EC">
            <w:pPr>
              <w:spacing w:line="400" w:lineRule="exact"/>
              <w:ind w:firstLine="0" w:firstLineChars="0"/>
              <w:jc w:val="center"/>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污染物</w:t>
            </w:r>
          </w:p>
        </w:tc>
        <w:tc>
          <w:tcPr>
            <w:tcW w:w="6658" w:type="dxa"/>
            <w:vAlign w:val="center"/>
          </w:tcPr>
          <w:p w14:paraId="6D0B9C53">
            <w:pPr>
              <w:spacing w:line="400" w:lineRule="exact"/>
              <w:ind w:firstLine="0" w:firstLineChars="0"/>
              <w:jc w:val="center"/>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现场处理措施</w:t>
            </w:r>
          </w:p>
        </w:tc>
      </w:tr>
      <w:tr w14:paraId="6C379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1DAF424A">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1</w:t>
            </w:r>
          </w:p>
        </w:tc>
        <w:tc>
          <w:tcPr>
            <w:tcW w:w="1593" w:type="dxa"/>
            <w:vAlign w:val="center"/>
          </w:tcPr>
          <w:p w14:paraId="1AB940FD">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油类：煤油、柴油</w:t>
            </w:r>
          </w:p>
        </w:tc>
        <w:tc>
          <w:tcPr>
            <w:tcW w:w="6658" w:type="dxa"/>
            <w:vAlign w:val="center"/>
          </w:tcPr>
          <w:p w14:paraId="71FC7B3F">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①及时寻找泄漏点，对储罐进行堵漏，切断泄漏源；</w:t>
            </w:r>
          </w:p>
          <w:p w14:paraId="4500C481">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②利用储罐区的围堰将泄漏的油类进行收集，将围堰内收集的泄漏液态物料导至空罐内，能回收利用的进行相应的回收利用，不能回收利用的交由有资质的单位进行处理；</w:t>
            </w:r>
          </w:p>
          <w:p w14:paraId="0581774B">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③切断火源关闭手机及其它明火，采取相应的堵漏和抢修措施，加强冷却，撤离周围易燃可燃物品等办法控制火势</w:t>
            </w:r>
            <w:r>
              <w:rPr>
                <w:rFonts w:hint="eastAsia" w:ascii="仿宋_GB2312" w:hAnsi="仿宋_GB2312" w:eastAsia="仿宋_GB2312" w:cs="仿宋_GB2312"/>
                <w:bCs/>
                <w:color w:val="auto"/>
                <w:sz w:val="32"/>
                <w:szCs w:val="32"/>
                <w:lang w:eastAsia="zh-CN"/>
              </w:rPr>
              <w:t>，使</w:t>
            </w:r>
            <w:r>
              <w:rPr>
                <w:rFonts w:hint="eastAsia" w:ascii="仿宋_GB2312" w:hAnsi="仿宋_GB2312" w:eastAsia="仿宋_GB2312" w:cs="仿宋_GB2312"/>
                <w:bCs/>
                <w:color w:val="auto"/>
                <w:sz w:val="32"/>
                <w:szCs w:val="32"/>
              </w:rPr>
              <w:t>用抗溶性泡沫、干粉、二氧化碳等灭火器材进行灭火，同时对储罐进行冷却，可能的话将容器从火场移至空旷处；</w:t>
            </w:r>
          </w:p>
          <w:p w14:paraId="491E5B3F">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④对消防废水进行拦截、引流处置。将消防废水</w:t>
            </w:r>
            <w:r>
              <w:rPr>
                <w:rFonts w:hint="eastAsia" w:ascii="仿宋_GB2312" w:hAnsi="仿宋_GB2312" w:eastAsia="仿宋_GB2312" w:cs="仿宋_GB2312"/>
                <w:bCs/>
                <w:color w:val="auto"/>
                <w:sz w:val="32"/>
                <w:szCs w:val="32"/>
                <w:lang w:eastAsia="zh-CN"/>
              </w:rPr>
              <w:t>引入</w:t>
            </w:r>
            <w:r>
              <w:rPr>
                <w:rFonts w:hint="eastAsia" w:ascii="仿宋_GB2312" w:hAnsi="仿宋_GB2312" w:eastAsia="仿宋_GB2312" w:cs="仿宋_GB2312"/>
                <w:bCs/>
                <w:color w:val="auto"/>
                <w:sz w:val="32"/>
                <w:szCs w:val="32"/>
              </w:rPr>
              <w:t>消防废水收集池、事故池，待事后抽走处置，若厂区没有设置消防废水收集池，在其排出厂区前设置拦截、引流设施处置，待事后用槽罐车将消防废水送</w:t>
            </w:r>
            <w:r>
              <w:rPr>
                <w:rFonts w:hint="eastAsia" w:ascii="仿宋_GB2312" w:hAnsi="仿宋_GB2312" w:eastAsia="仿宋_GB2312" w:cs="仿宋_GB2312"/>
                <w:bCs/>
                <w:color w:val="auto"/>
                <w:sz w:val="32"/>
                <w:szCs w:val="32"/>
                <w:lang w:eastAsia="zh-CN"/>
              </w:rPr>
              <w:t>至</w:t>
            </w:r>
            <w:r>
              <w:rPr>
                <w:rFonts w:hint="eastAsia" w:ascii="仿宋_GB2312" w:hAnsi="仿宋_GB2312" w:eastAsia="仿宋_GB2312" w:cs="仿宋_GB2312"/>
                <w:bCs/>
                <w:color w:val="auto"/>
                <w:sz w:val="32"/>
                <w:szCs w:val="32"/>
              </w:rPr>
              <w:t>园区污水处理厂处理。</w:t>
            </w:r>
          </w:p>
          <w:p w14:paraId="361A9BAD">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⑤将消防废水送至园区污水处理厂处理，剩余少量的残液用活性炭、棉纱、吸油毡、砂土等惰性材料对泄漏物料进行吸附，对吸附过程中产生的废活性炭、废棉纱、吸油毡砂土等惰性材料暂存于危废暂存间并委托有资质的机构依法处理处置；</w:t>
            </w:r>
          </w:p>
          <w:p w14:paraId="10964F08">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⑥如消防废水进入雨水管网，则用沙袋堵住雨水进入区域地表水系统排放口，对污染物进行拦截，用应急泵将消防废水抽回企业事故池或污水处理站处理。</w:t>
            </w:r>
          </w:p>
        </w:tc>
      </w:tr>
      <w:tr w14:paraId="2B1D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2C28D7BA">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w:t>
            </w:r>
          </w:p>
        </w:tc>
        <w:tc>
          <w:tcPr>
            <w:tcW w:w="1593" w:type="dxa"/>
            <w:vAlign w:val="center"/>
          </w:tcPr>
          <w:p w14:paraId="08E76107">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气态物质：天然气、石油气</w:t>
            </w:r>
          </w:p>
        </w:tc>
        <w:tc>
          <w:tcPr>
            <w:tcW w:w="6658" w:type="dxa"/>
            <w:vAlign w:val="center"/>
          </w:tcPr>
          <w:p w14:paraId="64C1C79F">
            <w:pPr>
              <w:keepNext w:val="0"/>
              <w:keepLines w:val="0"/>
              <w:pageBreakBefore w:val="0"/>
              <w:widowControl w:val="0"/>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切断火源。戴自给式呼吸器，穿一般消防防护服。合理通风，禁止泄漏物进入受限制的空间(如下水道等)，以避免发生爆炸。切断气源，喷洒雾状水稀释，抽排(室内)或强力通风(室外)。漏气容器不能再用，且要经过技术处理以清除可能剩下的气体。</w:t>
            </w:r>
          </w:p>
        </w:tc>
      </w:tr>
      <w:tr w14:paraId="2EC1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5579643A">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3</w:t>
            </w:r>
          </w:p>
        </w:tc>
        <w:tc>
          <w:tcPr>
            <w:tcW w:w="1593" w:type="dxa"/>
            <w:vAlign w:val="center"/>
          </w:tcPr>
          <w:p w14:paraId="5C8CC1F5">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油漆、稀释剂胶水、油墨等有机易燃液体</w:t>
            </w:r>
          </w:p>
        </w:tc>
        <w:tc>
          <w:tcPr>
            <w:tcW w:w="6658" w:type="dxa"/>
            <w:vAlign w:val="center"/>
          </w:tcPr>
          <w:p w14:paraId="19307B93">
            <w:pPr>
              <w:keepNext w:val="0"/>
              <w:keepLines w:val="0"/>
              <w:pageBreakBefore w:val="0"/>
              <w:widowControl w:val="0"/>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①迅速撤离泄漏污染区人员至安全区，并进行隔离，严格限制出入。切断火源，应急处理人员戴自给呼吸器，穿消防防护服；</w:t>
            </w:r>
          </w:p>
          <w:p w14:paraId="229B63FE">
            <w:pPr>
              <w:keepNext w:val="0"/>
              <w:keepLines w:val="0"/>
              <w:pageBreakBefore w:val="0"/>
              <w:widowControl w:val="0"/>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bCs/>
                <w:color w:val="auto"/>
                <w:spacing w:val="-6"/>
                <w:sz w:val="32"/>
                <w:szCs w:val="32"/>
              </w:rPr>
            </w:pPr>
            <w:r>
              <w:rPr>
                <w:rFonts w:hint="eastAsia" w:ascii="仿宋_GB2312" w:hAnsi="仿宋_GB2312" w:eastAsia="仿宋_GB2312" w:cs="仿宋_GB2312"/>
                <w:bCs/>
                <w:color w:val="auto"/>
                <w:spacing w:val="-6"/>
                <w:sz w:val="32"/>
                <w:szCs w:val="32"/>
              </w:rPr>
              <w:t>②用泡沫覆盖，降低蒸气灾害，尽可能将容器从火场移至空旷处；</w:t>
            </w:r>
          </w:p>
          <w:p w14:paraId="01A7FFEC">
            <w:pPr>
              <w:keepNext w:val="0"/>
              <w:keepLines w:val="0"/>
              <w:pageBreakBefore w:val="0"/>
              <w:widowControl w:val="0"/>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③用抗溶性泡沫、干粉、二氧化碳、砂土等灭火器材进行灭火；将消防废水送</w:t>
            </w:r>
            <w:r>
              <w:rPr>
                <w:rFonts w:hint="eastAsia" w:ascii="仿宋_GB2312" w:hAnsi="仿宋_GB2312" w:eastAsia="仿宋_GB2312" w:cs="仿宋_GB2312"/>
                <w:bCs/>
                <w:color w:val="auto"/>
                <w:sz w:val="32"/>
                <w:szCs w:val="32"/>
                <w:lang w:eastAsia="zh-CN"/>
              </w:rPr>
              <w:t>至</w:t>
            </w:r>
            <w:r>
              <w:rPr>
                <w:rFonts w:hint="eastAsia" w:ascii="仿宋_GB2312" w:hAnsi="仿宋_GB2312" w:eastAsia="仿宋_GB2312" w:cs="仿宋_GB2312"/>
                <w:bCs/>
                <w:color w:val="auto"/>
                <w:sz w:val="32"/>
                <w:szCs w:val="32"/>
              </w:rPr>
              <w:t>园区污水处理厂处理。</w:t>
            </w:r>
          </w:p>
        </w:tc>
      </w:tr>
    </w:tbl>
    <w:p w14:paraId="51CF1553">
      <w:pPr>
        <w:pStyle w:val="29"/>
        <w:ind w:firstLine="843" w:firstLineChars="400"/>
        <w:jc w:val="center"/>
        <w:rPr>
          <w:rFonts w:hint="default" w:ascii="Times New Roman" w:hAnsi="Times New Roman" w:eastAsia="宋体" w:cs="Times New Roman"/>
          <w:b/>
          <w:bCs/>
          <w:color w:val="auto"/>
          <w:szCs w:val="21"/>
          <w:shd w:val="clear" w:color="auto" w:fill="FFFFFF"/>
        </w:rPr>
      </w:pPr>
    </w:p>
    <w:p w14:paraId="6B818BF2">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default" w:ascii="黑体" w:hAnsi="黑体" w:eastAsia="黑体" w:cs="黑体"/>
          <w:b w:val="0"/>
          <w:bCs w:val="0"/>
          <w:color w:val="auto"/>
          <w:sz w:val="32"/>
          <w:szCs w:val="32"/>
          <w:shd w:val="clear" w:color="auto" w:fill="FFFFFF"/>
        </w:rPr>
      </w:pPr>
      <w:r>
        <w:rPr>
          <w:rFonts w:hint="default"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7-3</w:t>
      </w:r>
      <w:r>
        <w:rPr>
          <w:rFonts w:hint="default" w:ascii="黑体" w:hAnsi="黑体" w:eastAsia="黑体" w:cs="黑体"/>
          <w:b w:val="0"/>
          <w:bCs w:val="0"/>
          <w:color w:val="auto"/>
          <w:sz w:val="32"/>
          <w:szCs w:val="32"/>
          <w:shd w:val="clear" w:color="auto" w:fill="FFFFFF"/>
        </w:rPr>
        <w:t xml:space="preserve">  易燃物质火灾、燃烧、爆炸典型事件应急卡</w:t>
      </w:r>
    </w:p>
    <w:p w14:paraId="659641D4">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default" w:ascii="黑体" w:hAnsi="黑体" w:eastAsia="黑体" w:cs="黑体"/>
          <w:b w:val="0"/>
          <w:bCs w:val="0"/>
          <w:color w:val="auto"/>
          <w:sz w:val="32"/>
          <w:szCs w:val="32"/>
          <w:shd w:val="clear" w:color="auto" w:fill="FFFFFF"/>
        </w:rPr>
      </w:pPr>
      <w:r>
        <w:rPr>
          <w:rFonts w:hint="default" w:ascii="黑体" w:hAnsi="黑体" w:eastAsia="黑体" w:cs="黑体"/>
          <w:b w:val="0"/>
          <w:bCs w:val="0"/>
          <w:color w:val="auto"/>
          <w:sz w:val="32"/>
          <w:szCs w:val="32"/>
          <w:shd w:val="clear" w:color="auto" w:fill="FFFFFF"/>
        </w:rPr>
        <w:t>（汽油、柴油等油类风险物质泄漏引起火灾爆炸事故应急卡）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07DB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419126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事故</w:t>
            </w:r>
          </w:p>
          <w:p w14:paraId="0F2255C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06640558">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（1）风险物质：柴油、煤油等油类物质。</w:t>
            </w:r>
          </w:p>
          <w:p w14:paraId="0357E769">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（2）风险单元：柴油、煤油储罐或仓库。</w:t>
            </w:r>
          </w:p>
          <w:p w14:paraId="28F4666A">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风险特征：①高度易燃，蒸气与空气可形成爆炸性混合物，遇明火、高热极易燃烧爆炸，高浓度吸入汽油蒸气引起急性中毒，表现为中毒性脑病，出现精神症状、意识障碍。极高浓度吸入引起意识突然丧失、反射性呼吸停止。误将汽油吸入呼吸道可引起吸入性肺炎；②柴油遇明火、高热或与氧化剂接触，有引起燃烧爆炸的危险；对眼睛、皮肤、粘膜和上呼吸道具有强烈刺激作用。吸入后，可引起喉、支气管的</w:t>
            </w:r>
            <w:r>
              <w:rPr>
                <w:rFonts w:hint="eastAsia" w:ascii="仿宋_GB2312" w:hAnsi="仿宋_GB2312" w:eastAsia="仿宋_GB2312" w:cs="仿宋_GB2312"/>
                <w:color w:val="auto"/>
                <w:kern w:val="0"/>
                <w:sz w:val="32"/>
                <w:szCs w:val="32"/>
                <w:lang w:eastAsia="zh-CN"/>
              </w:rPr>
              <w:t>炎症</w:t>
            </w:r>
            <w:r>
              <w:rPr>
                <w:rFonts w:hint="eastAsia" w:ascii="仿宋_GB2312" w:hAnsi="仿宋_GB2312" w:eastAsia="仿宋_GB2312" w:cs="仿宋_GB2312"/>
                <w:color w:val="auto"/>
                <w:kern w:val="0"/>
                <w:sz w:val="32"/>
                <w:szCs w:val="32"/>
              </w:rPr>
              <w:t>、水肿、痉挛、化学性肺炎或肺水肿。接触后可引起燃灼感、咳嗽、喘息、气短、头痛、恶心和呕吐等。</w:t>
            </w:r>
          </w:p>
        </w:tc>
      </w:tr>
      <w:tr w14:paraId="586B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AE3E8A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应急处置措施</w:t>
            </w:r>
          </w:p>
        </w:tc>
        <w:tc>
          <w:tcPr>
            <w:tcW w:w="8140" w:type="dxa"/>
            <w:vAlign w:val="center"/>
          </w:tcPr>
          <w:p w14:paraId="3E4FE80C">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（1）确认发生油罐火灾爆炸事件后</w:t>
            </w:r>
            <w:r>
              <w:rPr>
                <w:rFonts w:hint="eastAsia" w:ascii="仿宋_GB2312" w:hAnsi="仿宋_GB2312" w:eastAsia="仿宋_GB2312" w:cs="仿宋_GB2312"/>
                <w:color w:val="auto"/>
                <w:kern w:val="0"/>
                <w:sz w:val="32"/>
                <w:szCs w:val="32"/>
                <w:lang w:eastAsia="zh-CN"/>
              </w:rPr>
              <w:t>，根</w:t>
            </w:r>
            <w:r>
              <w:rPr>
                <w:rFonts w:hint="eastAsia" w:ascii="仿宋_GB2312" w:hAnsi="仿宋_GB2312" w:eastAsia="仿宋_GB2312" w:cs="仿宋_GB2312"/>
                <w:color w:val="auto"/>
                <w:kern w:val="0"/>
                <w:sz w:val="32"/>
                <w:szCs w:val="32"/>
              </w:rPr>
              <w:t>据现场着火的能量、面积、风向等情况设立隔离区，防止无关人员进入事发区域。</w:t>
            </w:r>
          </w:p>
          <w:p w14:paraId="015E7DA9">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切断火源关闭手机及其它明火，采取相应的堵漏和抢修措施，加强冷却，撤离周围易燃可燃物品等办法控制火势，对着火罐附近的储罐进行冷却，可能的话将容器从火场移至空旷处用企业现有的消防设施进行灭火。</w:t>
            </w:r>
          </w:p>
          <w:p w14:paraId="5EC91325">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（3）将灭火过程中产生的消防废水，利用储罐区围堰、应急处理池对消防废水进行储存，将消防废水切入厂区污水处理设施处理达标后外排，如消防废水量过大，不能及时处理，将消防废水送</w:t>
            </w:r>
            <w:r>
              <w:rPr>
                <w:rFonts w:hint="eastAsia" w:ascii="仿宋_GB2312" w:hAnsi="仿宋_GB2312" w:eastAsia="仿宋_GB2312" w:cs="仿宋_GB2312"/>
                <w:color w:val="auto"/>
                <w:kern w:val="0"/>
                <w:sz w:val="32"/>
                <w:szCs w:val="32"/>
                <w:lang w:eastAsia="zh-CN"/>
              </w:rPr>
              <w:t>至</w:t>
            </w:r>
            <w:r>
              <w:rPr>
                <w:rFonts w:hint="eastAsia" w:ascii="仿宋_GB2312" w:hAnsi="仿宋_GB2312" w:eastAsia="仿宋_GB2312" w:cs="仿宋_GB2312"/>
                <w:color w:val="auto"/>
                <w:kern w:val="0"/>
                <w:sz w:val="32"/>
                <w:szCs w:val="32"/>
              </w:rPr>
              <w:t>园区污水处理厂处理，剩余少量的残液用活性炭、棉纱、吸油毡、砂土等惰性材料对泄漏物料进行吸附，对吸附过程中产生的废活性炭、废棉纱、吸油毡砂土等惰性材料委托有资质的机构依法处理处置。</w:t>
            </w:r>
          </w:p>
          <w:p w14:paraId="50C87EBB">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（5）如消防废水进入污水管道，应第一时间通知园区污水处理厂，提醒其做好监测及应对工作，确保污水处理厂正常运行，保证污水处理后达标排放；</w:t>
            </w:r>
          </w:p>
          <w:p w14:paraId="542BD42A">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（6）如消防废水进入雨水管网，则用沙袋堵住雨水进入区域地表水系统排放口，对污染物进行拦截，用应急泵将消防废水抽回企业事故池或污水处理站处理；</w:t>
            </w:r>
          </w:p>
        </w:tc>
      </w:tr>
      <w:tr w14:paraId="20AC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552AE2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414CEE6F">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370A639D">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大气监测因子：CO；</w:t>
            </w:r>
          </w:p>
          <w:p w14:paraId="7E80C8F5">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大气监测布点：发生油品储罐火灾爆炸点的上、下风向200m处。</w:t>
            </w:r>
          </w:p>
          <w:p w14:paraId="560E8B8F">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监测频次：两次监测浓度均低于同等级空气质量标准值或已接近可忽略水平为止。</w:t>
            </w:r>
          </w:p>
        </w:tc>
      </w:tr>
      <w:tr w14:paraId="148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A404E4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0A89207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3D618574">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防火服、挖机、防爆组合工具、空气呼吸器、可燃气体报警器、风向标、堵漏工具、砂土、围油栏、吸油棉、吸油垫、拦油绳、撇油器、消油剂等。</w:t>
            </w:r>
          </w:p>
        </w:tc>
      </w:tr>
      <w:tr w14:paraId="678E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765F0D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后勤</w:t>
            </w:r>
          </w:p>
          <w:p w14:paraId="13CB574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保障</w:t>
            </w:r>
          </w:p>
        </w:tc>
        <w:tc>
          <w:tcPr>
            <w:tcW w:w="8140" w:type="dxa"/>
            <w:vAlign w:val="center"/>
          </w:tcPr>
          <w:p w14:paraId="143EB932">
            <w:pPr>
              <w:keepNext w:val="0"/>
              <w:keepLines w:val="0"/>
              <w:pageBreakBefore w:val="0"/>
              <w:widowControl/>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窒息救治方法</w:t>
            </w:r>
            <w:r>
              <w:rPr>
                <w:rFonts w:hint="eastAsia" w:ascii="仿宋_GB2312" w:hAnsi="仿宋_GB2312" w:eastAsia="仿宋_GB2312" w:cs="仿宋_GB2312"/>
                <w:color w:val="auto"/>
                <w:kern w:val="0"/>
                <w:sz w:val="32"/>
                <w:szCs w:val="32"/>
              </w:rPr>
              <w:t>：将伤员抬到空气新鲜流通的地方静息，尽量远离火源。同时解开衣服、裤带，放低头部，冬天注意保暖。并立即作口对口人工呼吸、胸外心脏按压，以复苏心肺功能，然后给氧吸入，以高压氧气为最好。迅速与医生联系送往医院救治。</w:t>
            </w:r>
          </w:p>
          <w:p w14:paraId="3C9D2CAF">
            <w:pPr>
              <w:keepNext w:val="0"/>
              <w:keepLines w:val="0"/>
              <w:pageBreakBefore w:val="0"/>
              <w:widowControl/>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中毒救治方法</w:t>
            </w:r>
            <w:r>
              <w:rPr>
                <w:rFonts w:hint="eastAsia" w:ascii="仿宋_GB2312" w:hAnsi="仿宋_GB2312" w:eastAsia="仿宋_GB2312" w:cs="仿宋_GB2312"/>
                <w:color w:val="auto"/>
                <w:kern w:val="0"/>
                <w:sz w:val="32"/>
                <w:szCs w:val="32"/>
              </w:rPr>
              <w:t>：将伤员抬到空气新鲜流通的地方静息，尽量远离火源。同时解开衣服、裤带，放低头部，冬天注意保暖。若伤员呼吸停止，应立即对口人工呼吸、胸外心脏按压，以复苏心肺功能。也可采用针刺、掐压人中、十宣等穴位促醒。有条件的立即给氧吸入，以高压氧气为最好。中毒症状较轻的伤员，迅速与医生联系送往医院救治。</w:t>
            </w:r>
          </w:p>
          <w:p w14:paraId="47EDBCCF">
            <w:pPr>
              <w:keepNext w:val="0"/>
              <w:keepLines w:val="0"/>
              <w:pageBreakBefore w:val="0"/>
              <w:widowControl/>
              <w:kinsoku/>
              <w:wordWrap/>
              <w:overflowPunct/>
              <w:topLinePunct w:val="0"/>
              <w:autoSpaceDE/>
              <w:autoSpaceDN/>
              <w:bidi w:val="0"/>
              <w:adjustRightInd/>
              <w:snapToGrid/>
              <w:spacing w:line="38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烧伤救治方法</w:t>
            </w:r>
            <w:r>
              <w:rPr>
                <w:rFonts w:hint="eastAsia" w:ascii="仿宋_GB2312" w:hAnsi="仿宋_GB2312" w:eastAsia="仿宋_GB2312" w:cs="仿宋_GB2312"/>
                <w:color w:val="auto"/>
                <w:kern w:val="0"/>
                <w:sz w:val="32"/>
                <w:szCs w:val="32"/>
              </w:rPr>
              <w:t>：尽快脱去着火或沸液浸渍的衣服，特别是化纤衣服。以免着火衣服和衣服上的热液继续作用，使创面加大加深。热力烧伤后及时冷疗可防止热力继续作用于创面使其加深，并可减轻疼痛、减少渗出和水肿。将烧伤创面在自来水</w:t>
            </w:r>
            <w:r>
              <w:rPr>
                <w:rFonts w:hint="eastAsia" w:ascii="仿宋_GB2312" w:hAnsi="仿宋_GB2312" w:eastAsia="仿宋_GB2312" w:cs="仿宋_GB2312"/>
                <w:color w:val="auto"/>
                <w:kern w:val="0"/>
                <w:sz w:val="32"/>
                <w:szCs w:val="32"/>
                <w:lang w:eastAsia="zh-CN"/>
              </w:rPr>
              <w:t>龙头</w:t>
            </w:r>
            <w:r>
              <w:rPr>
                <w:rFonts w:hint="eastAsia" w:ascii="仿宋_GB2312" w:hAnsi="仿宋_GB2312" w:eastAsia="仿宋_GB2312" w:cs="仿宋_GB2312"/>
                <w:color w:val="auto"/>
                <w:kern w:val="0"/>
                <w:sz w:val="32"/>
                <w:szCs w:val="32"/>
              </w:rPr>
              <w:t>下淋洗或浸入水中</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水温以伤员能忍受为准，一般为15～20℃，热天可在水中加冰块</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后用冷水浸湿的毛巾、纱垫等敷于创面。时间无明确限制，一般掌握到冷疗之后不再剧痛为止，多需0.5～1小时。冷疗一般适用于中小面积烧伤，特别是四肢的烧伤。对于大面积烧伤，冷疗并非完全禁忌，但由于大面积烧伤采用冷水浸泡，伤员多不能忍受，特别是寒冷季节。为了减轻寒冷的刺激，如无禁忌，可适当应用镇静剂。</w:t>
            </w:r>
          </w:p>
        </w:tc>
      </w:tr>
    </w:tbl>
    <w:p w14:paraId="777E2D1A">
      <w:pPr>
        <w:pStyle w:val="29"/>
        <w:keepNext w:val="0"/>
        <w:keepLines w:val="0"/>
        <w:pageBreakBefore w:val="0"/>
        <w:kinsoku/>
        <w:wordWrap/>
        <w:overflowPunct/>
        <w:topLinePunct w:val="0"/>
        <w:autoSpaceDE/>
        <w:autoSpaceDN/>
        <w:bidi w:val="0"/>
        <w:adjustRightInd/>
        <w:snapToGrid/>
        <w:spacing w:line="360" w:lineRule="exact"/>
        <w:ind w:firstLine="1285" w:firstLineChars="400"/>
        <w:jc w:val="center"/>
        <w:textAlignment w:val="auto"/>
        <w:rPr>
          <w:rFonts w:hint="eastAsia" w:ascii="仿宋_GB2312" w:hAnsi="仿宋_GB2312" w:eastAsia="仿宋_GB2312" w:cs="仿宋_GB2312"/>
          <w:b/>
          <w:bCs/>
          <w:color w:val="auto"/>
          <w:sz w:val="32"/>
          <w:szCs w:val="32"/>
          <w:shd w:val="clear" w:color="auto" w:fill="FFFFFF"/>
        </w:rPr>
      </w:pPr>
    </w:p>
    <w:p w14:paraId="58A5773D">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default" w:ascii="黑体" w:hAnsi="黑体" w:eastAsia="黑体" w:cs="黑体"/>
          <w:b w:val="0"/>
          <w:bCs w:val="0"/>
          <w:color w:val="auto"/>
          <w:sz w:val="32"/>
          <w:szCs w:val="32"/>
          <w:shd w:val="clear" w:color="auto" w:fill="FFFFFF"/>
        </w:rPr>
      </w:pPr>
      <w:r>
        <w:rPr>
          <w:rFonts w:hint="default"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7-4</w:t>
      </w:r>
      <w:r>
        <w:rPr>
          <w:rFonts w:hint="default" w:ascii="黑体" w:hAnsi="黑体" w:eastAsia="黑体" w:cs="黑体"/>
          <w:b w:val="0"/>
          <w:bCs w:val="0"/>
          <w:color w:val="auto"/>
          <w:sz w:val="32"/>
          <w:szCs w:val="32"/>
          <w:shd w:val="clear" w:color="auto" w:fill="FFFFFF"/>
        </w:rPr>
        <w:t xml:space="preserve">  易燃物质火灾、燃烧、爆炸典型事件应急卡</w:t>
      </w:r>
    </w:p>
    <w:p w14:paraId="53CEA807">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default" w:ascii="黑体" w:hAnsi="黑体" w:eastAsia="黑体" w:cs="黑体"/>
          <w:b w:val="0"/>
          <w:bCs w:val="0"/>
          <w:color w:val="auto"/>
          <w:sz w:val="32"/>
          <w:szCs w:val="32"/>
          <w:shd w:val="clear" w:color="auto" w:fill="FFFFFF"/>
        </w:rPr>
      </w:pPr>
      <w:r>
        <w:rPr>
          <w:rFonts w:hint="default" w:ascii="黑体" w:hAnsi="黑体" w:eastAsia="黑体" w:cs="黑体"/>
          <w:b w:val="0"/>
          <w:bCs w:val="0"/>
          <w:color w:val="auto"/>
          <w:sz w:val="32"/>
          <w:szCs w:val="32"/>
          <w:shd w:val="clear" w:color="auto" w:fill="FFFFFF"/>
        </w:rPr>
        <w:t>（园区及企业天然气管道、乙炔等泄漏及火灾爆炸事故应急卡）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7C27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026C9D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事故</w:t>
            </w:r>
          </w:p>
          <w:p w14:paraId="29CD880E">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19D2B97D">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（1）风险物质：天然气、丁烷</w:t>
            </w:r>
          </w:p>
          <w:p w14:paraId="7F11A1B7">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（2）风险单元：园区及企业天然气管道、丁烷储罐。</w:t>
            </w:r>
          </w:p>
          <w:p w14:paraId="6CD3BD10">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（3）风险特征：风险物质泄漏扩散至外环境，遇明火、高热能引起燃烧爆炸，燃烧爆炸会产生燃烧废气，燃烧的废气主要为CO。</w:t>
            </w:r>
          </w:p>
        </w:tc>
      </w:tr>
      <w:tr w14:paraId="63CA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18FB1E7">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2D3A62E4">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处置</w:t>
            </w:r>
          </w:p>
          <w:p w14:paraId="17AAB94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措施</w:t>
            </w:r>
          </w:p>
        </w:tc>
        <w:tc>
          <w:tcPr>
            <w:tcW w:w="8140" w:type="dxa"/>
          </w:tcPr>
          <w:p w14:paraId="76B1D37F">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风险物质泄漏，未发生火灾爆炸时：</w:t>
            </w:r>
          </w:p>
          <w:p w14:paraId="30F14F5D">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（1）发生事故，第一时间关闭泄漏气源，现场人员应立即报告应急指挥中心，指挥人员到达现场立即组织人员进行自救，防止事故扩大。并立即向消防机构报火警，并派人接应消防车辆，以及向园区管委会、</w:t>
            </w:r>
            <w:r>
              <w:rPr>
                <w:rFonts w:hint="eastAsia" w:ascii="仿宋_GB2312" w:hAnsi="仿宋_GB2312" w:eastAsia="仿宋_GB2312" w:cs="仿宋_GB2312"/>
                <w:color w:val="auto"/>
                <w:kern w:val="0"/>
                <w:sz w:val="32"/>
                <w:szCs w:val="32"/>
                <w:lang w:val="en-US" w:eastAsia="zh-CN"/>
              </w:rPr>
              <w:t>景德镇市昌江</w:t>
            </w:r>
            <w:r>
              <w:rPr>
                <w:rFonts w:hint="eastAsia" w:ascii="仿宋_GB2312" w:hAnsi="仿宋_GB2312" w:eastAsia="仿宋_GB2312" w:cs="仿宋_GB2312"/>
                <w:color w:val="auto"/>
                <w:kern w:val="0"/>
                <w:sz w:val="32"/>
                <w:szCs w:val="32"/>
              </w:rPr>
              <w:t>生态环境局、</w:t>
            </w:r>
            <w:r>
              <w:rPr>
                <w:rFonts w:hint="eastAsia" w:ascii="仿宋_GB2312" w:hAnsi="仿宋_GB2312" w:eastAsia="仿宋_GB2312" w:cs="仿宋_GB2312"/>
                <w:color w:val="auto"/>
                <w:kern w:val="0"/>
                <w:sz w:val="32"/>
                <w:szCs w:val="32"/>
                <w:lang w:val="en-US" w:eastAsia="zh-CN"/>
              </w:rPr>
              <w:t>昌江区</w:t>
            </w:r>
            <w:r>
              <w:rPr>
                <w:rFonts w:hint="eastAsia" w:ascii="仿宋_GB2312" w:hAnsi="仿宋_GB2312" w:eastAsia="仿宋_GB2312" w:cs="仿宋_GB2312"/>
                <w:color w:val="auto"/>
                <w:kern w:val="0"/>
                <w:sz w:val="32"/>
                <w:szCs w:val="32"/>
              </w:rPr>
              <w:t>应急管理局等相关部门报告，请求支援；</w:t>
            </w:r>
          </w:p>
          <w:p w14:paraId="5139F91E">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应急疏散组人员立即通知周边居民、社区，并通知停用一切明火，组织人员紧急从上风向撤离，到指示地点进行集合，清点人数并向应急指挥中心汇报，确保没有人员被困（或滞留）在生产区域。以泄漏源1000米为半径设立警戒线，现场主要出入点设人员把守，禁止一切与救援无关人员进入警戒区域；</w:t>
            </w:r>
          </w:p>
          <w:p w14:paraId="2CB7EBBD">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kern w:val="0"/>
                <w:sz w:val="32"/>
                <w:szCs w:val="32"/>
              </w:rPr>
              <w:t>（3）安排人员在入厂道路上引导外部救援单位车辆进入厂区。公安消防到来后，由公安等部门组织抽调力量负责组织实施，并维持员工集合点的治安秩序。</w:t>
            </w:r>
          </w:p>
          <w:p w14:paraId="14579585">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（4）应急人员要穿戴好防火服，使用防爆工具，做好个人防护。</w:t>
            </w:r>
          </w:p>
          <w:p w14:paraId="6B29C85B">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泄漏并着火：</w:t>
            </w:r>
          </w:p>
          <w:p w14:paraId="08300750">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（1）确认发生易燃气体泄漏并发生火灾爆炸事件后</w:t>
            </w:r>
            <w:r>
              <w:rPr>
                <w:rFonts w:hint="eastAsia" w:ascii="仿宋_GB2312" w:hAnsi="仿宋_GB2312" w:eastAsia="仿宋_GB2312" w:cs="仿宋_GB2312"/>
                <w:color w:val="auto"/>
                <w:kern w:val="0"/>
                <w:sz w:val="32"/>
                <w:szCs w:val="32"/>
                <w:lang w:eastAsia="zh-CN"/>
              </w:rPr>
              <w:t>，根</w:t>
            </w:r>
            <w:r>
              <w:rPr>
                <w:rFonts w:hint="eastAsia" w:ascii="仿宋_GB2312" w:hAnsi="仿宋_GB2312" w:eastAsia="仿宋_GB2312" w:cs="仿宋_GB2312"/>
                <w:color w:val="auto"/>
                <w:kern w:val="0"/>
                <w:sz w:val="32"/>
                <w:szCs w:val="32"/>
              </w:rPr>
              <w:t>据现场着火的能量、面积、风向等情况设立隔离区，疏散隔离区内人员并防止无关人员进入；</w:t>
            </w:r>
          </w:p>
          <w:p w14:paraId="55BEE18E">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（2）任何人发现火灾时，应立即采取一切可能的方法，如使用干粉灭火器、</w:t>
            </w:r>
            <w:r>
              <w:rPr>
                <w:rFonts w:hint="eastAsia" w:ascii="仿宋_GB2312" w:hAnsi="仿宋_GB2312" w:eastAsia="仿宋_GB2312" w:cs="仿宋_GB2312"/>
                <w:color w:val="auto"/>
                <w:kern w:val="0"/>
                <w:sz w:val="32"/>
                <w:szCs w:val="32"/>
                <w:lang w:eastAsia="zh-CN"/>
              </w:rPr>
              <w:t>连接</w:t>
            </w:r>
            <w:r>
              <w:rPr>
                <w:rFonts w:hint="eastAsia" w:ascii="仿宋_GB2312" w:hAnsi="仿宋_GB2312" w:eastAsia="仿宋_GB2312" w:cs="仿宋_GB2312"/>
                <w:color w:val="auto"/>
                <w:kern w:val="0"/>
                <w:sz w:val="32"/>
                <w:szCs w:val="32"/>
              </w:rPr>
              <w:t>消防栓水带直接灭火，天然气管道不能用水灭火，并迅速报告负责人；</w:t>
            </w:r>
          </w:p>
          <w:p w14:paraId="1E2734B3">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现场指挥人员通知各救援小组快速集结投入灭火行动，就近请求调动消防力量用抗溶性泡沫、二氧化碳等灭火器材进行灭火。救援人员应佩戴正压式呼吸器开展应急灭火行动。若事故现场继续蔓延扩大，按应急指挥人员要求，协调请求消防部门和社会专业应急救援队伍支援；</w:t>
            </w:r>
          </w:p>
          <w:p w14:paraId="5974689A">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（4）若火势太大，人员无法靠近且不在手提干粉灭火器的灭火距离范围内时，抢险灭火人员向上风向退出，保持距离并用消防水冷却相邻建筑或设备。</w:t>
            </w:r>
          </w:p>
        </w:tc>
      </w:tr>
      <w:tr w14:paraId="7D76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2946699">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6350DC5F">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监测</w:t>
            </w:r>
          </w:p>
          <w:p w14:paraId="3A89F181">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方案</w:t>
            </w:r>
          </w:p>
        </w:tc>
        <w:tc>
          <w:tcPr>
            <w:tcW w:w="8140" w:type="dxa"/>
            <w:vAlign w:val="center"/>
          </w:tcPr>
          <w:p w14:paraId="058832A1">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06A3423A">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大气监测因子：甲烷、丁烷等，发生火灾则加测CO；</w:t>
            </w:r>
          </w:p>
          <w:p w14:paraId="4E425E49">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监测布点：以事故地点为中心，在主导风向下风向影响区域等位置</w:t>
            </w:r>
            <w:r>
              <w:rPr>
                <w:rFonts w:hint="eastAsia" w:ascii="仿宋_GB2312" w:hAnsi="仿宋_GB2312" w:eastAsia="仿宋_GB2312" w:cs="仿宋_GB2312"/>
                <w:color w:val="auto"/>
                <w:kern w:val="0"/>
                <w:sz w:val="32"/>
                <w:szCs w:val="32"/>
                <w:lang w:eastAsia="zh-CN"/>
              </w:rPr>
              <w:t>设置</w:t>
            </w:r>
            <w:r>
              <w:rPr>
                <w:rFonts w:hint="eastAsia" w:ascii="仿宋_GB2312" w:hAnsi="仿宋_GB2312" w:eastAsia="仿宋_GB2312" w:cs="仿宋_GB2312"/>
                <w:color w:val="auto"/>
                <w:kern w:val="0"/>
                <w:sz w:val="32"/>
                <w:szCs w:val="32"/>
              </w:rPr>
              <w:t>监测点位，按50m～100m水平间隔布点采样；距事故发生地最近的居民住宅区或其他敏感区域也应布点采样；并在上风向设对照点。必要时可视情况增加点位数量。且采样过程中应注意风向的变化，及时调整采样点位置；</w:t>
            </w:r>
          </w:p>
          <w:p w14:paraId="37DD17F2">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监测频次：两次监测浓度均低于同等级水质标准值或已接近可忽略水平为止。</w:t>
            </w:r>
          </w:p>
        </w:tc>
      </w:tr>
      <w:tr w14:paraId="6EBF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1117D1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2273B4B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防护</w:t>
            </w:r>
          </w:p>
        </w:tc>
        <w:tc>
          <w:tcPr>
            <w:tcW w:w="8140" w:type="dxa"/>
            <w:vAlign w:val="center"/>
          </w:tcPr>
          <w:p w14:paraId="46858727">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（1）实施堵漏人员必须经过专门训练，并配备专门的堵漏器材和工具，作业时必须严格执行防火、防静电、防中毒等安全技术要求；</w:t>
            </w:r>
          </w:p>
          <w:p w14:paraId="1BEBD172">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（2）佩戴防毒面具。空气呼吸器、穿全密封阻燃防化服；</w:t>
            </w:r>
          </w:p>
          <w:p w14:paraId="30732EF5">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（3）根据现场情况确定堵漏方案、如现场情况变化，应重新制定方案，不得随意蛮干；</w:t>
            </w:r>
          </w:p>
          <w:p w14:paraId="6C57DD6A">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（4）事故救援应以人员安全为首要任务，在必要的情况下，应迅速撤离事故现场。</w:t>
            </w:r>
          </w:p>
        </w:tc>
      </w:tr>
      <w:tr w14:paraId="46FC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E70B03F">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22F4D4EF">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6CB4DC87">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可燃气体检测仪、泡沫、二氧化碳灭火器、正压式呼吸器、警戒线等</w:t>
            </w:r>
          </w:p>
        </w:tc>
      </w:tr>
      <w:tr w14:paraId="4859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9801BEA">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后勤</w:t>
            </w:r>
          </w:p>
          <w:p w14:paraId="72E14FA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保障</w:t>
            </w:r>
          </w:p>
        </w:tc>
        <w:tc>
          <w:tcPr>
            <w:tcW w:w="8140" w:type="dxa"/>
            <w:vAlign w:val="center"/>
          </w:tcPr>
          <w:p w14:paraId="33151684">
            <w:pPr>
              <w:keepNext w:val="0"/>
              <w:keepLines w:val="0"/>
              <w:pageBreakBefore w:val="0"/>
              <w:widowControl/>
              <w:kinsoku/>
              <w:wordWrap/>
              <w:overflowPunct/>
              <w:topLinePunct w:val="0"/>
              <w:autoSpaceDE/>
              <w:autoSpaceDN/>
              <w:bidi w:val="0"/>
              <w:adjustRightInd/>
              <w:snapToGrid/>
              <w:spacing w:line="42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窒息救治方法</w:t>
            </w:r>
            <w:r>
              <w:rPr>
                <w:rFonts w:hint="eastAsia" w:ascii="仿宋_GB2312" w:hAnsi="仿宋_GB2312" w:eastAsia="仿宋_GB2312" w:cs="仿宋_GB2312"/>
                <w:color w:val="auto"/>
                <w:kern w:val="0"/>
                <w:sz w:val="32"/>
                <w:szCs w:val="32"/>
              </w:rPr>
              <w:t>：将伤员抬到空气新鲜流通的地方静息，尽量远离火源。同时解开衣服、裤带，放低头部，冬天注意保暖。并立即作口对口人工呼吸、胸外心脏按压，以复苏心肺功能，然后给氧吸入，以高压氧气为最好。迅速与医生联系送往医院救治。</w:t>
            </w:r>
          </w:p>
          <w:p w14:paraId="2EFE6A1C">
            <w:pPr>
              <w:keepNext w:val="0"/>
              <w:keepLines w:val="0"/>
              <w:pageBreakBefore w:val="0"/>
              <w:widowControl/>
              <w:kinsoku/>
              <w:wordWrap/>
              <w:overflowPunct/>
              <w:topLinePunct w:val="0"/>
              <w:autoSpaceDE/>
              <w:autoSpaceDN/>
              <w:bidi w:val="0"/>
              <w:adjustRightInd/>
              <w:snapToGrid/>
              <w:spacing w:line="42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中毒救治方法</w:t>
            </w:r>
            <w:r>
              <w:rPr>
                <w:rFonts w:hint="eastAsia" w:ascii="仿宋_GB2312" w:hAnsi="仿宋_GB2312" w:eastAsia="仿宋_GB2312" w:cs="仿宋_GB2312"/>
                <w:color w:val="auto"/>
                <w:kern w:val="0"/>
                <w:sz w:val="32"/>
                <w:szCs w:val="32"/>
              </w:rPr>
              <w:t>：将伤员抬到空气新鲜流通的地方静息，尽量远离火源。同时解开衣服、裤带，放低头部，冬天注意保暖。若伤员呼吸停止，应立即对口人工呼吸、胸外心脏按压，以复苏心肺功能。也可采用针刺、掐压人中、十宣等穴位促醒。有条件的立即给氧吸入，以高压氧气为最好。中毒症状较轻的伤员，迅速与医生联系送往医院救治。</w:t>
            </w:r>
          </w:p>
          <w:p w14:paraId="27788FEE">
            <w:pPr>
              <w:keepNext w:val="0"/>
              <w:keepLines w:val="0"/>
              <w:pageBreakBefore w:val="0"/>
              <w:widowControl/>
              <w:kinsoku/>
              <w:wordWrap/>
              <w:overflowPunct/>
              <w:topLinePunct w:val="0"/>
              <w:autoSpaceDE/>
              <w:autoSpaceDN/>
              <w:bidi w:val="0"/>
              <w:adjustRightInd/>
              <w:snapToGrid/>
              <w:spacing w:line="42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烧伤救治方法</w:t>
            </w:r>
            <w:r>
              <w:rPr>
                <w:rFonts w:hint="eastAsia" w:ascii="仿宋_GB2312" w:hAnsi="仿宋_GB2312" w:eastAsia="仿宋_GB2312" w:cs="仿宋_GB2312"/>
                <w:color w:val="auto"/>
                <w:kern w:val="0"/>
                <w:sz w:val="32"/>
                <w:szCs w:val="32"/>
              </w:rPr>
              <w:t>：尽快脱去着火或沸液浸渍的衣服，特别是化纤衣服。以免着火衣服和衣服</w:t>
            </w:r>
            <w:r>
              <w:rPr>
                <w:rFonts w:hint="eastAsia" w:ascii="仿宋_GB2312" w:hAnsi="仿宋_GB2312" w:eastAsia="仿宋_GB2312" w:cs="仿宋_GB2312"/>
                <w:color w:val="auto"/>
                <w:kern w:val="0"/>
                <w:sz w:val="32"/>
                <w:szCs w:val="32"/>
                <w:lang w:eastAsia="zh-CN"/>
              </w:rPr>
              <w:t>上</w:t>
            </w:r>
            <w:r>
              <w:rPr>
                <w:rFonts w:hint="eastAsia" w:ascii="仿宋_GB2312" w:hAnsi="仿宋_GB2312" w:eastAsia="仿宋_GB2312" w:cs="仿宋_GB2312"/>
                <w:color w:val="auto"/>
                <w:kern w:val="0"/>
                <w:sz w:val="32"/>
                <w:szCs w:val="32"/>
              </w:rPr>
              <w:t>的热液继续作用，使创面加大加深。热力烧伤后及时冷疗可防止热力继续作用于创面使其加深，并可减轻疼痛、减少渗出和水肿。将烧伤创面在自来水</w:t>
            </w:r>
            <w:r>
              <w:rPr>
                <w:rFonts w:hint="eastAsia" w:ascii="仿宋_GB2312" w:hAnsi="仿宋_GB2312" w:eastAsia="仿宋_GB2312" w:cs="仿宋_GB2312"/>
                <w:color w:val="auto"/>
                <w:kern w:val="0"/>
                <w:sz w:val="32"/>
                <w:szCs w:val="32"/>
                <w:lang w:eastAsia="zh-CN"/>
              </w:rPr>
              <w:t>龙头</w:t>
            </w:r>
            <w:r>
              <w:rPr>
                <w:rFonts w:hint="eastAsia" w:ascii="仿宋_GB2312" w:hAnsi="仿宋_GB2312" w:eastAsia="仿宋_GB2312" w:cs="仿宋_GB2312"/>
                <w:color w:val="auto"/>
                <w:kern w:val="0"/>
                <w:sz w:val="32"/>
                <w:szCs w:val="32"/>
              </w:rPr>
              <w:t>下淋洗或浸入水中</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水温以伤员能忍受为准，一般为15～20℃，热天可在水中加冰块</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后用冷水浸湿的毛巾、纱垫等敷于创面。时间无明确限制，一般掌握到冷疗之后不再剧痛为止，多需0.5～1小时。冷疗一般适用于中小面积烧伤，特别是四肢的烧伤。对于大面积烧伤，冷疗并非完全禁忌，但由于大面积烧伤采用冷水浸泡，伤员多不能忍受，特别是寒冷季节。为了减轻寒冷的刺激，如无禁忌，可适当应用镇静剂。</w:t>
            </w:r>
          </w:p>
        </w:tc>
      </w:tr>
    </w:tbl>
    <w:p w14:paraId="26B0183C">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eastAsia" w:ascii="黑体" w:hAnsi="黑体" w:eastAsia="黑体" w:cs="黑体"/>
          <w:b w:val="0"/>
          <w:bCs w:val="0"/>
          <w:color w:val="auto"/>
          <w:sz w:val="32"/>
          <w:szCs w:val="32"/>
          <w:shd w:val="clear" w:color="auto" w:fill="FFFFFF"/>
        </w:rPr>
      </w:pPr>
    </w:p>
    <w:p w14:paraId="5CBAD13D">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7-5</w:t>
      </w:r>
      <w:r>
        <w:rPr>
          <w:rFonts w:hint="eastAsia" w:ascii="黑体" w:hAnsi="黑体" w:eastAsia="黑体" w:cs="黑体"/>
          <w:b w:val="0"/>
          <w:bCs w:val="0"/>
          <w:color w:val="auto"/>
          <w:sz w:val="32"/>
          <w:szCs w:val="32"/>
          <w:shd w:val="clear" w:color="auto" w:fill="FFFFFF"/>
        </w:rPr>
        <w:t xml:space="preserve">  易燃物质火灾、燃烧、爆炸典型事件应急卡</w:t>
      </w:r>
    </w:p>
    <w:p w14:paraId="6061612B">
      <w:pPr>
        <w:pStyle w:val="29"/>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center"/>
        <w:textAlignment w:val="auto"/>
        <w:rPr>
          <w:rFonts w:hint="eastAsia" w:ascii="黑体" w:hAnsi="黑体" w:eastAsia="黑体" w:cs="黑体"/>
          <w:b w:val="0"/>
          <w:bCs w:val="0"/>
          <w:color w:val="auto"/>
          <w:sz w:val="32"/>
          <w:szCs w:val="32"/>
          <w:shd w:val="clear" w:color="auto" w:fill="FFFFFF"/>
          <w:lang w:eastAsia="zh-CN"/>
        </w:rPr>
      </w:pPr>
      <w:r>
        <w:rPr>
          <w:rFonts w:hint="eastAsia" w:ascii="黑体" w:hAnsi="黑体" w:eastAsia="黑体" w:cs="黑体"/>
          <w:b w:val="0"/>
          <w:bCs w:val="0"/>
          <w:color w:val="auto"/>
          <w:sz w:val="32"/>
          <w:szCs w:val="32"/>
          <w:shd w:val="clear" w:color="auto" w:fill="FFFFFF"/>
          <w:lang w:eastAsia="zh-CN"/>
        </w:rPr>
        <w:t>（</w:t>
      </w:r>
      <w:r>
        <w:rPr>
          <w:rFonts w:hint="eastAsia" w:ascii="黑体" w:hAnsi="黑体" w:eastAsia="黑体" w:cs="黑体"/>
          <w:b w:val="0"/>
          <w:bCs w:val="0"/>
          <w:color w:val="auto"/>
          <w:sz w:val="32"/>
          <w:szCs w:val="32"/>
          <w:shd w:val="clear" w:color="auto" w:fill="FFFFFF"/>
        </w:rPr>
        <w:t>有机易燃态风险物质泄漏引起火灾爆炸事故</w:t>
      </w:r>
      <w:r>
        <w:rPr>
          <w:rFonts w:hint="eastAsia" w:ascii="黑体" w:hAnsi="黑体" w:eastAsia="黑体" w:cs="黑体"/>
          <w:b w:val="0"/>
          <w:bCs w:val="0"/>
          <w:color w:val="auto"/>
          <w:sz w:val="32"/>
          <w:szCs w:val="32"/>
          <w:shd w:val="clear" w:color="auto" w:fill="FFFFFF"/>
          <w:lang w:eastAsia="zh-CN"/>
        </w:rPr>
        <w:t>）</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4034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59CE20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事故</w:t>
            </w:r>
          </w:p>
          <w:p w14:paraId="6A792F1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3174B402">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（1）风险物质：涂料、稀释剂、油墨、胶水等有机易燃液体；</w:t>
            </w:r>
          </w:p>
          <w:p w14:paraId="42462C9F">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（2）风险单元：各生产车间、仓库；</w:t>
            </w:r>
          </w:p>
          <w:p w14:paraId="70AFD376">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（3）风险特征：易燃，蒸气可与空气形成爆炸性混合物，遇明火、高热能引起燃烧爆炸。</w:t>
            </w:r>
          </w:p>
        </w:tc>
      </w:tr>
      <w:tr w14:paraId="2E1D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642B04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应急处置措施</w:t>
            </w:r>
          </w:p>
        </w:tc>
        <w:tc>
          <w:tcPr>
            <w:tcW w:w="8140" w:type="dxa"/>
            <w:vAlign w:val="center"/>
          </w:tcPr>
          <w:p w14:paraId="4CB21DE8">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（1）确认发生有机易燃液体火灾爆炸事件后，在事发点附近区域设立警戒区，迅速撤离泄漏污染区人员至安全区，防止无关人员进入事发区域；</w:t>
            </w:r>
          </w:p>
          <w:p w14:paraId="12A68249">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（2）现场指挥人员通知各救援小组快速集结投入灭火行动，若事故现场继续蔓延扩大，按应急指挥人员要求，请求消防部门和社会专业应急救援队伍支援；</w:t>
            </w:r>
          </w:p>
          <w:p w14:paraId="7269AB6B">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消防部门和社会专业应急救援队伍及时到达时，根据消防部门和社会专业应急救援队伍专业人员的指示和安排，配合开展灭火或污染防治行动；救援人员应佩戴正压式呼吸器、隔绝式空气面罩开展应急灭火行动：</w:t>
            </w:r>
          </w:p>
          <w:p w14:paraId="49AF7440">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①灭火：采用抗溶性泡沫、干粉、二氧化碳、砂土进行灭火，在没有风险情况下，应将容器转移出火灾现场。</w:t>
            </w:r>
          </w:p>
          <w:p w14:paraId="11764360">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②消防废水的处置处理：对消防废水进行拦截、引流处置。将消防废水引入至废水收集池、事故池，待事后抽走处置，若厂区没有设置消防废水收集池，在其排出厂区前设置拦截、引流设施处置，待事后用槽罐车将消防废水送</w:t>
            </w:r>
            <w:r>
              <w:rPr>
                <w:rFonts w:hint="eastAsia" w:ascii="仿宋_GB2312" w:hAnsi="仿宋_GB2312" w:eastAsia="仿宋_GB2312" w:cs="仿宋_GB2312"/>
                <w:color w:val="auto"/>
                <w:kern w:val="0"/>
                <w:sz w:val="32"/>
                <w:szCs w:val="32"/>
                <w:lang w:eastAsia="zh-CN"/>
              </w:rPr>
              <w:t>至</w:t>
            </w:r>
            <w:r>
              <w:rPr>
                <w:rFonts w:hint="eastAsia" w:ascii="仿宋_GB2312" w:hAnsi="仿宋_GB2312" w:eastAsia="仿宋_GB2312" w:cs="仿宋_GB2312"/>
                <w:color w:val="auto"/>
                <w:kern w:val="0"/>
                <w:sz w:val="32"/>
                <w:szCs w:val="32"/>
              </w:rPr>
              <w:t>园区污水处理厂处理。</w:t>
            </w:r>
          </w:p>
          <w:p w14:paraId="30326AE3">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（4）消防废水进入污水管道，应第一时间通知园区污水处理厂，提醒其做好监测及应对工作，确保污水处理厂正常运行，保证污水处理后达标排放；</w:t>
            </w:r>
          </w:p>
          <w:p w14:paraId="4E9DC41A">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（5）如消防废水进入雨水管网，则用沙袋堵住雨水进入区域地表水系统排放口，对污染物进行拦截，将该片区雨水切换至区域应急事故池，待事后用应急泵将消防废水抽回企业事故池或污水处理站处理。</w:t>
            </w:r>
          </w:p>
        </w:tc>
      </w:tr>
      <w:tr w14:paraId="7B41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D070DE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10EA11F6">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6A743B13">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大气监测因子：挥发性有机物等，发生火灾则加测CO；</w:t>
            </w:r>
          </w:p>
          <w:p w14:paraId="5D92FF3E">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监测布点：以事故地点为中心，在主导风向下风向影响区域等位置</w:t>
            </w:r>
            <w:r>
              <w:rPr>
                <w:rFonts w:hint="eastAsia" w:ascii="仿宋_GB2312" w:hAnsi="仿宋_GB2312" w:eastAsia="仿宋_GB2312" w:cs="仿宋_GB2312"/>
                <w:color w:val="auto"/>
                <w:kern w:val="0"/>
                <w:sz w:val="32"/>
                <w:szCs w:val="32"/>
                <w:lang w:eastAsia="zh-CN"/>
              </w:rPr>
              <w:t>设置</w:t>
            </w:r>
            <w:r>
              <w:rPr>
                <w:rFonts w:hint="eastAsia" w:ascii="仿宋_GB2312" w:hAnsi="仿宋_GB2312" w:eastAsia="仿宋_GB2312" w:cs="仿宋_GB2312"/>
                <w:color w:val="auto"/>
                <w:kern w:val="0"/>
                <w:sz w:val="32"/>
                <w:szCs w:val="32"/>
              </w:rPr>
              <w:t>监测点位，按50m～100m水平间隔布点采样；距事故发生地最近的居民住宅区或其他敏感区域也应布点采样；并在上风向设对照点。必要时可视情况增加点位数量。且采样过程中应注意风向的变化，及时调整采样点位置；</w:t>
            </w:r>
          </w:p>
          <w:p w14:paraId="21D802B0">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监测频次：两次监测浓度均低于同等级水质标准值或已接近可忽略水平为止</w:t>
            </w:r>
          </w:p>
        </w:tc>
      </w:tr>
      <w:tr w14:paraId="3D5C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38D4978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0E98CB8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6B37348A">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堵漏工具、活性炭、呼吸器、防化服等</w:t>
            </w:r>
          </w:p>
        </w:tc>
      </w:tr>
      <w:tr w14:paraId="693E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15D8B4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后勤</w:t>
            </w:r>
          </w:p>
          <w:p w14:paraId="0E5DFB7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保障</w:t>
            </w:r>
          </w:p>
        </w:tc>
        <w:tc>
          <w:tcPr>
            <w:tcW w:w="8140" w:type="dxa"/>
            <w:vAlign w:val="center"/>
          </w:tcPr>
          <w:p w14:paraId="32220D97">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窒息救治方法</w:t>
            </w:r>
            <w:r>
              <w:rPr>
                <w:rFonts w:hint="eastAsia" w:ascii="仿宋_GB2312" w:hAnsi="仿宋_GB2312" w:eastAsia="仿宋_GB2312" w:cs="仿宋_GB2312"/>
                <w:color w:val="auto"/>
                <w:kern w:val="0"/>
                <w:sz w:val="32"/>
                <w:szCs w:val="32"/>
              </w:rPr>
              <w:t>：将伤员抬到空气新鲜流通的地方静息，尽量远离火源。同时解开衣服、裤带，放低头部，冬天注意保暖。并立即作口对口人工呼吸、胸外心脏按压，以复苏心肺功能，然后给氧吸入，以高压氧气为最好。迅速与医生联系送往医院救治。</w:t>
            </w:r>
          </w:p>
          <w:p w14:paraId="18ECE5B2">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中毒救治方法</w:t>
            </w:r>
            <w:r>
              <w:rPr>
                <w:rFonts w:hint="eastAsia" w:ascii="仿宋_GB2312" w:hAnsi="仿宋_GB2312" w:eastAsia="仿宋_GB2312" w:cs="仿宋_GB2312"/>
                <w:color w:val="auto"/>
                <w:kern w:val="0"/>
                <w:sz w:val="32"/>
                <w:szCs w:val="32"/>
              </w:rPr>
              <w:t>：将伤员抬到空气新鲜流通的地方静息，尽量远离火源。同时解开衣服、裤带，放低头部，冬天注意保暖。若伤员呼吸停止，应立即对口人工呼吸、胸外心脏按压，以复苏心肺功能。也可采用针刺、掐压人中、十宣等穴位促醒。有条件的立即给氧吸入，以高压氧气为最好。中毒症状较轻的伤员，迅速与医生联系送往医院救治。</w:t>
            </w:r>
          </w:p>
          <w:p w14:paraId="4FFD20A6">
            <w:pPr>
              <w:keepNext w:val="0"/>
              <w:keepLines w:val="0"/>
              <w:pageBreakBefore w:val="0"/>
              <w:widowControl/>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烧伤救治方法</w:t>
            </w:r>
            <w:r>
              <w:rPr>
                <w:rFonts w:hint="eastAsia" w:ascii="仿宋_GB2312" w:hAnsi="仿宋_GB2312" w:eastAsia="仿宋_GB2312" w:cs="仿宋_GB2312"/>
                <w:color w:val="auto"/>
                <w:kern w:val="0"/>
                <w:sz w:val="32"/>
                <w:szCs w:val="32"/>
              </w:rPr>
              <w:t>：尽快脱去着火或沸液浸渍的衣服，特别是化纤衣服。以免着火衣服和衣服</w:t>
            </w:r>
            <w:r>
              <w:rPr>
                <w:rFonts w:hint="eastAsia" w:ascii="仿宋_GB2312" w:hAnsi="仿宋_GB2312" w:eastAsia="仿宋_GB2312" w:cs="仿宋_GB2312"/>
                <w:color w:val="auto"/>
                <w:kern w:val="0"/>
                <w:sz w:val="32"/>
                <w:szCs w:val="32"/>
                <w:lang w:eastAsia="zh-CN"/>
              </w:rPr>
              <w:t>上</w:t>
            </w:r>
            <w:r>
              <w:rPr>
                <w:rFonts w:hint="eastAsia" w:ascii="仿宋_GB2312" w:hAnsi="仿宋_GB2312" w:eastAsia="仿宋_GB2312" w:cs="仿宋_GB2312"/>
                <w:color w:val="auto"/>
                <w:kern w:val="0"/>
                <w:sz w:val="32"/>
                <w:szCs w:val="32"/>
              </w:rPr>
              <w:t>的热液继续作用，使创面加大加深。热力烧伤后及时冷疗可防止热力继续作用于创面使其加深，并可减轻疼痛、减少渗出和水肿。将烧伤创面在自来水</w:t>
            </w:r>
            <w:r>
              <w:rPr>
                <w:rFonts w:hint="eastAsia" w:ascii="仿宋_GB2312" w:hAnsi="仿宋_GB2312" w:eastAsia="仿宋_GB2312" w:cs="仿宋_GB2312"/>
                <w:color w:val="auto"/>
                <w:kern w:val="0"/>
                <w:sz w:val="32"/>
                <w:szCs w:val="32"/>
                <w:lang w:eastAsia="zh-CN"/>
              </w:rPr>
              <w:t>龙头</w:t>
            </w:r>
            <w:r>
              <w:rPr>
                <w:rFonts w:hint="eastAsia" w:ascii="仿宋_GB2312" w:hAnsi="仿宋_GB2312" w:eastAsia="仿宋_GB2312" w:cs="仿宋_GB2312"/>
                <w:color w:val="auto"/>
                <w:kern w:val="0"/>
                <w:sz w:val="32"/>
                <w:szCs w:val="32"/>
              </w:rPr>
              <w:t>下淋洗或浸入水中(水温以伤员能忍受为准，一般为15～20℃，热天可在水中加冰块)，后用冷水浸湿的毛巾、纱垫等敷于创面。时间无明确限制，一般掌握到冷疗之后不再剧痛为止，多需0.5～1小时。冷疗一般适用于中小面积烧伤，特别是四肢的烧伤。对于大面积烧伤，冷疗并非完全禁忌，但由于大面积烧伤采用冷水浸泡，伤员多不能忍受，特别是寒冷季节。为了减轻寒冷的刺激，如无禁忌，可适当应用镇静剂。</w:t>
            </w:r>
          </w:p>
        </w:tc>
      </w:tr>
    </w:tbl>
    <w:p w14:paraId="034513B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仿宋_GB2312" w:hAnsi="仿宋_GB2312" w:eastAsia="仿宋_GB2312" w:cs="仿宋_GB2312"/>
          <w:b/>
          <w:bCs/>
          <w:color w:val="auto"/>
          <w:kern w:val="0"/>
          <w:sz w:val="32"/>
          <w:szCs w:val="32"/>
        </w:rPr>
      </w:pPr>
      <w:bookmarkStart w:id="507" w:name="_Toc22617"/>
      <w:bookmarkStart w:id="508" w:name="_Toc24384"/>
      <w:bookmarkStart w:id="509" w:name="_Toc15355"/>
      <w:bookmarkStart w:id="510" w:name="_Toc27255"/>
      <w:bookmarkStart w:id="511" w:name="_Toc31547"/>
      <w:bookmarkStart w:id="512" w:name="_Toc18238"/>
      <w:r>
        <w:rPr>
          <w:rFonts w:hint="eastAsia" w:ascii="仿宋_GB2312" w:hAnsi="仿宋_GB2312" w:eastAsia="仿宋_GB2312" w:cs="仿宋_GB2312"/>
          <w:b/>
          <w:bCs/>
          <w:color w:val="auto"/>
          <w:kern w:val="0"/>
          <w:sz w:val="32"/>
          <w:szCs w:val="32"/>
        </w:rPr>
        <w:t>（2）园区内企业废气处理系统发生故障典型事故分析及处置措施</w:t>
      </w:r>
      <w:bookmarkEnd w:id="507"/>
      <w:bookmarkEnd w:id="508"/>
      <w:bookmarkEnd w:id="509"/>
      <w:bookmarkEnd w:id="510"/>
      <w:bookmarkEnd w:id="511"/>
      <w:bookmarkEnd w:id="512"/>
    </w:p>
    <w:p w14:paraId="0195FBF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①园区内企业废气处理系统值班人员发现废气处理系统出来的烟气明显异常或嗅到烟气有异味，应第一时间通知当值班长，并做好相关记录；</w:t>
      </w:r>
    </w:p>
    <w:p w14:paraId="5CCB0CE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当值班长和应急救援人员佩戴好防护措施，对废气处理设施进行排查，查找有问题部位，通知班长依据实际情况及时调整相应的废气处理设备参数或调整废气处理相关药剂的量应对废气处理系统废气的突发情况，组织维修人员对废气处理设施进行维修，直至废气处理系统废气的污染因子浓度在达标的前提下保证稳定。</w:t>
      </w:r>
    </w:p>
    <w:p w14:paraId="672325A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③如短时间内难以排除故障，应立即紧急停机寻找出现故障的原因，进行相应的修理，确保废气处理设施正常后恢复生产。</w:t>
      </w:r>
    </w:p>
    <w:p w14:paraId="03DCC5F5">
      <w:pPr>
        <w:pStyle w:val="29"/>
        <w:ind w:left="0" w:leftChars="0" w:firstLine="0" w:firstLineChars="0"/>
        <w:jc w:val="center"/>
        <w:rPr>
          <w:rFonts w:hint="default" w:ascii="Times New Roman" w:hAnsi="Times New Roman" w:eastAsia="宋体" w:cs="Times New Roman"/>
          <w:b/>
          <w:bCs/>
          <w:color w:val="auto"/>
          <w:szCs w:val="21"/>
          <w:shd w:val="clear" w:color="auto" w:fill="FFFFFF"/>
        </w:rPr>
      </w:pPr>
      <w:r>
        <w:rPr>
          <w:rFonts w:hint="eastAsia"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7-6</w:t>
      </w:r>
      <w:r>
        <w:rPr>
          <w:rFonts w:hint="eastAsia" w:ascii="黑体" w:hAnsi="黑体" w:eastAsia="黑体" w:cs="黑体"/>
          <w:b w:val="0"/>
          <w:bCs w:val="0"/>
          <w:color w:val="auto"/>
          <w:sz w:val="32"/>
          <w:szCs w:val="32"/>
          <w:shd w:val="clear" w:color="auto" w:fill="FFFFFF"/>
        </w:rPr>
        <w:t xml:space="preserve">  废气事故排放应急卡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2855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7B31BF4">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事故</w:t>
            </w:r>
          </w:p>
          <w:p w14:paraId="5F69EB6F">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5F87F667">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（1）风险物质：废气；</w:t>
            </w:r>
          </w:p>
          <w:p w14:paraId="3C9EC123">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（2）风险源：废气排放单元。</w:t>
            </w:r>
          </w:p>
        </w:tc>
      </w:tr>
      <w:tr w14:paraId="7D82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033" w:type="dxa"/>
            <w:vAlign w:val="center"/>
          </w:tcPr>
          <w:p w14:paraId="0A264BA0">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0C9F827E">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处置</w:t>
            </w:r>
          </w:p>
          <w:p w14:paraId="7981DDF0">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措施</w:t>
            </w:r>
          </w:p>
        </w:tc>
        <w:tc>
          <w:tcPr>
            <w:tcW w:w="8140" w:type="dxa"/>
            <w:vAlign w:val="center"/>
          </w:tcPr>
          <w:p w14:paraId="766A4671">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（1）立即停车，停止反应，关闭进出料口，避免更多的废气产生；</w:t>
            </w:r>
          </w:p>
          <w:p w14:paraId="5F1E2504">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w:t>
            </w:r>
            <w:r>
              <w:rPr>
                <w:rFonts w:hint="eastAsia" w:ascii="仿宋_GB2312" w:hAnsi="仿宋_GB2312" w:eastAsia="仿宋_GB2312" w:cs="仿宋_GB2312"/>
                <w:color w:val="auto"/>
                <w:kern w:val="0"/>
                <w:sz w:val="32"/>
                <w:szCs w:val="32"/>
                <w:lang w:eastAsia="zh-CN"/>
              </w:rPr>
              <w:t>）在</w:t>
            </w:r>
            <w:r>
              <w:rPr>
                <w:rFonts w:hint="eastAsia" w:ascii="仿宋_GB2312" w:hAnsi="仿宋_GB2312" w:eastAsia="仿宋_GB2312" w:cs="仿宋_GB2312"/>
                <w:color w:val="auto"/>
                <w:kern w:val="0"/>
                <w:sz w:val="32"/>
                <w:szCs w:val="32"/>
              </w:rPr>
              <w:t>做好防护的前提下，寻找出现故障的原因，立即组织</w:t>
            </w:r>
            <w:r>
              <w:rPr>
                <w:rFonts w:hint="eastAsia" w:ascii="仿宋_GB2312" w:hAnsi="仿宋_GB2312" w:eastAsia="仿宋_GB2312" w:cs="仿宋_GB2312"/>
                <w:color w:val="auto"/>
                <w:kern w:val="0"/>
                <w:sz w:val="32"/>
                <w:szCs w:val="32"/>
                <w:lang w:eastAsia="zh-CN"/>
              </w:rPr>
              <w:t>人员</w:t>
            </w:r>
            <w:r>
              <w:rPr>
                <w:rFonts w:hint="eastAsia" w:ascii="仿宋_GB2312" w:hAnsi="仿宋_GB2312" w:eastAsia="仿宋_GB2312" w:cs="仿宋_GB2312"/>
                <w:color w:val="auto"/>
                <w:kern w:val="0"/>
                <w:sz w:val="32"/>
                <w:szCs w:val="32"/>
              </w:rPr>
              <w:t>进行维修，确保废气处理设施正常后恢复生产；</w:t>
            </w:r>
          </w:p>
          <w:p w14:paraId="65EF98CA">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（3）现场人员防护进入现场的人员必须穿自吸过滤式防毒面具或正压式空气呼吸器等，做好相关防护措施。</w:t>
            </w:r>
          </w:p>
          <w:p w14:paraId="3616F279">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（4）查看废气处理设施的工艺参数，若发现设备故障，立即组织技术人员对设备进行检查、维修；</w:t>
            </w:r>
          </w:p>
          <w:p w14:paraId="1F649167">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（5）若处理设施内的药剂加量不够，应及时投加药剂；</w:t>
            </w:r>
          </w:p>
          <w:p w14:paraId="459C3B5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kern w:val="0"/>
                <w:sz w:val="32"/>
                <w:szCs w:val="32"/>
              </w:rPr>
              <w:t>（6）若风机故障，废气不能及时排出，应启动备用风机或及时对风机进行检修；</w:t>
            </w:r>
          </w:p>
          <w:p w14:paraId="24B0E9D6">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（7）现场处置人员需跟踪事故处理情况，待废气处理装置正常运行后，方可正常生产。</w:t>
            </w:r>
          </w:p>
        </w:tc>
      </w:tr>
      <w:tr w14:paraId="7851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3" w:hRule="atLeast"/>
        </w:trPr>
        <w:tc>
          <w:tcPr>
            <w:tcW w:w="1033" w:type="dxa"/>
            <w:vAlign w:val="center"/>
          </w:tcPr>
          <w:p w14:paraId="12B9BA9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436AC3BC">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监测</w:t>
            </w:r>
          </w:p>
          <w:p w14:paraId="120485E8">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方案</w:t>
            </w:r>
          </w:p>
        </w:tc>
        <w:tc>
          <w:tcPr>
            <w:tcW w:w="8140" w:type="dxa"/>
            <w:vAlign w:val="center"/>
          </w:tcPr>
          <w:p w14:paraId="52258A95">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（1）监测单位：委托有资质的监测单位；</w:t>
            </w:r>
          </w:p>
          <w:p w14:paraId="33607D8F">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（2）监测因子：颗粒物、SO</w:t>
            </w:r>
            <w:r>
              <w:rPr>
                <w:rFonts w:hint="eastAsia" w:ascii="仿宋_GB2312" w:hAnsi="仿宋_GB2312" w:eastAsia="仿宋_GB2312" w:cs="仿宋_GB2312"/>
                <w:color w:val="auto"/>
                <w:kern w:val="0"/>
                <w:sz w:val="32"/>
                <w:szCs w:val="32"/>
                <w:vertAlign w:val="subscript"/>
              </w:rPr>
              <w:t>2</w:t>
            </w:r>
            <w:r>
              <w:rPr>
                <w:rFonts w:hint="eastAsia" w:ascii="仿宋_GB2312" w:hAnsi="仿宋_GB2312" w:eastAsia="仿宋_GB2312" w:cs="仿宋_GB2312"/>
                <w:color w:val="auto"/>
                <w:kern w:val="0"/>
                <w:sz w:val="32"/>
                <w:szCs w:val="32"/>
              </w:rPr>
              <w:t>、NO</w:t>
            </w:r>
            <w:r>
              <w:rPr>
                <w:rFonts w:hint="eastAsia" w:ascii="仿宋_GB2312" w:hAnsi="仿宋_GB2312" w:eastAsia="仿宋_GB2312" w:cs="仿宋_GB2312"/>
                <w:color w:val="auto"/>
                <w:kern w:val="0"/>
                <w:sz w:val="32"/>
                <w:szCs w:val="32"/>
                <w:vertAlign w:val="subscript"/>
              </w:rPr>
              <w:t>x</w:t>
            </w:r>
            <w:r>
              <w:rPr>
                <w:rFonts w:hint="eastAsia" w:ascii="仿宋_GB2312" w:hAnsi="仿宋_GB2312" w:eastAsia="仿宋_GB2312" w:cs="仿宋_GB2312"/>
                <w:color w:val="auto"/>
                <w:kern w:val="0"/>
                <w:sz w:val="32"/>
                <w:szCs w:val="32"/>
              </w:rPr>
              <w:t>、挥发性有机物等；</w:t>
            </w:r>
          </w:p>
          <w:p w14:paraId="0F1EC2D4">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（3）监测方法：气相</w:t>
            </w:r>
            <w:r>
              <w:rPr>
                <w:rFonts w:hint="eastAsia" w:ascii="仿宋_GB2312" w:hAnsi="仿宋_GB2312" w:eastAsia="仿宋_GB2312" w:cs="仿宋_GB2312"/>
                <w:color w:val="auto"/>
                <w:kern w:val="0"/>
                <w:sz w:val="32"/>
                <w:szCs w:val="32"/>
                <w:lang w:eastAsia="zh-CN"/>
              </w:rPr>
              <w:t>色谱</w:t>
            </w:r>
            <w:r>
              <w:rPr>
                <w:rFonts w:hint="eastAsia" w:ascii="仿宋_GB2312" w:hAnsi="仿宋_GB2312" w:eastAsia="仿宋_GB2312" w:cs="仿宋_GB2312"/>
                <w:color w:val="auto"/>
                <w:kern w:val="0"/>
                <w:sz w:val="32"/>
                <w:szCs w:val="32"/>
              </w:rPr>
              <w:t>仪或其他便捷的快速检测仪器。应当确定好采样的流量和采样的时间，同时记录气温、气压、风向和风速，采样总体积应换算为标准状态下的体积；</w:t>
            </w:r>
          </w:p>
          <w:p w14:paraId="7F138A4B">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（3）监测布点：泄漏点上风向以上30m设对照点，在下风向最近居民点或企业等人口聚集点设监控点（至少3个）。</w:t>
            </w:r>
          </w:p>
          <w:p w14:paraId="07C6B011">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（4）监测频次：两次监测浓度均低于同等级空气标准值或已接近可忽略水平为止。</w:t>
            </w:r>
          </w:p>
        </w:tc>
      </w:tr>
      <w:tr w14:paraId="5803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1033" w:type="dxa"/>
            <w:vAlign w:val="center"/>
          </w:tcPr>
          <w:p w14:paraId="15A46DE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2E962868">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38AE7D16">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防毒面具、呼吸器、化学防护装备等</w:t>
            </w:r>
          </w:p>
        </w:tc>
      </w:tr>
      <w:tr w14:paraId="0908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033" w:type="dxa"/>
            <w:vAlign w:val="center"/>
          </w:tcPr>
          <w:p w14:paraId="60F92ACB">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后勤</w:t>
            </w:r>
          </w:p>
          <w:p w14:paraId="0619EBE0">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保障</w:t>
            </w:r>
          </w:p>
        </w:tc>
        <w:tc>
          <w:tcPr>
            <w:tcW w:w="8140" w:type="dxa"/>
            <w:vAlign w:val="center"/>
          </w:tcPr>
          <w:p w14:paraId="4980B8EE">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随时做好停产准备</w:t>
            </w:r>
          </w:p>
        </w:tc>
      </w:tr>
    </w:tbl>
    <w:p w14:paraId="60E1654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513" w:name="_Toc1396"/>
      <w:bookmarkStart w:id="514" w:name="_Toc5090"/>
      <w:bookmarkStart w:id="515" w:name="_Toc8703"/>
      <w:bookmarkStart w:id="516" w:name="_Toc25964"/>
      <w:bookmarkStart w:id="517" w:name="_Toc31321"/>
      <w:bookmarkStart w:id="518" w:name="_Toc12033"/>
      <w:r>
        <w:rPr>
          <w:rFonts w:hint="eastAsia" w:ascii="楷体_GB2312" w:hAnsi="楷体_GB2312" w:eastAsia="楷体_GB2312" w:cs="楷体_GB2312"/>
          <w:b/>
          <w:bCs/>
          <w:color w:val="auto"/>
          <w:kern w:val="0"/>
          <w:sz w:val="32"/>
          <w:szCs w:val="32"/>
        </w:rPr>
        <w:t>2</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园区水污染事件应急处置措施</w:t>
      </w:r>
      <w:bookmarkEnd w:id="513"/>
      <w:bookmarkEnd w:id="514"/>
      <w:bookmarkEnd w:id="515"/>
      <w:bookmarkEnd w:id="516"/>
      <w:bookmarkEnd w:id="517"/>
      <w:bookmarkEnd w:id="518"/>
    </w:p>
    <w:p w14:paraId="1F51066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污染物进入雨水系统视突发环境事件发展趋势采取的通用应急处置措施如下：</w:t>
      </w:r>
    </w:p>
    <w:p w14:paraId="1A432AA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（1）切断突发环境事件产生污染物的污染源，人员应首先做好自身的防护工作，穿戴好相关的防护装置，</w:t>
      </w:r>
      <w:r>
        <w:rPr>
          <w:rFonts w:hint="eastAsia" w:ascii="仿宋_GB2312" w:hAnsi="仿宋_GB2312" w:eastAsia="仿宋_GB2312" w:cs="仿宋_GB2312"/>
          <w:color w:val="auto"/>
          <w:kern w:val="0"/>
          <w:sz w:val="32"/>
          <w:szCs w:val="32"/>
          <w:lang w:eastAsia="zh-CN"/>
        </w:rPr>
        <w:t>如</w:t>
      </w:r>
      <w:r>
        <w:rPr>
          <w:rFonts w:hint="default" w:ascii="仿宋_GB2312" w:hAnsi="仿宋_GB2312" w:eastAsia="仿宋_GB2312" w:cs="仿宋_GB2312"/>
          <w:color w:val="auto"/>
          <w:kern w:val="0"/>
          <w:sz w:val="32"/>
          <w:szCs w:val="32"/>
        </w:rPr>
        <w:t>企业发生突发环境事件的，启动企业突发环境事件应急预案，立即对发生泄漏的生产设备、储罐、初期雨水排口等污染物泄漏源进行堵漏，对于设备、储罐、初期雨水排口局部的泄漏，立即对剩余的污染物进行倒料或处理，尽可能减少流失。必要时采取全厂临时紧急停车措施，如是公共区域，对污染物产生点四周进行围堵；</w:t>
      </w:r>
    </w:p>
    <w:p w14:paraId="0463B20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（2）应急救援指挥中心总指挥宣布立即启动园区应急预案，布置协调现场应急指挥部的各专业处置小组组长指挥企业</w:t>
      </w:r>
      <w:r>
        <w:rPr>
          <w:rFonts w:hint="eastAsia" w:ascii="仿宋_GB2312" w:hAnsi="仿宋_GB2312" w:eastAsia="仿宋_GB2312" w:cs="仿宋_GB2312"/>
          <w:color w:val="auto"/>
          <w:kern w:val="0"/>
          <w:sz w:val="32"/>
          <w:szCs w:val="32"/>
          <w:lang w:eastAsia="zh-CN"/>
        </w:rPr>
        <w:t>各</w:t>
      </w:r>
      <w:r>
        <w:rPr>
          <w:rFonts w:hint="default" w:ascii="仿宋_GB2312" w:hAnsi="仿宋_GB2312" w:eastAsia="仿宋_GB2312" w:cs="仿宋_GB2312"/>
          <w:color w:val="auto"/>
          <w:kern w:val="0"/>
          <w:sz w:val="32"/>
          <w:szCs w:val="32"/>
        </w:rPr>
        <w:t>专业小组成员按各自的职责对突发环境事件进行应急处置。如泄漏的危险化学品，根据事故点地形地貌、气象条件，依据污染扩散模型，确定合理警戒区域，划定紧急隔离带；</w:t>
      </w:r>
    </w:p>
    <w:p w14:paraId="2791540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3）通过污染物的产生量或存在量、污染物泄漏量、泄漏时间、泄漏去向的地形、受纳水体规模进行综合判断污染物的泄漏范围，无法判断时以最大可能污染物的泄漏范围为准。根据查明泄漏污染物的去向，对污水流经途径的关键节点位置进行截断，用沙包封堵污染物进入雨水系统周围的沟渠或雨水井，尽可能将污染物限制在园区附近低洼处或园区雨水管网内，防止或减少污染物进入附近地表水的量；</w:t>
      </w:r>
    </w:p>
    <w:p w14:paraId="3EFAAE6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4）根据园区的雨水分区情况和雨水进入区域地表水系统排放口分布情况，用沙袋堵住雨水进入区域地表水系统排放口，对污染物进行拦截，将区域雨水排放切换至区域应急事故池，应急事故池设置于园区雨水管网入河口处；</w:t>
      </w:r>
    </w:p>
    <w:p w14:paraId="1BBD37D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（5）根据污染物通过区域地表水系统排放口进入区域地表水系统，则在水体中通过下游</w:t>
      </w:r>
      <w:r>
        <w:rPr>
          <w:rFonts w:hint="eastAsia" w:ascii="仿宋_GB2312" w:hAnsi="仿宋_GB2312" w:eastAsia="仿宋_GB2312" w:cs="仿宋_GB2312"/>
          <w:color w:val="auto"/>
          <w:kern w:val="0"/>
          <w:sz w:val="32"/>
          <w:szCs w:val="32"/>
          <w:lang w:val="en-US" w:eastAsia="zh-CN"/>
        </w:rPr>
        <w:t>堤坝</w:t>
      </w:r>
      <w:r>
        <w:rPr>
          <w:rFonts w:hint="default" w:ascii="仿宋_GB2312" w:hAnsi="仿宋_GB2312" w:eastAsia="仿宋_GB2312" w:cs="仿宋_GB2312"/>
          <w:color w:val="auto"/>
          <w:kern w:val="0"/>
          <w:sz w:val="32"/>
          <w:szCs w:val="32"/>
        </w:rPr>
        <w:t>拦截废水，以减轻对下游水体的污染；</w:t>
      </w:r>
    </w:p>
    <w:p w14:paraId="7D38524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（6）根据不同污染物种类的性质对截留在雨水系统的污染物进行应急处置，必要时利用槽罐车将污水系统的污染物送至园区污水处理厂或有处理资质的单位处理；</w:t>
      </w:r>
    </w:p>
    <w:p w14:paraId="30125FC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（7）对污染物进入园区雨水排放口进入地表水排入口的上下游进行水质环境监测；</w:t>
      </w:r>
    </w:p>
    <w:p w14:paraId="255D9E3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8）如地表水环境监测结果出现超标或发现污染物已经进入地表水体，应根据污染物的性质按园区水污染事件的应急处置措施的步骤对污染物进入的水体进行应急处置，防止污染物进一步扩散。还应及时通知周边居民，禁止使用相关水资源，并在水体周边醒目位置设置临时警示牌；</w:t>
      </w:r>
    </w:p>
    <w:p w14:paraId="368171B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bookmarkStart w:id="519" w:name="_Toc16041"/>
      <w:bookmarkStart w:id="520" w:name="_Toc2899"/>
      <w:bookmarkStart w:id="521" w:name="_Toc28708"/>
      <w:bookmarkStart w:id="522" w:name="_Toc26544"/>
      <w:bookmarkStart w:id="523" w:name="_Toc19443"/>
      <w:bookmarkStart w:id="524" w:name="_Toc15202"/>
      <w:r>
        <w:rPr>
          <w:rFonts w:hint="default" w:ascii="仿宋_GB2312" w:hAnsi="仿宋_GB2312" w:eastAsia="仿宋_GB2312" w:cs="仿宋_GB2312"/>
          <w:color w:val="auto"/>
          <w:kern w:val="0"/>
          <w:sz w:val="32"/>
          <w:szCs w:val="32"/>
        </w:rPr>
        <w:t>（9）对应急处置过程中产生的污染物进行妥善处置。</w:t>
      </w:r>
      <w:bookmarkEnd w:id="519"/>
      <w:bookmarkEnd w:id="520"/>
      <w:bookmarkEnd w:id="521"/>
      <w:bookmarkEnd w:id="522"/>
      <w:bookmarkEnd w:id="523"/>
      <w:bookmarkEnd w:id="524"/>
    </w:p>
    <w:p w14:paraId="5AD2B103">
      <w:pPr>
        <w:pStyle w:val="2"/>
        <w:rPr>
          <w:rFonts w:hint="default"/>
        </w:rPr>
      </w:pPr>
    </w:p>
    <w:p w14:paraId="5C8F0E6C">
      <w:pPr>
        <w:pStyle w:val="29"/>
        <w:ind w:left="0" w:leftChars="0" w:firstLine="0" w:firstLineChars="0"/>
        <w:jc w:val="center"/>
        <w:rPr>
          <w:rFonts w:hint="eastAsia" w:ascii="方正小标宋简体" w:hAnsi="方正小标宋简体" w:eastAsia="方正小标宋简体" w:cs="方正小标宋简体"/>
          <w:b w:val="0"/>
          <w:bCs w:val="0"/>
          <w:color w:val="auto"/>
          <w:sz w:val="32"/>
          <w:szCs w:val="32"/>
          <w:shd w:val="clear" w:color="auto" w:fill="FFFFFF"/>
        </w:rPr>
      </w:pPr>
      <w:r>
        <w:rPr>
          <w:rFonts w:hint="eastAsia" w:ascii="方正小标宋简体" w:hAnsi="方正小标宋简体" w:eastAsia="方正小标宋简体" w:cs="方正小标宋简体"/>
          <w:b w:val="0"/>
          <w:bCs w:val="0"/>
          <w:color w:val="auto"/>
          <w:sz w:val="32"/>
          <w:szCs w:val="32"/>
          <w:shd w:val="clear" w:color="auto" w:fill="FFFFFF"/>
        </w:rPr>
        <w:t>表</w:t>
      </w:r>
      <w:r>
        <w:rPr>
          <w:rFonts w:hint="eastAsia" w:ascii="方正小标宋简体" w:hAnsi="方正小标宋简体" w:eastAsia="方正小标宋简体" w:cs="方正小标宋简体"/>
          <w:b w:val="0"/>
          <w:bCs w:val="0"/>
          <w:color w:val="auto"/>
          <w:sz w:val="32"/>
          <w:szCs w:val="32"/>
          <w:shd w:val="clear" w:color="auto" w:fill="FFFFFF"/>
          <w:lang w:val="en-US" w:eastAsia="zh-CN"/>
        </w:rPr>
        <w:t>7-7</w:t>
      </w:r>
      <w:r>
        <w:rPr>
          <w:rFonts w:hint="eastAsia" w:ascii="方正小标宋简体" w:hAnsi="方正小标宋简体" w:eastAsia="方正小标宋简体" w:cs="方正小标宋简体"/>
          <w:b w:val="0"/>
          <w:bCs w:val="0"/>
          <w:color w:val="auto"/>
          <w:sz w:val="32"/>
          <w:szCs w:val="32"/>
          <w:shd w:val="clear" w:color="auto" w:fill="FFFFFF"/>
        </w:rPr>
        <w:t xml:space="preserve">  酸、碱类风险物质泄漏事故应急卡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01C7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3393FB72">
            <w:pPr>
              <w:widowControl/>
              <w:spacing w:line="400" w:lineRule="exact"/>
              <w:ind w:firstLine="0" w:firstLineChars="0"/>
              <w:jc w:val="center"/>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sz w:val="32"/>
                <w:szCs w:val="32"/>
                <w:shd w:val="clear" w:color="auto" w:fill="FFFFFF"/>
              </w:rPr>
              <w:t>事</w:t>
            </w:r>
            <w:r>
              <w:rPr>
                <w:rFonts w:hint="eastAsia" w:ascii="仿宋_GB2312" w:hAnsi="仿宋_GB2312" w:eastAsia="仿宋_GB2312" w:cs="仿宋_GB2312"/>
                <w:b/>
                <w:bCs/>
                <w:color w:val="auto"/>
                <w:kern w:val="0"/>
                <w:sz w:val="32"/>
                <w:szCs w:val="32"/>
              </w:rPr>
              <w:t>故</w:t>
            </w:r>
          </w:p>
          <w:p w14:paraId="2DDADA4E">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33DA3E0F">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（1）风险物质：各类酸、碱类风险物质；</w:t>
            </w:r>
          </w:p>
          <w:p w14:paraId="2B48DC1B">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（2）风险单元：各类酸碱储罐或危化品仓库；</w:t>
            </w:r>
          </w:p>
          <w:p w14:paraId="48AC0FE9">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（3）风险特征：酸、碱类风险物质大多不燃；</w:t>
            </w:r>
            <w:r>
              <w:rPr>
                <w:rFonts w:hint="eastAsia" w:ascii="仿宋_GB2312" w:hAnsi="仿宋_GB2312" w:eastAsia="仿宋_GB2312" w:cs="仿宋_GB2312"/>
                <w:color w:val="auto"/>
                <w:kern w:val="0"/>
                <w:sz w:val="32"/>
                <w:szCs w:val="32"/>
                <w:lang w:eastAsia="zh-CN"/>
              </w:rPr>
              <w:t>进入</w:t>
            </w:r>
            <w:r>
              <w:rPr>
                <w:rFonts w:hint="eastAsia" w:ascii="仿宋_GB2312" w:hAnsi="仿宋_GB2312" w:eastAsia="仿宋_GB2312" w:cs="仿宋_GB2312"/>
                <w:color w:val="auto"/>
                <w:kern w:val="0"/>
                <w:sz w:val="32"/>
                <w:szCs w:val="32"/>
              </w:rPr>
              <w:t>水体后，将严重影响pH值，可能对水生生物和</w:t>
            </w:r>
            <w:r>
              <w:rPr>
                <w:rFonts w:hint="eastAsia" w:ascii="仿宋_GB2312" w:hAnsi="仿宋_GB2312" w:eastAsia="仿宋_GB2312" w:cs="仿宋_GB2312"/>
                <w:color w:val="auto"/>
                <w:kern w:val="0"/>
                <w:sz w:val="32"/>
                <w:szCs w:val="32"/>
                <w:lang w:eastAsia="zh-CN"/>
              </w:rPr>
              <w:t>底泥</w:t>
            </w:r>
            <w:r>
              <w:rPr>
                <w:rFonts w:hint="eastAsia" w:ascii="仿宋_GB2312" w:hAnsi="仿宋_GB2312" w:eastAsia="仿宋_GB2312" w:cs="仿宋_GB2312"/>
                <w:color w:val="auto"/>
                <w:kern w:val="0"/>
                <w:sz w:val="32"/>
                <w:szCs w:val="32"/>
              </w:rPr>
              <w:t>微生物产生致命影响；盐酸、硫酸、氢氧化钠具有强腐蚀性，接触可致人体严重灼伤，对皮肤和黏膜有强刺激性和腐蚀性，眼和皮肤接触引起化学性灼伤。</w:t>
            </w:r>
          </w:p>
        </w:tc>
      </w:tr>
      <w:tr w14:paraId="704A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F96A21E">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应急处置措施</w:t>
            </w:r>
          </w:p>
        </w:tc>
        <w:tc>
          <w:tcPr>
            <w:tcW w:w="8140" w:type="dxa"/>
            <w:vAlign w:val="center"/>
          </w:tcPr>
          <w:p w14:paraId="4C38C8DC">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（1）通知可能受影响的周边居民以及单位；</w:t>
            </w:r>
          </w:p>
          <w:p w14:paraId="7A3F108B">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（2）切断泄漏源</w:t>
            </w:r>
          </w:p>
          <w:p w14:paraId="461B5623">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①堵漏：现场应急处理人员查询风险源，根据查到的污染源进行处置。根据泄漏情况采取适当的切断泄漏源的措施，若是罐体泄漏形式（砂眼、裂缝、孔洞和裂口）采用木楔、外封式堵漏袋等方式进行堵漏，关闭或堵塞厂区雨水总排口阀门。酸类物质泄漏用石灰封堵企业泄漏口；</w:t>
            </w:r>
          </w:p>
          <w:p w14:paraId="1F663C82">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②泄漏液的处置处理：少量泄漏时，采用干土、干砂或者其他不易燃物质吸收，阻止扩散或者与雨水</w:t>
            </w:r>
            <w:r>
              <w:rPr>
                <w:rFonts w:hint="eastAsia" w:ascii="仿宋_GB2312" w:hAnsi="仿宋_GB2312" w:eastAsia="仿宋_GB2312" w:cs="仿宋_GB2312"/>
                <w:color w:val="auto"/>
                <w:kern w:val="0"/>
                <w:sz w:val="32"/>
                <w:szCs w:val="32"/>
                <w:lang w:eastAsia="zh-CN"/>
              </w:rPr>
              <w:t>混合</w:t>
            </w:r>
            <w:r>
              <w:rPr>
                <w:rFonts w:hint="eastAsia" w:ascii="仿宋_GB2312" w:hAnsi="仿宋_GB2312" w:eastAsia="仿宋_GB2312" w:cs="仿宋_GB2312"/>
                <w:color w:val="auto"/>
                <w:kern w:val="0"/>
                <w:sz w:val="32"/>
                <w:szCs w:val="32"/>
              </w:rPr>
              <w:t>。对陆域范围的酸类泄漏物采用石灰覆盖，并清洗。清洗水送入污水处理站处理；</w:t>
            </w:r>
          </w:p>
          <w:p w14:paraId="1F5903BE">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（3）如酸、碱类风险物质及消防废水流入雨水管网，用沙袋堵住雨水进入区域地表水系统排放口，对污染物进行拦截；</w:t>
            </w:r>
          </w:p>
          <w:p w14:paraId="03D478BE">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（4）如酸、碱类风险物质进入污水管道，应第一时间通知园区污水处理厂，提醒其做好监测和应对工作，确保污水处理厂正常运行，保证污水处理后达标排放；</w:t>
            </w:r>
          </w:p>
          <w:p w14:paraId="20D3059C">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（5）如酸、碱类风险物质及消防废水进入就近水体时，量少的可以自然稀释，如果污水泄漏至就近水体中的量很大，应采取拦截筑坝方式拦截废水并应及时通知下游停止使用等；</w:t>
            </w:r>
          </w:p>
        </w:tc>
      </w:tr>
      <w:tr w14:paraId="3945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8AED389">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45F2834E">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29938C0A">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水质监测布点：废水排放口、雨水排放口、排放口地表水上游500m断面、排放口地表水下游1000m断面、排放口地表水下游5000m断面（削减断面）。</w:t>
            </w:r>
          </w:p>
          <w:p w14:paraId="7A68A833">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监测因子：pH、SS、COD、氨氮等。</w:t>
            </w:r>
          </w:p>
          <w:p w14:paraId="4EA0427A">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监测频次：事故刚发生时，采样频次可适当增加，待摸清污染物变化规律后，可减少采样频次。</w:t>
            </w:r>
          </w:p>
        </w:tc>
      </w:tr>
      <w:tr w14:paraId="0F00F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C3E7301">
            <w:pPr>
              <w:widowControl/>
              <w:spacing w:line="400" w:lineRule="exact"/>
              <w:ind w:firstLine="0" w:firstLineChars="0"/>
              <w:jc w:val="center"/>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应急</w:t>
            </w:r>
          </w:p>
          <w:p w14:paraId="0B124CDB">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2A484036">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堵漏工具、生石灰、碳酸钠、碳酸氢钠、砂土、呼吸器、防化服、耐酸、碱手套等。</w:t>
            </w:r>
          </w:p>
        </w:tc>
      </w:tr>
      <w:tr w14:paraId="00F9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E4FD8C8">
            <w:pPr>
              <w:widowControl/>
              <w:spacing w:line="400" w:lineRule="exact"/>
              <w:ind w:firstLine="0" w:firstLineChars="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后勤</w:t>
            </w:r>
          </w:p>
          <w:p w14:paraId="20BA9FD0">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保障</w:t>
            </w:r>
          </w:p>
        </w:tc>
        <w:tc>
          <w:tcPr>
            <w:tcW w:w="8140" w:type="dxa"/>
            <w:vAlign w:val="center"/>
          </w:tcPr>
          <w:p w14:paraId="6CED65CD">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保持应急事故池的空置状态，以便随时可以使用</w:t>
            </w:r>
          </w:p>
        </w:tc>
      </w:tr>
    </w:tbl>
    <w:p w14:paraId="05EF4E2C">
      <w:pPr>
        <w:pStyle w:val="29"/>
        <w:ind w:left="0" w:leftChars="0" w:firstLine="0" w:firstLineChars="0"/>
        <w:jc w:val="both"/>
        <w:rPr>
          <w:rFonts w:hint="default" w:ascii="方正小标宋简体" w:hAnsi="方正小标宋简体" w:eastAsia="方正小标宋简体" w:cs="方正小标宋简体"/>
          <w:b w:val="0"/>
          <w:bCs w:val="0"/>
          <w:color w:val="auto"/>
          <w:sz w:val="32"/>
          <w:szCs w:val="32"/>
          <w:shd w:val="clear" w:color="auto" w:fill="FFFFFF"/>
        </w:rPr>
      </w:pPr>
    </w:p>
    <w:p w14:paraId="46417C90">
      <w:pPr>
        <w:pStyle w:val="29"/>
        <w:ind w:left="0" w:leftChars="0" w:firstLine="0" w:firstLineChars="0"/>
        <w:jc w:val="center"/>
        <w:rPr>
          <w:rFonts w:hint="default" w:ascii="方正小标宋简体" w:hAnsi="方正小标宋简体" w:eastAsia="方正小标宋简体" w:cs="方正小标宋简体"/>
          <w:b w:val="0"/>
          <w:bCs w:val="0"/>
          <w:color w:val="auto"/>
          <w:sz w:val="32"/>
          <w:szCs w:val="32"/>
          <w:shd w:val="clear" w:color="auto" w:fill="FFFFFF"/>
        </w:rPr>
      </w:pPr>
      <w:r>
        <w:rPr>
          <w:rFonts w:hint="default" w:ascii="方正小标宋简体" w:hAnsi="方正小标宋简体" w:eastAsia="方正小标宋简体" w:cs="方正小标宋简体"/>
          <w:b w:val="0"/>
          <w:bCs w:val="0"/>
          <w:color w:val="auto"/>
          <w:sz w:val="32"/>
          <w:szCs w:val="32"/>
          <w:shd w:val="clear" w:color="auto" w:fill="FFFFFF"/>
        </w:rPr>
        <w:t>表</w:t>
      </w:r>
      <w:r>
        <w:rPr>
          <w:rFonts w:hint="eastAsia" w:ascii="方正小标宋简体" w:hAnsi="方正小标宋简体" w:eastAsia="方正小标宋简体" w:cs="方正小标宋简体"/>
          <w:b w:val="0"/>
          <w:bCs w:val="0"/>
          <w:color w:val="auto"/>
          <w:sz w:val="32"/>
          <w:szCs w:val="32"/>
          <w:shd w:val="clear" w:color="auto" w:fill="FFFFFF"/>
          <w:lang w:val="en-US" w:eastAsia="zh-CN"/>
        </w:rPr>
        <w:t>7-8</w:t>
      </w:r>
      <w:r>
        <w:rPr>
          <w:rFonts w:hint="default" w:ascii="方正小标宋简体" w:hAnsi="方正小标宋简体" w:eastAsia="方正小标宋简体" w:cs="方正小标宋简体"/>
          <w:b w:val="0"/>
          <w:bCs w:val="0"/>
          <w:color w:val="auto"/>
          <w:sz w:val="32"/>
          <w:szCs w:val="32"/>
          <w:shd w:val="clear" w:color="auto" w:fill="FFFFFF"/>
        </w:rPr>
        <w:t xml:space="preserve">  有机化学品泄漏事故应急卡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8036"/>
      </w:tblGrid>
      <w:tr w14:paraId="565E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85AC089">
            <w:pPr>
              <w:widowControl/>
              <w:spacing w:line="400" w:lineRule="exact"/>
              <w:ind w:firstLine="0" w:firstLineChars="0"/>
              <w:jc w:val="center"/>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事故</w:t>
            </w:r>
          </w:p>
          <w:p w14:paraId="1CEE7DED">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1168587D">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（1）风险物质：各类有机化学品</w:t>
            </w:r>
          </w:p>
          <w:p w14:paraId="16333BF7">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（2）风险单元：各企业有机化学品储存、使用单元。</w:t>
            </w:r>
          </w:p>
        </w:tc>
      </w:tr>
      <w:tr w14:paraId="0437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49AAB6A">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应急处置措施</w:t>
            </w:r>
          </w:p>
        </w:tc>
        <w:tc>
          <w:tcPr>
            <w:tcW w:w="8140" w:type="dxa"/>
            <w:vAlign w:val="center"/>
          </w:tcPr>
          <w:p w14:paraId="33613135">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有机化学品泄漏事件后，在事发点附近区域设立警戒区，防止无关人员进入事发区域，事故中心禁止一切火源，现场指挥人员通知各救援小组快速集结投入堵漏行动，并使用专用防护服、隔绝式空气面罩；若事故现场持续蔓延扩大，请求消防部门和社会专业应急救援队伍支援；</w:t>
            </w:r>
          </w:p>
          <w:p w14:paraId="3C43E01E">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（2）切断泄漏源</w:t>
            </w:r>
          </w:p>
          <w:p w14:paraId="05EF76F0">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①堵漏：现场应急处理人员根据泄漏情况采取适当的切断泄漏源的措施，采用木楔、外封式堵漏袋等方式进行堵漏；</w:t>
            </w:r>
          </w:p>
          <w:p w14:paraId="238C84C0">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②泄漏液的处置处理：用泡沫或其他覆盖物品覆盖外泄的物料，在其表面形成覆盖层，抑制其蒸发。大量泄漏时，根据事故发生点的地形、地势等实际情况构筑围堤或挖沟槽收容泄漏物，防止进入水体或土壤中，用泵转移至槽车或专用收集器内，回收或运至废物处理场所处置；</w:t>
            </w:r>
          </w:p>
          <w:p w14:paraId="7E25E5E8">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③消防废水的处置处理：对消防废水进行拦截、引流处置。将消防废水</w:t>
            </w:r>
            <w:r>
              <w:rPr>
                <w:rFonts w:hint="eastAsia" w:ascii="仿宋_GB2312" w:hAnsi="仿宋_GB2312" w:eastAsia="仿宋_GB2312" w:cs="仿宋_GB2312"/>
                <w:color w:val="auto"/>
                <w:kern w:val="0"/>
                <w:sz w:val="32"/>
                <w:szCs w:val="32"/>
                <w:lang w:eastAsia="zh-CN"/>
              </w:rPr>
              <w:t>引入</w:t>
            </w:r>
            <w:r>
              <w:rPr>
                <w:rFonts w:hint="eastAsia" w:ascii="仿宋_GB2312" w:hAnsi="仿宋_GB2312" w:eastAsia="仿宋_GB2312" w:cs="仿宋_GB2312"/>
                <w:color w:val="auto"/>
                <w:kern w:val="0"/>
                <w:sz w:val="32"/>
                <w:szCs w:val="32"/>
              </w:rPr>
              <w:t>消防废水收集池、事故池，待事后抽走处置，若厂区没有设置消防废水收集池，应确定废水排放路线，在其排出厂区前进行拦截、引流设施处置，待事后用槽罐车将消防废水送</w:t>
            </w:r>
            <w:r>
              <w:rPr>
                <w:rFonts w:hint="eastAsia" w:ascii="仿宋_GB2312" w:hAnsi="仿宋_GB2312" w:eastAsia="仿宋_GB2312" w:cs="仿宋_GB2312"/>
                <w:color w:val="auto"/>
                <w:kern w:val="0"/>
                <w:sz w:val="32"/>
                <w:szCs w:val="32"/>
                <w:lang w:eastAsia="zh-CN"/>
              </w:rPr>
              <w:t>至</w:t>
            </w:r>
            <w:r>
              <w:rPr>
                <w:rFonts w:hint="eastAsia" w:ascii="仿宋_GB2312" w:hAnsi="仿宋_GB2312" w:eastAsia="仿宋_GB2312" w:cs="仿宋_GB2312"/>
                <w:color w:val="auto"/>
                <w:kern w:val="0"/>
                <w:sz w:val="32"/>
                <w:szCs w:val="32"/>
              </w:rPr>
              <w:t>园区污水处理厂处理；</w:t>
            </w:r>
          </w:p>
          <w:p w14:paraId="19304A10">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（3）如有机化学品及消防废水进入雨水管网，则用沙袋堵住雨水进入区域地表水系统排放口，对污染物进行拦截，待事后用槽罐车将消防废水送</w:t>
            </w:r>
            <w:r>
              <w:rPr>
                <w:rFonts w:hint="eastAsia" w:ascii="仿宋_GB2312" w:hAnsi="仿宋_GB2312" w:eastAsia="仿宋_GB2312" w:cs="仿宋_GB2312"/>
                <w:color w:val="auto"/>
                <w:kern w:val="0"/>
                <w:sz w:val="32"/>
                <w:szCs w:val="32"/>
                <w:lang w:eastAsia="zh-CN"/>
              </w:rPr>
              <w:t>至</w:t>
            </w:r>
            <w:r>
              <w:rPr>
                <w:rFonts w:hint="eastAsia" w:ascii="仿宋_GB2312" w:hAnsi="仿宋_GB2312" w:eastAsia="仿宋_GB2312" w:cs="仿宋_GB2312"/>
                <w:color w:val="auto"/>
                <w:kern w:val="0"/>
                <w:sz w:val="32"/>
                <w:szCs w:val="32"/>
              </w:rPr>
              <w:t>园区污水处理厂处理。</w:t>
            </w:r>
          </w:p>
          <w:p w14:paraId="4B00E8AC">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（4）如有机化学品进入污水管道，应第一时间通知园区污水处理厂，提醒其做好监测及应对工作，确保污水处理厂正常运行，保证污水处理后达标排放。</w:t>
            </w:r>
          </w:p>
          <w:p w14:paraId="60CD5AB5">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（5）如有机化学品及消防废水流入就近水体</w:t>
            </w:r>
            <w:r>
              <w:rPr>
                <w:rFonts w:hint="eastAsia" w:ascii="仿宋_GB2312" w:hAnsi="仿宋_GB2312" w:eastAsia="仿宋_GB2312" w:cs="仿宋_GB2312"/>
                <w:color w:val="auto"/>
                <w:kern w:val="0"/>
                <w:sz w:val="32"/>
                <w:szCs w:val="32"/>
                <w:lang w:eastAsia="zh-CN"/>
              </w:rPr>
              <w:t>时</w:t>
            </w:r>
            <w:r>
              <w:rPr>
                <w:rFonts w:hint="eastAsia" w:ascii="仿宋_GB2312" w:hAnsi="仿宋_GB2312" w:eastAsia="仿宋_GB2312" w:cs="仿宋_GB2312"/>
                <w:color w:val="auto"/>
                <w:kern w:val="0"/>
                <w:sz w:val="32"/>
                <w:szCs w:val="32"/>
              </w:rPr>
              <w:t>应采取拦截筑坝方式拦截废水，以减轻对下游水体的污染，并通知下游停止使用。</w:t>
            </w:r>
          </w:p>
        </w:tc>
      </w:tr>
      <w:tr w14:paraId="2448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9DA04BE">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2BD279C1">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37A8F9C7">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水质监测布点：废水排放口、雨水排放口、排放口地表水上游500m 断面（对照断面）、排放口地表水下游1000m断面（控制断面）、排放口地表水下游5000m断面（削减断面）。</w:t>
            </w:r>
          </w:p>
          <w:p w14:paraId="0B0F9A2E">
            <w:pPr>
              <w:widowControl/>
              <w:spacing w:line="400" w:lineRule="exact"/>
              <w:ind w:firstLine="0" w:firstLineChars="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监测因子：pH、COD、氨氮、特征有机物等。</w:t>
            </w:r>
          </w:p>
          <w:p w14:paraId="56E792E4">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监测频次：事故刚发生时，采样频次可适当增加待摸清污染物变化规律后，可减少采样频次。</w:t>
            </w:r>
          </w:p>
        </w:tc>
      </w:tr>
      <w:tr w14:paraId="03C1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2FBA785">
            <w:pPr>
              <w:widowControl/>
              <w:spacing w:line="400" w:lineRule="exact"/>
              <w:ind w:firstLine="0" w:firstLineChars="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2F71E68D">
            <w:pPr>
              <w:widowControl/>
              <w:spacing w:line="400" w:lineRule="exact"/>
              <w:ind w:firstLine="0" w:firstLineChars="0"/>
              <w:jc w:val="center"/>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085D4A5F">
            <w:pPr>
              <w:widowControl/>
              <w:spacing w:line="400" w:lineRule="exact"/>
              <w:ind w:firstLine="0" w:firstLineChars="0"/>
              <w:jc w:val="both"/>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堵漏工具、活性炭、呼吸器、防化服等。</w:t>
            </w:r>
          </w:p>
        </w:tc>
      </w:tr>
    </w:tbl>
    <w:p w14:paraId="6418E687">
      <w:pPr>
        <w:pStyle w:val="29"/>
        <w:keepNext w:val="0"/>
        <w:keepLines w:val="0"/>
        <w:pageBreakBefore w:val="0"/>
        <w:widowControl w:val="0"/>
        <w:kinsoku/>
        <w:wordWrap/>
        <w:overflowPunct/>
        <w:topLinePunct w:val="0"/>
        <w:autoSpaceDE/>
        <w:autoSpaceDN/>
        <w:bidi w:val="0"/>
        <w:adjustRightInd/>
        <w:snapToGrid/>
        <w:spacing w:line="600" w:lineRule="exact"/>
        <w:ind w:firstLine="843" w:firstLineChars="400"/>
        <w:jc w:val="center"/>
        <w:textAlignment w:val="auto"/>
        <w:rPr>
          <w:rFonts w:hint="default" w:ascii="Times New Roman" w:hAnsi="Times New Roman" w:eastAsia="宋体" w:cs="Times New Roman"/>
          <w:b/>
          <w:bCs/>
          <w:color w:val="auto"/>
          <w:szCs w:val="21"/>
          <w:shd w:val="clear" w:color="auto" w:fill="FFFFFF"/>
        </w:rPr>
      </w:pPr>
    </w:p>
    <w:p w14:paraId="6349B94C">
      <w:pPr>
        <w:pStyle w:val="29"/>
        <w:ind w:left="0" w:leftChars="0" w:firstLine="0" w:firstLineChars="0"/>
        <w:jc w:val="center"/>
        <w:rPr>
          <w:rFonts w:hint="default" w:ascii="方正小标宋简体" w:hAnsi="方正小标宋简体" w:eastAsia="方正小标宋简体" w:cs="方正小标宋简体"/>
          <w:b w:val="0"/>
          <w:bCs w:val="0"/>
          <w:color w:val="auto"/>
          <w:sz w:val="32"/>
          <w:szCs w:val="32"/>
          <w:shd w:val="clear" w:color="auto" w:fill="FFFFFF"/>
        </w:rPr>
      </w:pPr>
      <w:r>
        <w:rPr>
          <w:rFonts w:hint="default" w:ascii="方正小标宋简体" w:hAnsi="方正小标宋简体" w:eastAsia="方正小标宋简体" w:cs="方正小标宋简体"/>
          <w:b w:val="0"/>
          <w:bCs w:val="0"/>
          <w:color w:val="auto"/>
          <w:sz w:val="32"/>
          <w:szCs w:val="32"/>
          <w:shd w:val="clear" w:color="auto" w:fill="FFFFFF"/>
        </w:rPr>
        <w:t>表</w:t>
      </w:r>
      <w:r>
        <w:rPr>
          <w:rFonts w:hint="eastAsia" w:ascii="方正小标宋简体" w:hAnsi="方正小标宋简体" w:eastAsia="方正小标宋简体" w:cs="方正小标宋简体"/>
          <w:b w:val="0"/>
          <w:bCs w:val="0"/>
          <w:color w:val="auto"/>
          <w:sz w:val="32"/>
          <w:szCs w:val="32"/>
          <w:shd w:val="clear" w:color="auto" w:fill="FFFFFF"/>
          <w:lang w:val="en-US" w:eastAsia="zh-CN"/>
        </w:rPr>
        <w:t>7-9</w:t>
      </w:r>
      <w:r>
        <w:rPr>
          <w:rFonts w:hint="default" w:ascii="方正小标宋简体" w:hAnsi="方正小标宋简体" w:eastAsia="方正小标宋简体" w:cs="方正小标宋简体"/>
          <w:b w:val="0"/>
          <w:bCs w:val="0"/>
          <w:color w:val="auto"/>
          <w:sz w:val="32"/>
          <w:szCs w:val="32"/>
          <w:shd w:val="clear" w:color="auto" w:fill="FFFFFF"/>
        </w:rPr>
        <w:t xml:space="preserve">  油类风险物质泄漏事故应急卡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1947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3" w:type="dxa"/>
            <w:vAlign w:val="center"/>
          </w:tcPr>
          <w:p w14:paraId="0E3F6739">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rPr>
              <w:t>事故</w:t>
            </w:r>
          </w:p>
          <w:p w14:paraId="2DA40A7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605CE9E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（1）风险物质：柴油、煤油等油类物质。</w:t>
            </w:r>
          </w:p>
          <w:p w14:paraId="37A80A21">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（2）风险单元：各企业油类存储单元。</w:t>
            </w:r>
          </w:p>
          <w:p w14:paraId="44B11486">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（3）风险特征：</w:t>
            </w:r>
          </w:p>
          <w:p w14:paraId="38FEB9CE">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①高度易燃，蒸气与空气可形成爆炸性混合物，遇明火、高热极易燃烧爆炸，高浓度吸入汽油蒸气引起急性中毒，表现为中毒性脑病，出现精神症状、意识障碍。极高浓度吸入引起意识突然丧失、反射性呼吸停止。误将汽油吸入呼吸道可引起吸入性肺炎；</w:t>
            </w:r>
          </w:p>
          <w:p w14:paraId="5B539ADA">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②柴油遇明火、高热或与氧化剂接触，有引起燃烧爆炸的危险；对眼睛、皮肤、粘膜和上呼吸道具有强烈刺激作用。吸入后，可引起喉、支气管的</w:t>
            </w:r>
            <w:r>
              <w:rPr>
                <w:rFonts w:hint="eastAsia" w:ascii="仿宋_GB2312" w:hAnsi="仿宋_GB2312" w:eastAsia="仿宋_GB2312" w:cs="仿宋_GB2312"/>
                <w:color w:val="auto"/>
                <w:kern w:val="0"/>
                <w:sz w:val="32"/>
                <w:szCs w:val="32"/>
                <w:lang w:eastAsia="zh-CN"/>
              </w:rPr>
              <w:t>炎症</w:t>
            </w:r>
            <w:r>
              <w:rPr>
                <w:rFonts w:hint="eastAsia" w:ascii="仿宋_GB2312" w:hAnsi="仿宋_GB2312" w:eastAsia="仿宋_GB2312" w:cs="仿宋_GB2312"/>
                <w:color w:val="auto"/>
                <w:kern w:val="0"/>
                <w:sz w:val="32"/>
                <w:szCs w:val="32"/>
              </w:rPr>
              <w:t>、水肿、痉挛、化学性肺炎或肺水肿。接触后可引起燃灼感、咳嗽、喘息、气短、头痛、恶心和呕吐等。</w:t>
            </w:r>
          </w:p>
        </w:tc>
      </w:tr>
      <w:tr w14:paraId="7ECC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779E185">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应急处置措施</w:t>
            </w:r>
          </w:p>
        </w:tc>
        <w:tc>
          <w:tcPr>
            <w:tcW w:w="8140" w:type="dxa"/>
            <w:vAlign w:val="center"/>
          </w:tcPr>
          <w:p w14:paraId="6E293446">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油类风险物质泄漏事件后，在事发点附近区域设立警戒区，防止无关人员进入事发区域，现场指挥人员通知各救援小组快速集结投入堵漏行动；若事故现场持续蔓延扩大，请求消防部门和社会专业应急救援队伍支援；社会专业应急救援队伍到达后，根据应急救援队伍专业人员的指示和安排，配合开展堵漏或污染防治行动。</w:t>
            </w:r>
          </w:p>
          <w:p w14:paraId="7FC83F9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（2）堵漏：现场应急处理人员根据泄漏情况采取适当的切断泄漏源的措施，采用木楔、外封式堵漏袋等方式进行堵漏。</w:t>
            </w:r>
          </w:p>
          <w:p w14:paraId="5D52003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泄漏液的处置处理：大量泄漏时，根据事故发生点的地形、地势等实际情况构筑围堤或挖沟槽收容泄漏物，防止进入水体或土壤中；可用泡沫覆盖泄漏物，减少挥发。如果油类物质泄漏留存在地面，可用木屑、麻袋、砂土或其他不燃材料吸收泄漏物，应急结束后</w:t>
            </w:r>
            <w:r>
              <w:rPr>
                <w:rFonts w:hint="eastAsia" w:ascii="仿宋_GB2312" w:hAnsi="仿宋_GB2312" w:eastAsia="仿宋_GB2312" w:cs="仿宋_GB2312"/>
                <w:color w:val="auto"/>
                <w:kern w:val="0"/>
                <w:sz w:val="32"/>
                <w:szCs w:val="32"/>
                <w:lang w:eastAsia="zh-CN"/>
              </w:rPr>
              <w:t>做</w:t>
            </w:r>
            <w:r>
              <w:rPr>
                <w:rFonts w:hint="eastAsia" w:ascii="仿宋_GB2312" w:hAnsi="仿宋_GB2312" w:eastAsia="仿宋_GB2312" w:cs="仿宋_GB2312"/>
                <w:color w:val="auto"/>
                <w:kern w:val="0"/>
                <w:sz w:val="32"/>
                <w:szCs w:val="32"/>
              </w:rPr>
              <w:t>危废处理；</w:t>
            </w:r>
          </w:p>
          <w:p w14:paraId="7079D271">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如果油类物质随雨水管网进入附近水体中，应在雨水管网排放入纳污水体的排放口布放围油栏吸油毡、拦油绳引导或遏制溢油，并根据事故大小在下游不同距离多级设置围油栏等，防止溢油扩散，并使用撇油器、吸油棉或消油剂清除水面油污。</w:t>
            </w:r>
          </w:p>
          <w:p w14:paraId="3CC7B791">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（5）如油类物质进入污水管道，应第一时间通知园区污水处理厂，提醒其做好监测及应对工作，确保污水处理厂正常运行，保证污水处理后达标排放。</w:t>
            </w:r>
          </w:p>
          <w:p w14:paraId="51674FA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（5）注意事项：消除所有点火源</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泄漏沿线附近禁止吸烟，消除所有明火、火花或火焰</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w:t>
            </w:r>
          </w:p>
        </w:tc>
      </w:tr>
      <w:tr w14:paraId="5053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E63E43A">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3891B1F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0AE421D0">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水质监测布点：废水排放口、雨水排放口、排放口地表水上游500m断面（对照断面）、排放口地表水下游1000m断面（控制断面）、排放口地表水下游5000m断面（削减断面）。</w:t>
            </w:r>
          </w:p>
          <w:p w14:paraId="68805D0E">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监测因子：石油类。</w:t>
            </w:r>
          </w:p>
          <w:p w14:paraId="679E65A8">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监测频次：事故刚发生时，采样频次可适当增加待摸清污染物变化规律后，可减少采样频次。</w:t>
            </w:r>
          </w:p>
        </w:tc>
      </w:tr>
      <w:tr w14:paraId="6124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57B45E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58FB42E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09E0CD56">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堵漏工具、砂土、围油栏、吸油棉、吸油垫、拦油绳、撇油器、消油剂、油槽车、挖掘机、移动储油泵等</w:t>
            </w:r>
          </w:p>
        </w:tc>
      </w:tr>
    </w:tbl>
    <w:p w14:paraId="4572987B">
      <w:pPr>
        <w:pStyle w:val="29"/>
        <w:keepNext w:val="0"/>
        <w:keepLines w:val="0"/>
        <w:pageBreakBefore w:val="0"/>
        <w:widowControl w:val="0"/>
        <w:kinsoku/>
        <w:wordWrap/>
        <w:overflowPunct/>
        <w:topLinePunct w:val="0"/>
        <w:autoSpaceDE/>
        <w:autoSpaceDN/>
        <w:bidi w:val="0"/>
        <w:adjustRightInd/>
        <w:snapToGrid/>
        <w:spacing w:line="600" w:lineRule="exact"/>
        <w:ind w:firstLine="843" w:firstLineChars="400"/>
        <w:jc w:val="center"/>
        <w:textAlignment w:val="auto"/>
        <w:rPr>
          <w:rFonts w:hint="default" w:ascii="Times New Roman" w:hAnsi="Times New Roman" w:eastAsia="宋体" w:cs="Times New Roman"/>
          <w:b/>
          <w:bCs/>
          <w:color w:val="auto"/>
          <w:szCs w:val="21"/>
          <w:shd w:val="clear" w:color="auto" w:fill="FFFFFF"/>
        </w:rPr>
      </w:pPr>
    </w:p>
    <w:p w14:paraId="1211FFC1">
      <w:pPr>
        <w:pStyle w:val="29"/>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default" w:ascii="方正小标宋简体" w:hAnsi="方正小标宋简体" w:eastAsia="方正小标宋简体" w:cs="方正小标宋简体"/>
          <w:b w:val="0"/>
          <w:bCs w:val="0"/>
          <w:color w:val="auto"/>
          <w:sz w:val="32"/>
          <w:szCs w:val="32"/>
          <w:shd w:val="clear" w:color="auto" w:fill="FFFFFF"/>
        </w:rPr>
      </w:pPr>
      <w:r>
        <w:rPr>
          <w:rFonts w:hint="default" w:ascii="方正小标宋简体" w:hAnsi="方正小标宋简体" w:eastAsia="方正小标宋简体" w:cs="方正小标宋简体"/>
          <w:b w:val="0"/>
          <w:bCs w:val="0"/>
          <w:color w:val="auto"/>
          <w:sz w:val="32"/>
          <w:szCs w:val="32"/>
          <w:shd w:val="clear" w:color="auto" w:fill="FFFFFF"/>
        </w:rPr>
        <w:t>表</w:t>
      </w:r>
      <w:r>
        <w:rPr>
          <w:rFonts w:hint="eastAsia" w:ascii="方正小标宋简体" w:hAnsi="方正小标宋简体" w:eastAsia="方正小标宋简体" w:cs="方正小标宋简体"/>
          <w:b w:val="0"/>
          <w:bCs w:val="0"/>
          <w:color w:val="auto"/>
          <w:sz w:val="32"/>
          <w:szCs w:val="32"/>
          <w:shd w:val="clear" w:color="auto" w:fill="FFFFFF"/>
          <w:lang w:val="en-US" w:eastAsia="zh-CN"/>
        </w:rPr>
        <w:t>7-10</w:t>
      </w:r>
      <w:r>
        <w:rPr>
          <w:rFonts w:hint="default" w:ascii="方正小标宋简体" w:hAnsi="方正小标宋简体" w:eastAsia="方正小标宋简体" w:cs="方正小标宋简体"/>
          <w:b w:val="0"/>
          <w:bCs w:val="0"/>
          <w:color w:val="auto"/>
          <w:sz w:val="32"/>
          <w:szCs w:val="32"/>
          <w:shd w:val="clear" w:color="auto" w:fill="FFFFFF"/>
        </w:rPr>
        <w:t xml:space="preserve">  园区突发环境事件产生的污染物进入园区污水处理厂造成的废水非正常排放事件应急处置卡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8036"/>
      </w:tblGrid>
      <w:tr w14:paraId="1C70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1C3C6D27">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事故</w:t>
            </w:r>
          </w:p>
          <w:p w14:paraId="1EF25CAE">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0ACF37F8">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（1）风险物质：园区突发环境事件产生的事故废水；</w:t>
            </w:r>
          </w:p>
          <w:p w14:paraId="6A90FDF7">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（2）风险单元：园区企业废水处理设施；</w:t>
            </w:r>
          </w:p>
          <w:p w14:paraId="4CAD2BC3">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（3）风险特征：园区突发环境事件产生的污染物非正常排放对污水处理厂造成冲击。</w:t>
            </w:r>
          </w:p>
        </w:tc>
      </w:tr>
      <w:tr w14:paraId="3570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537C9A18">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1B237859">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处置</w:t>
            </w:r>
          </w:p>
          <w:p w14:paraId="75CC7D59">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措施</w:t>
            </w:r>
          </w:p>
        </w:tc>
        <w:tc>
          <w:tcPr>
            <w:tcW w:w="8140" w:type="dxa"/>
            <w:vAlign w:val="center"/>
          </w:tcPr>
          <w:p w14:paraId="0379C0FA">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（1）园区管委会确认发生废水非正常排放事故后，启动区环境应急响应程序，组织配合各应急小组展开环境应急工作；</w:t>
            </w:r>
          </w:p>
          <w:p w14:paraId="3A20A325">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（2）扩大应急时应上报</w:t>
            </w:r>
            <w:r>
              <w:rPr>
                <w:rFonts w:hint="eastAsia" w:ascii="仿宋_GB2312" w:hAnsi="仿宋_GB2312" w:eastAsia="仿宋_GB2312" w:cs="仿宋_GB2312"/>
                <w:color w:val="auto"/>
                <w:kern w:val="0"/>
                <w:sz w:val="32"/>
                <w:szCs w:val="32"/>
                <w:lang w:val="en-US" w:eastAsia="zh-CN"/>
              </w:rPr>
              <w:t>景德镇市昌江</w:t>
            </w:r>
            <w:r>
              <w:rPr>
                <w:rFonts w:hint="eastAsia" w:ascii="仿宋_GB2312" w:hAnsi="仿宋_GB2312" w:eastAsia="仿宋_GB2312" w:cs="仿宋_GB2312"/>
                <w:color w:val="auto"/>
                <w:kern w:val="0"/>
                <w:sz w:val="32"/>
                <w:szCs w:val="32"/>
              </w:rPr>
              <w:t>生态环境局；</w:t>
            </w:r>
          </w:p>
          <w:p w14:paraId="140EEBF7">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（3）应急救援总指挥通知生产企业将废水排入企业自建的事故池或停止生产；</w:t>
            </w:r>
          </w:p>
          <w:p w14:paraId="2F1AD309">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（4）现场查明废水事故排放情况（排放口、水量、去向、起因）；</w:t>
            </w:r>
          </w:p>
          <w:p w14:paraId="1C56CBDF">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（5）通知园区污水处理厂，不可处理后水质未达标的废水排入外环境。若已进入外环境，调整各污水处理厂工艺运行参数和药剂投加量等，直到调整系统运行出水达标；</w:t>
            </w:r>
          </w:p>
          <w:p w14:paraId="3DE73EB5">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（6）如超标污水进入受纳水体时，污水泄漏至水体中量少的可以自然稀释，如果污水泄漏至水体中的量很大，则应及时通知下游；</w:t>
            </w:r>
          </w:p>
          <w:p w14:paraId="74D5172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（7）展开应急监测，必要时请求第三方监测机构增援。</w:t>
            </w:r>
          </w:p>
          <w:p w14:paraId="7D6343A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（8）根据受纳水体水质监测数据决定进一步应急措施。</w:t>
            </w:r>
          </w:p>
        </w:tc>
      </w:tr>
      <w:tr w14:paraId="08DA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04BF157C">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130648AD">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监测</w:t>
            </w:r>
          </w:p>
          <w:p w14:paraId="21F57356">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方案</w:t>
            </w:r>
          </w:p>
        </w:tc>
        <w:tc>
          <w:tcPr>
            <w:tcW w:w="8140" w:type="dxa"/>
            <w:vAlign w:val="center"/>
          </w:tcPr>
          <w:p w14:paraId="213E6335">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若泄漏废水进入外界水体中，则应对废</w:t>
            </w:r>
            <w:r>
              <w:rPr>
                <w:rFonts w:hint="eastAsia" w:ascii="仿宋_GB2312" w:hAnsi="仿宋_GB2312" w:eastAsia="仿宋_GB2312" w:cs="仿宋_GB2312"/>
                <w:color w:val="auto"/>
                <w:kern w:val="0"/>
                <w:sz w:val="32"/>
                <w:szCs w:val="32"/>
                <w:lang w:eastAsia="zh-CN"/>
              </w:rPr>
              <w:t>水进</w:t>
            </w:r>
            <w:r>
              <w:rPr>
                <w:rFonts w:hint="eastAsia" w:ascii="仿宋_GB2312" w:hAnsi="仿宋_GB2312" w:eastAsia="仿宋_GB2312" w:cs="仿宋_GB2312"/>
                <w:color w:val="auto"/>
                <w:kern w:val="0"/>
                <w:sz w:val="32"/>
                <w:szCs w:val="32"/>
              </w:rPr>
              <w:t>入水体的上下游河段进行监测，监测要点如下：</w:t>
            </w:r>
          </w:p>
          <w:p w14:paraId="1587718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（1）监测单位：委托有资质的监测单位。</w:t>
            </w:r>
          </w:p>
          <w:p w14:paraId="3AF7B643">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（2）监测因子：pH、COD、氨氮及涉及的其他危险化学品等。</w:t>
            </w:r>
          </w:p>
          <w:p w14:paraId="17C32D93">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（3）监测布点：污水处理厂总排污口上游500m及下游1000m。</w:t>
            </w:r>
          </w:p>
          <w:p w14:paraId="418A3D0E">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（4）监测频次：事故刚发生时，采样频次可适当增加待摸清污染物变化规律后，可减少采样频次。</w:t>
            </w:r>
          </w:p>
        </w:tc>
      </w:tr>
    </w:tbl>
    <w:p w14:paraId="06019BC8">
      <w:pPr>
        <w:keepNext w:val="0"/>
        <w:keepLines w:val="0"/>
        <w:pageBreakBefore w:val="0"/>
        <w:kinsoku/>
        <w:wordWrap/>
        <w:overflowPunct/>
        <w:topLinePunct w:val="0"/>
        <w:autoSpaceDE/>
        <w:autoSpaceDN/>
        <w:bidi w:val="0"/>
        <w:adjustRightInd/>
        <w:snapToGrid/>
        <w:spacing w:line="600" w:lineRule="exact"/>
        <w:ind w:firstLine="480"/>
        <w:textAlignment w:val="auto"/>
        <w:outlineLvl w:val="0"/>
        <w:rPr>
          <w:rFonts w:hint="eastAsia" w:ascii="楷体_GB2312" w:hAnsi="楷体_GB2312" w:eastAsia="楷体_GB2312" w:cs="楷体_GB2312"/>
          <w:b/>
          <w:bCs/>
          <w:color w:val="auto"/>
          <w:sz w:val="32"/>
          <w:szCs w:val="32"/>
        </w:rPr>
      </w:pPr>
      <w:bookmarkStart w:id="525" w:name="_Toc2294"/>
      <w:bookmarkStart w:id="526" w:name="_Toc19906"/>
      <w:bookmarkStart w:id="527" w:name="_Toc2398"/>
      <w:bookmarkStart w:id="528" w:name="_Toc2366"/>
      <w:bookmarkStart w:id="529" w:name="_Toc9388"/>
      <w:bookmarkStart w:id="530" w:name="_Toc6776"/>
      <w:r>
        <w:rPr>
          <w:rFonts w:hint="eastAsia" w:ascii="楷体_GB2312" w:hAnsi="楷体_GB2312" w:eastAsia="楷体_GB2312" w:cs="楷体_GB2312"/>
          <w:b/>
          <w:bCs/>
          <w:color w:val="auto"/>
          <w:sz w:val="32"/>
          <w:szCs w:val="32"/>
        </w:rPr>
        <w:t>3</w:t>
      </w:r>
      <w:r>
        <w:rPr>
          <w:rFonts w:hint="eastAsia" w:ascii="楷体_GB2312" w:hAnsi="楷体_GB2312" w:eastAsia="楷体_GB2312" w:cs="楷体_GB2312"/>
          <w:b/>
          <w:bCs/>
          <w:color w:val="auto"/>
          <w:sz w:val="32"/>
          <w:szCs w:val="32"/>
          <w:lang w:val="en-US" w:eastAsia="zh-CN"/>
        </w:rPr>
        <w:t>.</w:t>
      </w:r>
      <w:r>
        <w:rPr>
          <w:rFonts w:hint="eastAsia" w:ascii="楷体_GB2312" w:hAnsi="楷体_GB2312" w:eastAsia="楷体_GB2312" w:cs="楷体_GB2312"/>
          <w:b/>
          <w:bCs/>
          <w:color w:val="auto"/>
          <w:sz w:val="32"/>
          <w:szCs w:val="32"/>
        </w:rPr>
        <w:t>交通事故引发物质泄漏的应急处置措施</w:t>
      </w:r>
      <w:bookmarkEnd w:id="525"/>
      <w:bookmarkEnd w:id="526"/>
      <w:bookmarkEnd w:id="527"/>
      <w:bookmarkEnd w:id="528"/>
      <w:bookmarkEnd w:id="529"/>
      <w:bookmarkEnd w:id="530"/>
    </w:p>
    <w:p w14:paraId="2E25BD8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b/>
          <w:bCs/>
          <w:color w:val="auto"/>
          <w:kern w:val="0"/>
          <w:sz w:val="32"/>
          <w:szCs w:val="32"/>
        </w:rPr>
        <w:t>（1）划定紧急隔离带。</w:t>
      </w:r>
      <w:r>
        <w:rPr>
          <w:rFonts w:hint="default" w:ascii="仿宋_GB2312" w:hAnsi="仿宋_GB2312" w:eastAsia="仿宋_GB2312" w:cs="仿宋_GB2312"/>
          <w:color w:val="auto"/>
          <w:kern w:val="0"/>
          <w:sz w:val="32"/>
          <w:szCs w:val="32"/>
        </w:rPr>
        <w:t>一旦发生危险化学品或危险废物运输车辆泄漏事故，首先应由交警部门对道路进行戒严，在未判明危险化学品种类、性状、危害程度时，严禁半幅通车。</w:t>
      </w:r>
    </w:p>
    <w:p w14:paraId="2F264C6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b/>
          <w:bCs/>
          <w:color w:val="auto"/>
          <w:kern w:val="0"/>
          <w:sz w:val="32"/>
          <w:szCs w:val="32"/>
        </w:rPr>
        <w:t>（2）判明危险化学品或危险废物种类。</w:t>
      </w:r>
      <w:r>
        <w:rPr>
          <w:rFonts w:hint="default" w:ascii="仿宋_GB2312" w:hAnsi="仿宋_GB2312" w:eastAsia="仿宋_GB2312" w:cs="仿宋_GB2312"/>
          <w:color w:val="auto"/>
          <w:kern w:val="0"/>
          <w:sz w:val="32"/>
          <w:szCs w:val="32"/>
        </w:rPr>
        <w:t>立即进行现场勘察，通过向当事人询问、查看运载记录、利用应急监测设备等方法迅速判明危险化学品或危险废物种类、危害程度、扩散方式。根据事故点地形地貌、气象条件，依据污染扩散模型，确定合理警戒区域。</w:t>
      </w:r>
    </w:p>
    <w:p w14:paraId="06A3D3C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531" w:name="_Toc29343"/>
      <w:bookmarkStart w:id="532" w:name="_Toc6527"/>
      <w:bookmarkStart w:id="533" w:name="_Toc30175"/>
      <w:bookmarkStart w:id="534" w:name="_Toc5096"/>
      <w:bookmarkStart w:id="535" w:name="_Toc30043"/>
      <w:bookmarkStart w:id="536" w:name="_Toc7720"/>
      <w:r>
        <w:rPr>
          <w:rFonts w:hint="default" w:ascii="仿宋_GB2312" w:hAnsi="仿宋_GB2312" w:eastAsia="仿宋_GB2312" w:cs="仿宋_GB2312"/>
          <w:b/>
          <w:bCs/>
          <w:color w:val="auto"/>
          <w:kern w:val="0"/>
          <w:sz w:val="32"/>
          <w:szCs w:val="32"/>
        </w:rPr>
        <w:t>（3）处置措施</w:t>
      </w:r>
      <w:bookmarkEnd w:id="531"/>
      <w:bookmarkEnd w:id="532"/>
      <w:bookmarkEnd w:id="533"/>
      <w:bookmarkEnd w:id="534"/>
      <w:bookmarkEnd w:id="535"/>
      <w:bookmarkEnd w:id="536"/>
    </w:p>
    <w:p w14:paraId="49184E4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①气态污染物</w:t>
      </w:r>
    </w:p>
    <w:p w14:paraId="62255FE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气态物质泄漏一般使用中和剂。本园区可能在运输过程中的气态物质是乙炔，乙炔泄漏后产生乙炔气体。乙炔泄漏后，机动车辆就地熄火。由消防部门</w:t>
      </w:r>
      <w:r>
        <w:rPr>
          <w:rFonts w:hint="eastAsia" w:ascii="仿宋_GB2312" w:hAnsi="仿宋_GB2312" w:eastAsia="仿宋_GB2312" w:cs="仿宋_GB2312"/>
          <w:color w:val="auto"/>
          <w:kern w:val="0"/>
          <w:sz w:val="32"/>
          <w:szCs w:val="32"/>
          <w:lang w:eastAsia="zh-CN"/>
        </w:rPr>
        <w:t>在</w:t>
      </w:r>
      <w:r>
        <w:rPr>
          <w:rFonts w:hint="default" w:ascii="仿宋_GB2312" w:hAnsi="仿宋_GB2312" w:eastAsia="仿宋_GB2312" w:cs="仿宋_GB2312"/>
          <w:color w:val="auto"/>
          <w:kern w:val="0"/>
          <w:sz w:val="32"/>
          <w:szCs w:val="32"/>
        </w:rPr>
        <w:t>下风向喷水雾洗消，消防水收集后进行无害化处理。</w:t>
      </w:r>
    </w:p>
    <w:p w14:paraId="7ED5654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②液态污染物</w:t>
      </w:r>
    </w:p>
    <w:p w14:paraId="06ECE0A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修筑简单围堵收集围堰，防止进入水体和下水管道，利用消防泡沫覆盖或就近取用黄土覆盖，收集污染物进行无害化处理。在有条件的情况下，利用防爆泵进行倒罐处理。酸性物质泄漏后应急处置人员应穿着防化服，佩戴</w:t>
      </w:r>
      <w:r>
        <w:rPr>
          <w:rFonts w:hint="eastAsia" w:ascii="仿宋_GB2312" w:hAnsi="仿宋_GB2312" w:eastAsia="仿宋_GB2312" w:cs="仿宋_GB2312"/>
          <w:color w:val="auto"/>
          <w:kern w:val="0"/>
          <w:sz w:val="32"/>
          <w:szCs w:val="32"/>
          <w:lang w:eastAsia="zh-CN"/>
        </w:rPr>
        <w:t>防毒面具</w:t>
      </w:r>
      <w:r>
        <w:rPr>
          <w:rFonts w:hint="default" w:ascii="仿宋_GB2312" w:hAnsi="仿宋_GB2312" w:eastAsia="仿宋_GB2312" w:cs="仿宋_GB2312"/>
          <w:color w:val="auto"/>
          <w:kern w:val="0"/>
          <w:sz w:val="32"/>
          <w:szCs w:val="32"/>
        </w:rPr>
        <w:t>。如液态污染物进入水体，应首先切断污染源，对下游居民进行警示，禁止取水活动。在水体中投加中和药剂。待事发地及水体下游水质恢复后应急处置结束。</w:t>
      </w:r>
    </w:p>
    <w:p w14:paraId="7CC9CFA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③固态污染物</w:t>
      </w:r>
    </w:p>
    <w:p w14:paraId="61D650D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固态污染物在运输过程中泄漏，处置人员应在上风向进行处置操作，防止固态物质吸入，对泄漏物质进行收集，收集过程中应轻拿轻放，减少扬尘。固态物质泄漏进入水体，参考液态污染物泄漏的处置措施。</w:t>
      </w:r>
    </w:p>
    <w:p w14:paraId="19BF694E">
      <w:pPr>
        <w:pStyle w:val="29"/>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32"/>
          <w:szCs w:val="32"/>
          <w:shd w:val="clear" w:color="auto" w:fill="FFFFFF"/>
        </w:rPr>
      </w:pPr>
      <w:r>
        <w:rPr>
          <w:rFonts w:hint="eastAsia" w:ascii="方正小标宋简体" w:hAnsi="方正小标宋简体" w:eastAsia="方正小标宋简体" w:cs="方正小标宋简体"/>
          <w:b w:val="0"/>
          <w:bCs w:val="0"/>
          <w:color w:val="auto"/>
          <w:sz w:val="32"/>
          <w:szCs w:val="32"/>
          <w:shd w:val="clear" w:color="auto" w:fill="FFFFFF"/>
        </w:rPr>
        <w:t>表</w:t>
      </w:r>
      <w:r>
        <w:rPr>
          <w:rFonts w:hint="eastAsia" w:ascii="方正小标宋简体" w:hAnsi="方正小标宋简体" w:eastAsia="方正小标宋简体" w:cs="方正小标宋简体"/>
          <w:b w:val="0"/>
          <w:bCs w:val="0"/>
          <w:color w:val="auto"/>
          <w:sz w:val="32"/>
          <w:szCs w:val="32"/>
          <w:shd w:val="clear" w:color="auto" w:fill="FFFFFF"/>
          <w:lang w:val="en-US" w:eastAsia="zh-CN"/>
        </w:rPr>
        <w:t>7-11</w:t>
      </w:r>
      <w:r>
        <w:rPr>
          <w:rFonts w:hint="eastAsia" w:ascii="方正小标宋简体" w:hAnsi="方正小标宋简体" w:eastAsia="方正小标宋简体" w:cs="方正小标宋简体"/>
          <w:b w:val="0"/>
          <w:bCs w:val="0"/>
          <w:color w:val="auto"/>
          <w:sz w:val="32"/>
          <w:szCs w:val="32"/>
          <w:shd w:val="clear" w:color="auto" w:fill="FFFFFF"/>
        </w:rPr>
        <w:t xml:space="preserve">  公路运输突发环境事件应急卡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144D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1540E40">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事故</w:t>
            </w:r>
          </w:p>
          <w:p w14:paraId="34F5D7CC">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00A5547E">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（1）风险物质：危险化学品；</w:t>
            </w:r>
          </w:p>
          <w:p w14:paraId="4CE012DA">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（2）风险单元：运输车辆；</w:t>
            </w:r>
          </w:p>
          <w:p w14:paraId="2A1AFF74">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风险特征：园区内的化学品和危废运输车辆在园区内发生事故，造成危化品和危废泄漏直接进入路面，部分进入周围地面，造成路面及周围地面的土壤污染；危化品和危废泄漏挥发气体和危化品泄漏发生火灾的燃烧烟气进入周围的大气环境中会造成周围的大气的污染；泄漏的危化品、危废火灾爆炸产生的消防废水可能进入雨水管网，由周围的雨水管网进入附近的水体，造成周围水体水质的污染。</w:t>
            </w:r>
          </w:p>
        </w:tc>
      </w:tr>
      <w:tr w14:paraId="4808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4BFD79EE">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024EEB5E">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处置</w:t>
            </w:r>
          </w:p>
          <w:p w14:paraId="7A81248B">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措施</w:t>
            </w:r>
          </w:p>
        </w:tc>
        <w:tc>
          <w:tcPr>
            <w:tcW w:w="8140" w:type="dxa"/>
          </w:tcPr>
          <w:p w14:paraId="19289CF3">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1、风险物质泄漏现场应急处置措施</w:t>
            </w:r>
          </w:p>
          <w:p w14:paraId="2DF4F975">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（1）确认发生风险物质泄漏事件后，根据泄漏风险物质性质、事故点地形地貌、气象条件，依据污染扩散模型，确定合理警戒区域，划定紧急隔离带。防止无关人员进入事发区域，实行交通管制。</w:t>
            </w:r>
          </w:p>
          <w:p w14:paraId="107240DC">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（2）堵漏：现场应急处理人员根据泄漏情况采取适当的切断泄漏源的措施，若为运输车辆侧翻导致的泄漏，应利用吊车将运输车辆扶正后采用木楔、外封式堵漏袋等方式进行堵漏。</w:t>
            </w:r>
          </w:p>
          <w:p w14:paraId="40C9AE61">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泄漏液的处置处理：根据查明泄漏污染物的去向，对污水流经途径的关键节点位置进行截断，用沙包封堵污染物进入雨水系统周围的沟渠或雨水井，尽可能将污染物限制在园区附近低洼处或园区雨水管网内，防止或减少污染物进入附近地表水的量；</w:t>
            </w:r>
          </w:p>
          <w:p w14:paraId="3753593D">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（4）环境风险物质及消防废水流入雨水管网，根据园区的雨水分区情况和雨水进入区域地表水系统排放口分布情况，用沙袋堵住雨水进入区域地表水系统排放口，对污染物进行拦截；</w:t>
            </w:r>
          </w:p>
          <w:p w14:paraId="628DBFC6">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（5）对截留在雨水系统的污染物进行应急处置，必要时利用槽罐车将污水系统的污染物送至污水处理厂或有处理资质的单位处理；</w:t>
            </w:r>
          </w:p>
          <w:p w14:paraId="6CE3AB8A">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（6）如污染物进入市政污水管网系统，则通知园区污水处理厂，调整各污水处理厂工艺运行参数和药剂投加量，直到调整系统运行出水达标；</w:t>
            </w:r>
          </w:p>
          <w:p w14:paraId="45A54FC3">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（7）如未妥善处理污染物通过雨水管网</w:t>
            </w:r>
            <w:r>
              <w:rPr>
                <w:rFonts w:hint="eastAsia" w:ascii="仿宋_GB2312" w:hAnsi="仿宋_GB2312" w:eastAsia="仿宋_GB2312" w:cs="仿宋_GB2312"/>
                <w:color w:val="auto"/>
                <w:kern w:val="0"/>
                <w:sz w:val="32"/>
                <w:szCs w:val="32"/>
                <w:lang w:eastAsia="zh-CN"/>
              </w:rPr>
              <w:t>流入</w:t>
            </w:r>
            <w:r>
              <w:rPr>
                <w:rFonts w:hint="eastAsia" w:ascii="仿宋_GB2312" w:hAnsi="仿宋_GB2312" w:eastAsia="仿宋_GB2312" w:cs="仿宋_GB2312"/>
                <w:color w:val="auto"/>
                <w:kern w:val="0"/>
                <w:sz w:val="32"/>
                <w:szCs w:val="32"/>
              </w:rPr>
              <w:t>外环境水体，量少的可以自然稀释，如果污水泄漏量很大，应及时通知下游等，并在地表水体布置处理措施。如油类物质泄漏至就近地表水体，应在下游不同距离多级设置围油栏等。</w:t>
            </w:r>
          </w:p>
          <w:p w14:paraId="09E50502">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2、火灾爆炸现场应急处置措施</w:t>
            </w:r>
          </w:p>
          <w:p w14:paraId="1884AE2E">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火灾爆炸事件后，在事发点附近区域设立警戒区，防止无关人员进入事发区域；现场指挥人员通知各救援小组快速集结投入灭火行动，若事故现场继续蔓延扩大，按应急指挥人员要求，通知当地消防部门进行灭火，并派人接应支援；</w:t>
            </w:r>
          </w:p>
          <w:p w14:paraId="3589E989">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（2）消防部门及时到达时，根据消防部门专业人员的指示和安排，配合开展灭火或污染防治行动，救援人员应佩戴正压式呼吸器，开展应急灭火行动。</w:t>
            </w:r>
          </w:p>
          <w:p w14:paraId="3E31EAAC">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（3）根据事故发生地地形地势，判断消防废水流动方向，将消防废水引至附近较低洼地带，待事后抽走处置。</w:t>
            </w:r>
          </w:p>
        </w:tc>
      </w:tr>
      <w:tr w14:paraId="290D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2EBF757">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1332F350">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地表水水质监测要点</w:t>
            </w:r>
          </w:p>
          <w:p w14:paraId="27DB063C">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64645E2B">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水质监测布点：废水排放口、雨水排放口、排放口地表水上游500m断面（对照断面）、排放口地表水下游1000m断面（控制断面）、排放口地表水下游5000m断面（削减断面）；</w:t>
            </w:r>
          </w:p>
          <w:p w14:paraId="607FD8A3">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监测因子：pH、COD、氨氮与涉及的危险化学品等；</w:t>
            </w:r>
          </w:p>
          <w:p w14:paraId="67321AB2">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监测频次：事故刚发生时，采样频次可适当增加待摸清污染物变化规律后，可减少采样频次。</w:t>
            </w:r>
          </w:p>
          <w:p w14:paraId="687F7523">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大气监测要点</w:t>
            </w:r>
          </w:p>
          <w:p w14:paraId="6AD02466">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241FE0A9">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监测因子：涉及的危险化学品；</w:t>
            </w:r>
          </w:p>
          <w:p w14:paraId="30FBAE93">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监测方法：气相</w:t>
            </w:r>
            <w:r>
              <w:rPr>
                <w:rFonts w:hint="eastAsia" w:ascii="仿宋_GB2312" w:hAnsi="仿宋_GB2312" w:eastAsia="仿宋_GB2312" w:cs="仿宋_GB2312"/>
                <w:color w:val="auto"/>
                <w:kern w:val="0"/>
                <w:sz w:val="32"/>
                <w:szCs w:val="32"/>
                <w:lang w:eastAsia="zh-CN"/>
              </w:rPr>
              <w:t>色谱</w:t>
            </w:r>
            <w:r>
              <w:rPr>
                <w:rFonts w:hint="eastAsia" w:ascii="仿宋_GB2312" w:hAnsi="仿宋_GB2312" w:eastAsia="仿宋_GB2312" w:cs="仿宋_GB2312"/>
                <w:color w:val="auto"/>
                <w:kern w:val="0"/>
                <w:sz w:val="32"/>
                <w:szCs w:val="32"/>
              </w:rPr>
              <w:t>仪或其他便捷的快速检测仪器。应当确定好采样的流量和采样的时间，同时记录气温、气压、风向和风速，采样总体积应换算为标准状态下的体积；</w:t>
            </w:r>
          </w:p>
          <w:p w14:paraId="2D155758">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监测布点：厂界、泄漏点下风向550m、附近居民点，并在上风向30m设置参照点；</w:t>
            </w:r>
          </w:p>
          <w:p w14:paraId="730FFBA4">
            <w:pPr>
              <w:keepNext w:val="0"/>
              <w:keepLines w:val="0"/>
              <w:pageBreakBefore w:val="0"/>
              <w:widowControl/>
              <w:kinsoku/>
              <w:wordWrap/>
              <w:overflowPunct/>
              <w:topLinePunct w:val="0"/>
              <w:autoSpaceDE/>
              <w:autoSpaceDN/>
              <w:bidi w:val="0"/>
              <w:adjustRightInd/>
              <w:snapToGrid/>
              <w:spacing w:line="44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监测频次：两次监测浓度均低于同等级空气标准值或已接近可忽略水平为止。</w:t>
            </w:r>
          </w:p>
        </w:tc>
      </w:tr>
    </w:tbl>
    <w:p w14:paraId="4C8B7B6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537" w:name="_Toc16524"/>
      <w:bookmarkStart w:id="538" w:name="_Toc19440"/>
      <w:bookmarkStart w:id="539" w:name="_Toc12861"/>
      <w:bookmarkStart w:id="540" w:name="_Toc468283691"/>
      <w:bookmarkStart w:id="541" w:name="_Toc23220"/>
      <w:bookmarkStart w:id="542" w:name="_Toc20341"/>
      <w:bookmarkStart w:id="543" w:name="_Toc11480"/>
      <w:r>
        <w:rPr>
          <w:rFonts w:hint="eastAsia" w:ascii="楷体_GB2312" w:hAnsi="楷体_GB2312" w:eastAsia="楷体_GB2312" w:cs="楷体_GB2312"/>
          <w:b/>
          <w:bCs/>
          <w:color w:val="auto"/>
          <w:kern w:val="0"/>
          <w:sz w:val="32"/>
          <w:szCs w:val="32"/>
        </w:rPr>
        <w:t>4</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园区固废未妥善处理引发的次生污染突发环境风险应急处置措施</w:t>
      </w:r>
      <w:bookmarkEnd w:id="537"/>
      <w:bookmarkEnd w:id="538"/>
      <w:bookmarkEnd w:id="539"/>
      <w:bookmarkEnd w:id="540"/>
      <w:bookmarkEnd w:id="541"/>
      <w:bookmarkEnd w:id="542"/>
      <w:bookmarkEnd w:id="543"/>
    </w:p>
    <w:p w14:paraId="3AEB6A9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①园区应急救援指挥中心总指挥宣布立即启动园区应急预案，布置协调现场应急指挥部的各专业处置小组组长指挥各自专业小组成员按各自的职责对突发环境事件进行应急处置；</w:t>
      </w:r>
    </w:p>
    <w:p w14:paraId="5C0A12D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②对固废和污染的土壤进行清理，集中后送资质单位处理；</w:t>
      </w:r>
    </w:p>
    <w:p w14:paraId="52C1472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③如固废运输、装卸、储存未妥善处理污染物进入园区的雨水系统和地表水体的应急处置按污染物进入园区的雨水系统和地表水体应急处置措施进行。</w:t>
      </w:r>
    </w:p>
    <w:p w14:paraId="14D2C2B2">
      <w:pPr>
        <w:pStyle w:val="29"/>
        <w:ind w:left="0" w:leftChars="0" w:firstLine="0" w:firstLineChars="0"/>
        <w:jc w:val="center"/>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表</w:t>
      </w:r>
      <w:r>
        <w:rPr>
          <w:rFonts w:hint="eastAsia" w:ascii="黑体" w:hAnsi="黑体" w:eastAsia="黑体" w:cs="黑体"/>
          <w:b w:val="0"/>
          <w:bCs w:val="0"/>
          <w:color w:val="auto"/>
          <w:sz w:val="32"/>
          <w:szCs w:val="32"/>
          <w:shd w:val="clear" w:color="auto" w:fill="FFFFFF"/>
          <w:lang w:val="en-US" w:eastAsia="zh-CN"/>
        </w:rPr>
        <w:t>7-12</w:t>
      </w:r>
      <w:r>
        <w:rPr>
          <w:rFonts w:hint="eastAsia" w:ascii="黑体" w:hAnsi="黑体" w:eastAsia="黑体" w:cs="黑体"/>
          <w:b w:val="0"/>
          <w:bCs w:val="0"/>
          <w:color w:val="auto"/>
          <w:sz w:val="32"/>
          <w:szCs w:val="32"/>
          <w:shd w:val="clear" w:color="auto" w:fill="FFFFFF"/>
        </w:rPr>
        <w:t xml:space="preserve">  危险废物泄漏事故应急卡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035"/>
      </w:tblGrid>
      <w:tr w14:paraId="5D54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34983E9">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事故</w:t>
            </w:r>
          </w:p>
          <w:p w14:paraId="4493F14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特征</w:t>
            </w:r>
          </w:p>
        </w:tc>
        <w:tc>
          <w:tcPr>
            <w:tcW w:w="8140" w:type="dxa"/>
            <w:vAlign w:val="center"/>
          </w:tcPr>
          <w:p w14:paraId="7AC8CF85">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（1）风险物质：危险废物（废机油等液态危废）；</w:t>
            </w:r>
          </w:p>
          <w:p w14:paraId="660DD044">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（2）风险单元：危废暂存间；</w:t>
            </w:r>
          </w:p>
        </w:tc>
      </w:tr>
      <w:tr w14:paraId="408C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691E836C">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应急处置措施</w:t>
            </w:r>
          </w:p>
        </w:tc>
        <w:tc>
          <w:tcPr>
            <w:tcW w:w="8140" w:type="dxa"/>
            <w:vAlign w:val="center"/>
          </w:tcPr>
          <w:p w14:paraId="54E8A432">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（1）确认发生危险废物泄漏事件后，应立即进行收集处理，转移至完好的收集容器，吸油毡吸附残余漏液。</w:t>
            </w:r>
          </w:p>
          <w:p w14:paraId="7E345ACD">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（2）堵漏：现场应急处理人员根据泄漏情况采取适当的切断泄漏源的措施。</w:t>
            </w:r>
          </w:p>
          <w:p w14:paraId="32738E94">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泄漏液的处置处理：根据查明泄漏污染物的去向，对污水流经途径的关键节点位置进行截断，用沙包封堵污染物进入雨水系统周围的沟渠或雨水井，尽可能将污染物限制在园区附近低洼处或园区雨水管网内，防止或减少污染物进入附近地表水的量；</w:t>
            </w:r>
          </w:p>
          <w:p w14:paraId="6B801D9B">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（4）环境风险物质及消防废水流入雨水管网，根据园区的雨水分区情况和雨水进入区域地表水系统排放口分布情况，用沙袋堵住雨水进入区域地表水系统排放口，对污染物进行拦截；</w:t>
            </w:r>
          </w:p>
          <w:p w14:paraId="7326523C">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（5）对截留在雨水系统的污染物进行应急处置，必要时利用槽罐车将污水系统的污染物送至污水处理厂或有处理资质的单位处理；</w:t>
            </w:r>
          </w:p>
          <w:p w14:paraId="79508CD5">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（6）如污染物进入园区污水管网系统，则通知园区污水处理厂，调整各污水处理厂工艺运行参数和药剂投加量，直到调整系统运行出水达标。</w:t>
            </w:r>
          </w:p>
          <w:p w14:paraId="0A60547C">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7）如未妥善处理污染物通过雨水管网流入外环境水体，量少的可以自然稀释，如果污水泄漏量很大，则应及时通知下游等，并在地表水体布置处理措施。如油类物质泄漏至就近地表水体，应在下游不同距离多级设置围油栏等。</w:t>
            </w:r>
          </w:p>
        </w:tc>
      </w:tr>
      <w:tr w14:paraId="5574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2F8906F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应急监测方案</w:t>
            </w:r>
          </w:p>
        </w:tc>
        <w:tc>
          <w:tcPr>
            <w:tcW w:w="8140" w:type="dxa"/>
            <w:vAlign w:val="center"/>
          </w:tcPr>
          <w:p w14:paraId="6316EA47">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监测单位：委托有资质的监测单位。</w:t>
            </w:r>
          </w:p>
          <w:p w14:paraId="3C84F816">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水质监测布点：废水排放口、雨水排放口、排放口地表水上游500m断面（对照断面）、排放口地表水下游1000m断面（控制断面）、排放口地表水下游5000m断面（削减断面）。</w:t>
            </w:r>
          </w:p>
          <w:p w14:paraId="3835FB91">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监测因子：pH、COD、氨氮与涉及的危险化学品等。</w:t>
            </w:r>
          </w:p>
          <w:p w14:paraId="31A2969E">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监测频次：事故刚发生时，采样频次可适当增加待摸清污染物变化规律后，可减少采样频次。</w:t>
            </w:r>
          </w:p>
        </w:tc>
      </w:tr>
      <w:tr w14:paraId="2544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vAlign w:val="center"/>
          </w:tcPr>
          <w:p w14:paraId="713A41F8">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应急</w:t>
            </w:r>
          </w:p>
          <w:p w14:paraId="56EA35FC">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bCs/>
                <w:color w:val="auto"/>
                <w:kern w:val="0"/>
                <w:sz w:val="32"/>
                <w:szCs w:val="32"/>
              </w:rPr>
              <w:t>物资</w:t>
            </w:r>
          </w:p>
        </w:tc>
        <w:tc>
          <w:tcPr>
            <w:tcW w:w="8140" w:type="dxa"/>
            <w:vAlign w:val="center"/>
          </w:tcPr>
          <w:p w14:paraId="50AF8AC4">
            <w:pPr>
              <w:keepNext w:val="0"/>
              <w:keepLines w:val="0"/>
              <w:pageBreakBefore w:val="0"/>
              <w:widowControl/>
              <w:kinsoku/>
              <w:wordWrap/>
              <w:overflowPunct/>
              <w:topLinePunct w:val="0"/>
              <w:autoSpaceDE/>
              <w:autoSpaceDN/>
              <w:bidi w:val="0"/>
              <w:adjustRightInd/>
              <w:snapToGrid/>
              <w:spacing w:line="460" w:lineRule="exact"/>
              <w:ind w:firstLine="0" w:firstLineChars="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kern w:val="0"/>
                <w:sz w:val="32"/>
                <w:szCs w:val="32"/>
              </w:rPr>
              <w:t>堵漏工具、呼吸器、防化服等</w:t>
            </w:r>
          </w:p>
        </w:tc>
      </w:tr>
    </w:tbl>
    <w:p w14:paraId="4CF97CAA">
      <w:pPr>
        <w:pStyle w:val="31"/>
        <w:keepNext w:val="0"/>
        <w:keepLines w:val="0"/>
        <w:pageBreakBefore w:val="0"/>
        <w:widowControl/>
        <w:kinsoku/>
        <w:wordWrap/>
        <w:overflowPunct/>
        <w:topLinePunct w:val="0"/>
        <w:autoSpaceDE/>
        <w:autoSpaceDN/>
        <w:bidi w:val="0"/>
        <w:adjustRightInd/>
        <w:snapToGrid/>
        <w:spacing w:line="600" w:lineRule="exact"/>
        <w:ind w:firstLine="562"/>
        <w:jc w:val="both"/>
        <w:textAlignment w:val="auto"/>
        <w:outlineLvl w:val="1"/>
        <w:rPr>
          <w:rFonts w:hint="eastAsia" w:ascii="黑体" w:hAnsi="黑体" w:eastAsia="黑体" w:cs="黑体"/>
          <w:b w:val="0"/>
          <w:bCs w:val="0"/>
          <w:color w:val="auto"/>
          <w:sz w:val="32"/>
          <w:szCs w:val="32"/>
        </w:rPr>
      </w:pPr>
      <w:bookmarkStart w:id="544" w:name="_Toc13320"/>
      <w:bookmarkStart w:id="545" w:name="_Toc4007"/>
      <w:bookmarkStart w:id="546" w:name="_Toc4048"/>
      <w:bookmarkStart w:id="547" w:name="_Toc20002"/>
      <w:bookmarkStart w:id="548" w:name="_Toc7654"/>
      <w:bookmarkStart w:id="549" w:name="_Toc49"/>
      <w:r>
        <w:rPr>
          <w:rFonts w:hint="eastAsia" w:ascii="黑体" w:hAnsi="黑体" w:eastAsia="黑体" w:cs="黑体"/>
          <w:b w:val="0"/>
          <w:bCs w:val="0"/>
          <w:color w:val="auto"/>
          <w:sz w:val="32"/>
          <w:szCs w:val="32"/>
        </w:rPr>
        <w:t>五、突发环境事故常规处置措施</w:t>
      </w:r>
      <w:bookmarkEnd w:id="544"/>
      <w:bookmarkEnd w:id="545"/>
      <w:bookmarkEnd w:id="546"/>
      <w:bookmarkEnd w:id="547"/>
      <w:bookmarkEnd w:id="548"/>
      <w:bookmarkEnd w:id="549"/>
    </w:p>
    <w:p w14:paraId="5D025A0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550" w:name="_Toc18126"/>
      <w:bookmarkEnd w:id="550"/>
      <w:bookmarkStart w:id="551" w:name="_Toc13963"/>
      <w:bookmarkStart w:id="552" w:name="_Toc27038"/>
      <w:bookmarkStart w:id="553" w:name="_Toc1984"/>
      <w:bookmarkStart w:id="554" w:name="_Toc26579"/>
      <w:bookmarkStart w:id="555" w:name="_Toc4826"/>
      <w:bookmarkStart w:id="556" w:name="_Toc7462"/>
      <w:r>
        <w:rPr>
          <w:rFonts w:hint="eastAsia" w:ascii="楷体_GB2312" w:hAnsi="楷体_GB2312" w:eastAsia="楷体_GB2312" w:cs="楷体_GB2312"/>
          <w:b/>
          <w:bCs/>
          <w:color w:val="auto"/>
          <w:kern w:val="0"/>
          <w:sz w:val="32"/>
          <w:szCs w:val="32"/>
        </w:rPr>
        <w:t>1</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火灾、爆炸事故处置措施</w:t>
      </w:r>
      <w:bookmarkEnd w:id="551"/>
      <w:bookmarkEnd w:id="552"/>
      <w:bookmarkEnd w:id="553"/>
      <w:bookmarkEnd w:id="554"/>
      <w:bookmarkEnd w:id="555"/>
      <w:bookmarkEnd w:id="556"/>
    </w:p>
    <w:p w14:paraId="6412FEE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557" w:name="_Toc12545"/>
      <w:bookmarkStart w:id="558" w:name="_Toc21410"/>
      <w:bookmarkStart w:id="559" w:name="_Toc32404"/>
      <w:bookmarkStart w:id="560" w:name="_Toc24102"/>
      <w:bookmarkStart w:id="561" w:name="_Toc21105"/>
      <w:bookmarkStart w:id="562" w:name="_Toc12610"/>
      <w:r>
        <w:rPr>
          <w:rFonts w:hint="default" w:ascii="仿宋_GB2312" w:hAnsi="仿宋_GB2312" w:eastAsia="仿宋_GB2312" w:cs="仿宋_GB2312"/>
          <w:b/>
          <w:bCs/>
          <w:color w:val="auto"/>
          <w:kern w:val="0"/>
          <w:sz w:val="32"/>
          <w:szCs w:val="32"/>
        </w:rPr>
        <w:t>（1）生产装置火灾的扑救</w:t>
      </w:r>
      <w:bookmarkEnd w:id="557"/>
      <w:bookmarkEnd w:id="558"/>
      <w:bookmarkEnd w:id="559"/>
      <w:bookmarkEnd w:id="560"/>
      <w:bookmarkEnd w:id="561"/>
      <w:bookmarkEnd w:id="562"/>
    </w:p>
    <w:p w14:paraId="4DADE5B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当园区内企业的一个或多个生产装置发生火灾爆炸事故时，在场操作人员或现场人员应迅速采取如下措施：</w:t>
      </w:r>
    </w:p>
    <w:p w14:paraId="3276DA9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①应迅速查清着火部位、着火物质及其来源，</w:t>
      </w:r>
      <w:r>
        <w:rPr>
          <w:rFonts w:hint="eastAsia" w:ascii="仿宋_GB2312" w:hAnsi="仿宋_GB2312" w:eastAsia="仿宋_GB2312" w:cs="仿宋_GB2312"/>
          <w:color w:val="auto"/>
          <w:kern w:val="0"/>
          <w:sz w:val="32"/>
          <w:szCs w:val="32"/>
          <w:lang w:eastAsia="zh-CN"/>
        </w:rPr>
        <w:t>及时</w:t>
      </w:r>
      <w:r>
        <w:rPr>
          <w:rFonts w:hint="default" w:ascii="仿宋_GB2312" w:hAnsi="仿宋_GB2312" w:eastAsia="仿宋_GB2312" w:cs="仿宋_GB2312"/>
          <w:color w:val="auto"/>
          <w:kern w:val="0"/>
          <w:sz w:val="32"/>
          <w:szCs w:val="32"/>
        </w:rPr>
        <w:t>准确地关闭阀门，切断物料来源及各种加热源；开启冷却水等，进行冷却或</w:t>
      </w:r>
      <w:r>
        <w:rPr>
          <w:rFonts w:hint="eastAsia" w:ascii="仿宋_GB2312" w:hAnsi="仿宋_GB2312" w:eastAsia="仿宋_GB2312" w:cs="仿宋_GB2312"/>
          <w:color w:val="auto"/>
          <w:kern w:val="0"/>
          <w:sz w:val="32"/>
          <w:szCs w:val="32"/>
          <w:lang w:eastAsia="zh-CN"/>
        </w:rPr>
        <w:t>有效地</w:t>
      </w:r>
      <w:r>
        <w:rPr>
          <w:rFonts w:hint="default" w:ascii="仿宋_GB2312" w:hAnsi="仿宋_GB2312" w:eastAsia="仿宋_GB2312" w:cs="仿宋_GB2312"/>
          <w:color w:val="auto"/>
          <w:kern w:val="0"/>
          <w:sz w:val="32"/>
          <w:szCs w:val="32"/>
        </w:rPr>
        <w:t>隔离；关闭机械通风装置，防止风助火势或沿通风管道蔓延。以有效</w:t>
      </w:r>
      <w:r>
        <w:rPr>
          <w:rFonts w:hint="eastAsia" w:ascii="仿宋_GB2312" w:hAnsi="仿宋_GB2312" w:eastAsia="仿宋_GB2312" w:cs="仿宋_GB2312"/>
          <w:color w:val="auto"/>
          <w:kern w:val="0"/>
          <w:sz w:val="32"/>
          <w:szCs w:val="32"/>
          <w:lang w:eastAsia="zh-CN"/>
        </w:rPr>
        <w:t>地</w:t>
      </w:r>
      <w:r>
        <w:rPr>
          <w:rFonts w:hint="default" w:ascii="仿宋_GB2312" w:hAnsi="仿宋_GB2312" w:eastAsia="仿宋_GB2312" w:cs="仿宋_GB2312"/>
          <w:color w:val="auto"/>
          <w:kern w:val="0"/>
          <w:sz w:val="32"/>
          <w:szCs w:val="32"/>
        </w:rPr>
        <w:t>控制火势，有利于灭火。</w:t>
      </w:r>
    </w:p>
    <w:p w14:paraId="09C4DC3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②如果是带有压力的设备中的物料泄漏引起着火时，除立即切断进料外，还应打开泄压阀门，进行紧急放空；同时将物料排入系统或其他安全部位，以减弱火势或达到灭火目的。</w:t>
      </w:r>
    </w:p>
    <w:p w14:paraId="7E9A1F3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③根据火势大小和设备、管道的损坏程度，现场人员应迅速果断作出是否需要全装置或局部工段停车的决定，防止火势蔓延。</w:t>
      </w:r>
    </w:p>
    <w:p w14:paraId="3B9CB4C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装置发生火灾后，当班的车间领导或班长应迅速组织人员除对装置采取准确的工艺措施外，还应利用装置内的消防设施及灭火器材进行灭火。若火势一时难以扑灭，则要采取防止火势蔓延的措施，保护要害部位，转移危险物质。</w:t>
      </w:r>
    </w:p>
    <w:p w14:paraId="0291B57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⑤在专业救援队伍</w:t>
      </w:r>
      <w:r>
        <w:rPr>
          <w:rFonts w:hint="eastAsia" w:ascii="仿宋_GB2312" w:hAnsi="仿宋_GB2312" w:eastAsia="仿宋_GB2312" w:cs="仿宋_GB2312"/>
          <w:color w:val="auto"/>
          <w:kern w:val="0"/>
          <w:sz w:val="32"/>
          <w:szCs w:val="32"/>
          <w:lang w:eastAsia="zh-CN"/>
        </w:rPr>
        <w:t>到达</w:t>
      </w:r>
      <w:r>
        <w:rPr>
          <w:rFonts w:hint="default" w:ascii="仿宋_GB2312" w:hAnsi="仿宋_GB2312" w:eastAsia="仿宋_GB2312" w:cs="仿宋_GB2312"/>
          <w:color w:val="auto"/>
          <w:kern w:val="0"/>
          <w:sz w:val="32"/>
          <w:szCs w:val="32"/>
        </w:rPr>
        <w:t>火场时，生产装置的负责人应主动向应急救援队伍指挥人员介绍事故情况，说明着火部位，物料情况、设备及工艺状态，以及已采取的措施等。</w:t>
      </w:r>
    </w:p>
    <w:p w14:paraId="17F087D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563" w:name="_Toc30632"/>
      <w:bookmarkStart w:id="564" w:name="_Toc31389"/>
      <w:bookmarkStart w:id="565" w:name="_Toc11793"/>
      <w:bookmarkStart w:id="566" w:name="_Toc22777"/>
      <w:bookmarkStart w:id="567" w:name="_Toc31261"/>
      <w:bookmarkStart w:id="568" w:name="_Toc13160"/>
      <w:r>
        <w:rPr>
          <w:rFonts w:hint="default" w:ascii="仿宋_GB2312" w:hAnsi="仿宋_GB2312" w:eastAsia="仿宋_GB2312" w:cs="仿宋_GB2312"/>
          <w:b/>
          <w:bCs/>
          <w:color w:val="auto"/>
          <w:kern w:val="0"/>
          <w:sz w:val="32"/>
          <w:szCs w:val="32"/>
        </w:rPr>
        <w:t>（2）仓库火灾的扑救</w:t>
      </w:r>
      <w:bookmarkEnd w:id="563"/>
      <w:bookmarkEnd w:id="564"/>
      <w:bookmarkEnd w:id="565"/>
      <w:bookmarkEnd w:id="566"/>
      <w:bookmarkEnd w:id="567"/>
      <w:bookmarkEnd w:id="568"/>
    </w:p>
    <w:p w14:paraId="50A32E5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①园区企业的仓库内储存的物质以可燃物居多，且种类复杂，因此，仓库着火时，仓库保管员应立即报警，报警时说明起火仓库地点、库号、着火物质品种及数量，以及仓库存放的情况。</w:t>
      </w:r>
    </w:p>
    <w:p w14:paraId="7A2A75B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②仓库内存放的物品种类多，性状复杂。仓库初期起火时，不可贸然用水枪喷射，应选用合适的灭火器材进行及时扑救，否则用水枪一冲，不仅物资损失会增加，碰到遇湿易燃物质，则可能增加火势。</w:t>
      </w:r>
    </w:p>
    <w:p w14:paraId="04154A6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③事故单位应主动向灭火指挥人员介绍起火仓库情况，说明起火物质、仓库内存放物质，以及</w:t>
      </w:r>
      <w:r>
        <w:rPr>
          <w:rFonts w:hint="eastAsia" w:ascii="仿宋_GB2312" w:hAnsi="仿宋_GB2312" w:eastAsia="仿宋_GB2312" w:cs="仿宋_GB2312"/>
          <w:color w:val="auto"/>
          <w:kern w:val="0"/>
          <w:sz w:val="32"/>
          <w:szCs w:val="32"/>
          <w:lang w:eastAsia="zh-CN"/>
        </w:rPr>
        <w:t>相应</w:t>
      </w:r>
      <w:r>
        <w:rPr>
          <w:rFonts w:hint="default" w:ascii="仿宋_GB2312" w:hAnsi="仿宋_GB2312" w:eastAsia="仿宋_GB2312" w:cs="仿宋_GB2312"/>
          <w:color w:val="auto"/>
          <w:kern w:val="0"/>
          <w:sz w:val="32"/>
          <w:szCs w:val="32"/>
        </w:rPr>
        <w:t>的灭火器材。</w:t>
      </w:r>
    </w:p>
    <w:p w14:paraId="647609A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569" w:name="_Toc18091"/>
      <w:bookmarkEnd w:id="569"/>
      <w:bookmarkStart w:id="570" w:name="_Toc19538"/>
      <w:bookmarkStart w:id="571" w:name="_Toc13827"/>
      <w:bookmarkStart w:id="572" w:name="_Toc11235"/>
      <w:bookmarkStart w:id="573" w:name="_Toc21221"/>
      <w:bookmarkStart w:id="574" w:name="_Toc12171"/>
      <w:bookmarkStart w:id="575" w:name="_Toc13819"/>
      <w:r>
        <w:rPr>
          <w:rFonts w:hint="eastAsia" w:ascii="楷体_GB2312" w:hAnsi="楷体_GB2312" w:eastAsia="楷体_GB2312" w:cs="楷体_GB2312"/>
          <w:b/>
          <w:bCs/>
          <w:color w:val="auto"/>
          <w:kern w:val="0"/>
          <w:sz w:val="32"/>
          <w:szCs w:val="32"/>
        </w:rPr>
        <w:t>2</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危险化学品泄漏事故及处置措施</w:t>
      </w:r>
      <w:bookmarkEnd w:id="570"/>
      <w:bookmarkEnd w:id="571"/>
      <w:bookmarkEnd w:id="572"/>
      <w:bookmarkEnd w:id="573"/>
      <w:bookmarkEnd w:id="574"/>
      <w:bookmarkEnd w:id="575"/>
    </w:p>
    <w:p w14:paraId="651648D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bookmarkStart w:id="576" w:name="_Toc27936"/>
      <w:bookmarkStart w:id="577" w:name="_Toc10245"/>
      <w:bookmarkStart w:id="578" w:name="_Toc4893"/>
      <w:bookmarkStart w:id="579" w:name="_Toc30385"/>
      <w:bookmarkStart w:id="580" w:name="_Toc1680"/>
      <w:bookmarkStart w:id="581" w:name="_Toc9036"/>
      <w:r>
        <w:rPr>
          <w:rFonts w:hint="default" w:ascii="仿宋_GB2312" w:hAnsi="仿宋_GB2312" w:eastAsia="仿宋_GB2312" w:cs="仿宋_GB2312"/>
          <w:color w:val="auto"/>
          <w:kern w:val="0"/>
          <w:sz w:val="32"/>
          <w:szCs w:val="32"/>
        </w:rPr>
        <w:t>（1）进入泄漏现场进行处理时，应注意安全防护</w:t>
      </w:r>
      <w:bookmarkEnd w:id="576"/>
      <w:bookmarkEnd w:id="577"/>
      <w:bookmarkEnd w:id="578"/>
      <w:bookmarkEnd w:id="579"/>
      <w:bookmarkEnd w:id="580"/>
      <w:bookmarkEnd w:id="581"/>
    </w:p>
    <w:p w14:paraId="22BF08E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①进入现场救援人员必须配备个人防护面具，必要时穿戴专用防护服及专用装备；</w:t>
      </w:r>
    </w:p>
    <w:p w14:paraId="38C7A67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②如果泄漏物是易燃易爆的，事故中心区应严禁火种、切断电源、禁止车辆进入、立即在边界设置警戒线；根据事故情况和事故发展，确定事故波及区人员的撤离；</w:t>
      </w:r>
    </w:p>
    <w:p w14:paraId="0E34DE3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如果泄漏物有毒，应使用穿戴防毒服、正压式空气呼吸；为了在现场上能正确使用和适应，平时应进行严格的适应性训练；立即在事故中心区边界设置警戒线；根据事故情况和事故发展，确定事故波及区人员的撤离；</w:t>
      </w:r>
    </w:p>
    <w:p w14:paraId="0FB42C5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④应急处理时严禁单独行动，要有监护人，必要时用水枪、水炮掩护。</w:t>
      </w:r>
    </w:p>
    <w:p w14:paraId="0B337C2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582" w:name="_Toc32721"/>
      <w:bookmarkStart w:id="583" w:name="_Toc27321"/>
      <w:bookmarkStart w:id="584" w:name="_Toc23980"/>
      <w:bookmarkStart w:id="585" w:name="_Toc30966"/>
      <w:bookmarkStart w:id="586" w:name="_Toc15565"/>
      <w:bookmarkStart w:id="587" w:name="_Toc11490"/>
      <w:r>
        <w:rPr>
          <w:rFonts w:hint="default" w:ascii="仿宋_GB2312" w:hAnsi="仿宋_GB2312" w:eastAsia="仿宋_GB2312" w:cs="仿宋_GB2312"/>
          <w:b/>
          <w:bCs/>
          <w:color w:val="auto"/>
          <w:kern w:val="0"/>
          <w:sz w:val="32"/>
          <w:szCs w:val="32"/>
        </w:rPr>
        <w:t>（2）泄漏源控制</w:t>
      </w:r>
      <w:bookmarkEnd w:id="582"/>
      <w:bookmarkEnd w:id="583"/>
      <w:bookmarkEnd w:id="584"/>
      <w:bookmarkEnd w:id="585"/>
      <w:bookmarkEnd w:id="586"/>
      <w:bookmarkEnd w:id="587"/>
    </w:p>
    <w:p w14:paraId="7A4433C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①关闭阀门、停止作业或改变工艺流程、物料走副线、局部停车、打循环、减负荷运行等；</w:t>
      </w:r>
    </w:p>
    <w:p w14:paraId="019AD1A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②堵漏：采用合适的材料和技术手段堵住泄漏处。</w:t>
      </w:r>
    </w:p>
    <w:p w14:paraId="3A7BB89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588" w:name="_Toc25750"/>
      <w:bookmarkStart w:id="589" w:name="_Toc3691"/>
      <w:bookmarkStart w:id="590" w:name="_Toc26849"/>
      <w:bookmarkStart w:id="591" w:name="_Toc27150"/>
      <w:bookmarkStart w:id="592" w:name="_Toc187"/>
      <w:bookmarkStart w:id="593" w:name="_Toc23624"/>
      <w:r>
        <w:rPr>
          <w:rFonts w:hint="default" w:ascii="仿宋_GB2312" w:hAnsi="仿宋_GB2312" w:eastAsia="仿宋_GB2312" w:cs="仿宋_GB2312"/>
          <w:b/>
          <w:bCs/>
          <w:color w:val="auto"/>
          <w:kern w:val="0"/>
          <w:sz w:val="32"/>
          <w:szCs w:val="32"/>
        </w:rPr>
        <w:t>（3）泄漏物处理</w:t>
      </w:r>
      <w:bookmarkEnd w:id="588"/>
      <w:bookmarkEnd w:id="589"/>
      <w:bookmarkEnd w:id="590"/>
      <w:bookmarkEnd w:id="591"/>
      <w:bookmarkEnd w:id="592"/>
      <w:bookmarkEnd w:id="593"/>
    </w:p>
    <w:p w14:paraId="1FE78EB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①围堤堵截：筑堤堵截泄漏液体或者引流到安全地点；储罐区发生液体泄漏时，要及时关闭雨水阀，防止物料沿明沟外流；</w:t>
      </w:r>
    </w:p>
    <w:p w14:paraId="006B5B8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②稀释与覆盖：向有害物蒸气云喷射雾状水，加速气体向高空扩散；对于可燃物，依据其性质，可采用灭火泡沫剂进行覆盖或者在现场</w:t>
      </w:r>
      <w:r>
        <w:rPr>
          <w:rFonts w:hint="eastAsia" w:ascii="仿宋_GB2312" w:hAnsi="仿宋_GB2312" w:eastAsia="仿宋_GB2312" w:cs="仿宋_GB2312"/>
          <w:color w:val="auto"/>
          <w:kern w:val="0"/>
          <w:sz w:val="32"/>
          <w:szCs w:val="32"/>
          <w:lang w:eastAsia="zh-CN"/>
        </w:rPr>
        <w:t>释放</w:t>
      </w:r>
      <w:r>
        <w:rPr>
          <w:rFonts w:hint="default" w:ascii="仿宋_GB2312" w:hAnsi="仿宋_GB2312" w:eastAsia="仿宋_GB2312" w:cs="仿宋_GB2312"/>
          <w:color w:val="auto"/>
          <w:kern w:val="0"/>
          <w:sz w:val="32"/>
          <w:szCs w:val="32"/>
        </w:rPr>
        <w:t>大量水进行稀释；</w:t>
      </w:r>
    </w:p>
    <w:p w14:paraId="0F3FE06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③使用蒸气或者氮气破坏燃烧条件；对于液体泄漏，为降低物料向大气中的蒸发速度，可用泡沫或其他覆盖物品覆盖外泄的物料，在其表面形成覆盖层，抑制其蒸发到大气中；</w:t>
      </w:r>
    </w:p>
    <w:p w14:paraId="536E774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④收容（集）：对于大型泄漏，可选用隔膜泵将泄漏出的物料抽入容器或槽车内；当泄漏量较小时，可用砂子、吸附材料、中和材料等吸收、中和；</w:t>
      </w:r>
    </w:p>
    <w:p w14:paraId="4FE6FB0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⑤废弃：将收集的泄漏物运至废物处理场所处置；用消防水冲洗剩下的少量物料，冲洗水排入污水系统处理。</w:t>
      </w:r>
    </w:p>
    <w:p w14:paraId="159D2DE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594" w:name="_Toc7448"/>
      <w:bookmarkEnd w:id="594"/>
      <w:bookmarkStart w:id="595" w:name="_Toc26455"/>
      <w:bookmarkStart w:id="596" w:name="_Toc32648"/>
      <w:bookmarkStart w:id="597" w:name="_Toc17252"/>
      <w:bookmarkStart w:id="598" w:name="_Toc31575"/>
      <w:bookmarkStart w:id="599" w:name="_Toc14486"/>
      <w:bookmarkStart w:id="600" w:name="_Toc23082"/>
      <w:r>
        <w:rPr>
          <w:rFonts w:hint="eastAsia" w:ascii="楷体_GB2312" w:hAnsi="楷体_GB2312" w:eastAsia="楷体_GB2312" w:cs="楷体_GB2312"/>
          <w:b/>
          <w:bCs/>
          <w:color w:val="auto"/>
          <w:kern w:val="0"/>
          <w:sz w:val="32"/>
          <w:szCs w:val="32"/>
        </w:rPr>
        <w:t>3</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危险化学品火灾事故及处置措施</w:t>
      </w:r>
      <w:bookmarkEnd w:id="595"/>
      <w:bookmarkEnd w:id="596"/>
      <w:bookmarkEnd w:id="597"/>
      <w:bookmarkEnd w:id="598"/>
      <w:bookmarkEnd w:id="599"/>
      <w:bookmarkEnd w:id="600"/>
    </w:p>
    <w:p w14:paraId="2AB381B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①先控制，后消灭。针对危险化学品火灾的火势发展蔓延快和燃烧面积大的特点，积极采取统一指挥、以快制快；堵截火势、防止蔓延；重点突破、排除险情；分割包围、速战速决的灭火战术；</w:t>
      </w:r>
    </w:p>
    <w:p w14:paraId="7BC8A32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②扑救人员应占据上风或者侧风方向；</w:t>
      </w:r>
    </w:p>
    <w:p w14:paraId="309B572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③进行火情侦察、火灾扑救；火灾疏散人员应有针对性</w:t>
      </w:r>
      <w:r>
        <w:rPr>
          <w:rFonts w:hint="eastAsia" w:ascii="仿宋_GB2312" w:hAnsi="仿宋_GB2312" w:eastAsia="仿宋_GB2312" w:cs="仿宋_GB2312"/>
          <w:color w:val="auto"/>
          <w:kern w:val="0"/>
          <w:sz w:val="32"/>
          <w:szCs w:val="32"/>
          <w:lang w:eastAsia="zh-CN"/>
        </w:rPr>
        <w:t>地</w:t>
      </w:r>
      <w:r>
        <w:rPr>
          <w:rFonts w:hint="default" w:ascii="仿宋_GB2312" w:hAnsi="仿宋_GB2312" w:eastAsia="仿宋_GB2312" w:cs="仿宋_GB2312"/>
          <w:color w:val="auto"/>
          <w:kern w:val="0"/>
          <w:sz w:val="32"/>
          <w:szCs w:val="32"/>
        </w:rPr>
        <w:t>采取自我防护措施，如佩戴防护面具、穿戴专用防护服等；</w:t>
      </w:r>
    </w:p>
    <w:p w14:paraId="2DE71D4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④应迅速查明燃烧范围、燃烧物品及其周围物品的品名和主要危险特性、火势蔓延的主要途径、燃烧的危险化学品及燃烧</w:t>
      </w:r>
      <w:r>
        <w:rPr>
          <w:rFonts w:hint="eastAsia" w:ascii="仿宋_GB2312" w:hAnsi="仿宋_GB2312" w:eastAsia="仿宋_GB2312" w:cs="仿宋_GB2312"/>
          <w:color w:val="auto"/>
          <w:kern w:val="0"/>
          <w:sz w:val="32"/>
          <w:szCs w:val="32"/>
          <w:lang w:eastAsia="zh-CN"/>
        </w:rPr>
        <w:t>产物</w:t>
      </w:r>
      <w:r>
        <w:rPr>
          <w:rFonts w:hint="default" w:ascii="仿宋_GB2312" w:hAnsi="仿宋_GB2312" w:eastAsia="仿宋_GB2312" w:cs="仿宋_GB2312"/>
          <w:color w:val="auto"/>
          <w:kern w:val="0"/>
          <w:sz w:val="32"/>
          <w:szCs w:val="32"/>
        </w:rPr>
        <w:t>是否有毒等；</w:t>
      </w:r>
    </w:p>
    <w:p w14:paraId="5C2BDAC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⑤正确选择最适合的灭火剂和灭火方法；火势较大时，应先堵截火势蔓延，控制燃烧范围，然后逐步扑灭火势；</w:t>
      </w:r>
    </w:p>
    <w:p w14:paraId="2EE273C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⑥对有可能发生爆炸、爆裂、喷溅等特别危险需紧急撤离的情况，应按照统一的撤退信号和撤退方法及时撤离（撤退信号应格外醒目，能使现场所有人员都能看到或者听到，并应经常演练）。</w:t>
      </w:r>
    </w:p>
    <w:p w14:paraId="0B10020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⑦火灾扑灭后，仍然要派人监护现场，消灭余火；起火单位应到保护现场，接受事故调查，协助公安消防监督部门和上级安全管理部门调查起火原因，核定火灾损失，查明火灾责任，未经公安监督部门和上级安全监督部门的同意，不得擅自清理火灾现场。</w:t>
      </w:r>
    </w:p>
    <w:p w14:paraId="35B0C0D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601" w:name="_Toc13496"/>
      <w:bookmarkEnd w:id="601"/>
      <w:bookmarkStart w:id="602" w:name="_Toc32759"/>
      <w:bookmarkStart w:id="603" w:name="_Toc31283"/>
      <w:bookmarkStart w:id="604" w:name="_Toc19141"/>
      <w:bookmarkStart w:id="605" w:name="_Toc16004"/>
      <w:bookmarkStart w:id="606" w:name="_Toc26030"/>
      <w:bookmarkStart w:id="607" w:name="_Toc3285"/>
      <w:r>
        <w:rPr>
          <w:rFonts w:hint="eastAsia" w:ascii="楷体_GB2312" w:hAnsi="楷体_GB2312" w:eastAsia="楷体_GB2312" w:cs="楷体_GB2312"/>
          <w:b/>
          <w:bCs/>
          <w:color w:val="auto"/>
          <w:kern w:val="0"/>
          <w:sz w:val="32"/>
          <w:szCs w:val="32"/>
        </w:rPr>
        <w:t>4</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压缩气体和液化气体火灾事故及处置措施</w:t>
      </w:r>
      <w:bookmarkEnd w:id="602"/>
      <w:bookmarkEnd w:id="603"/>
      <w:bookmarkEnd w:id="604"/>
      <w:bookmarkEnd w:id="605"/>
      <w:bookmarkEnd w:id="606"/>
      <w:bookmarkEnd w:id="607"/>
    </w:p>
    <w:p w14:paraId="5060F75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气体火灾切忌盲目灭火，即使在扑救周围火势以及冷却过程中不小心把泄漏处的火焰扑灭，在没有采取堵漏措施的情况下，也必须立即用长点火棒将火点燃，使其恢复稳定燃烧；否则，大量可燃气体泄漏出来与空气混合，遇明火就会发生爆炸，后果将不堪设想。</w:t>
      </w:r>
    </w:p>
    <w:p w14:paraId="7AD7C03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②首先应扑灭外围被火源引燃的可燃物火势，切断火势蔓延途径，控制燃烧范围，并积极抢救受伤和被困人员；</w:t>
      </w:r>
    </w:p>
    <w:p w14:paraId="1DCBF58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如果火势中有压力容器或有受到火焰辐射热威胁的压力容器，能疏散的应尽量在水枪的掩护下疏散到安全地带，不能疏散的应部署足够的水枪进行冷却保护；为防止容器爆裂伤人，进行冷却的人员应尽量采取低姿射水或利用现场坚实的掩蔽体防护；对卧式储罐，冷却人员应选择储罐四侧角作为射水阵地；</w:t>
      </w:r>
    </w:p>
    <w:p w14:paraId="6B40A03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④如果</w:t>
      </w:r>
      <w:r>
        <w:rPr>
          <w:rFonts w:hint="eastAsia" w:ascii="仿宋_GB2312" w:hAnsi="仿宋_GB2312" w:eastAsia="仿宋_GB2312" w:cs="仿宋_GB2312"/>
          <w:color w:val="auto"/>
          <w:kern w:val="0"/>
          <w:sz w:val="32"/>
          <w:szCs w:val="32"/>
          <w:lang w:eastAsia="zh-CN"/>
        </w:rPr>
        <w:t>是</w:t>
      </w:r>
      <w:r>
        <w:rPr>
          <w:rFonts w:hint="default" w:ascii="仿宋_GB2312" w:hAnsi="仿宋_GB2312" w:eastAsia="仿宋_GB2312" w:cs="仿宋_GB2312"/>
          <w:color w:val="auto"/>
          <w:kern w:val="0"/>
          <w:sz w:val="32"/>
          <w:szCs w:val="32"/>
        </w:rPr>
        <w:t>输气管道泄漏着火，应首先设法找到气源阀门；阀门完好时，只要关闭气体阀门，火势就会自动熄灭；</w:t>
      </w:r>
    </w:p>
    <w:p w14:paraId="32E8DD5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⑤储罐或管道关闭无效时，应根据火势大小判断气体压力和泄漏口的</w:t>
      </w:r>
      <w:r>
        <w:rPr>
          <w:rFonts w:hint="eastAsia" w:ascii="仿宋_GB2312" w:hAnsi="仿宋_GB2312" w:eastAsia="仿宋_GB2312" w:cs="仿宋_GB2312"/>
          <w:color w:val="auto"/>
          <w:kern w:val="0"/>
          <w:sz w:val="32"/>
          <w:szCs w:val="32"/>
          <w:lang w:eastAsia="zh-CN"/>
        </w:rPr>
        <w:t>大小</w:t>
      </w:r>
      <w:r>
        <w:rPr>
          <w:rFonts w:hint="default" w:ascii="仿宋_GB2312" w:hAnsi="仿宋_GB2312" w:eastAsia="仿宋_GB2312" w:cs="仿宋_GB2312"/>
          <w:color w:val="auto"/>
          <w:kern w:val="0"/>
          <w:sz w:val="32"/>
          <w:szCs w:val="32"/>
        </w:rPr>
        <w:t>及其形状，准备好相应的堵漏材料（如软木塞、橡皮塞、气囊塞、黏合剂、弯道工具等）。</w:t>
      </w:r>
    </w:p>
    <w:p w14:paraId="654C55D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⑥堵漏工作准备就绪后，即可用水扑救火势，也可用干粉、二氧化碳灭火，但仍需用水冷却烧烫的罐或者管壁；火扑灭后，应立即用堵漏材料堵漏，同时用雾状水稀释和驱散泄漏出来的气体；</w:t>
      </w:r>
    </w:p>
    <w:p w14:paraId="0B934AF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⑦一般情况下完成了堵漏也就完成了灭火工作，但有时一次堵漏不一定成功，如果一次堵漏失败，再次堵漏需一定时间，应立即用长点火棒将泄漏处点燃，使其恢复稳定燃烧，以防止较长时间泄漏出来的大量可燃气体与空气混合后形成爆炸性混合物，从而存在发生爆炸的危险，并准备再次灭火堵漏；</w:t>
      </w:r>
    </w:p>
    <w:p w14:paraId="46A4D51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⑧如果确认泄漏口很大，根本无法堵漏，只需冷却着火容器及其周围容器和可燃物品，控制着火范围，一直到燃气燃尽，火势自动熄灭；</w:t>
      </w:r>
    </w:p>
    <w:p w14:paraId="79386191">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⑨现场指挥应密切注意各种危险征兆，遇有火势熄灭后较长时间未能恢复稳定燃烧或者受热辐射的容器安全阀火焰变亮耀眼、尖叫、晃动等爆炸征兆时，指挥员必须适时作出准确判断，及时下达撤退命令。现场人员看到或者听到事先规定的撤退信号后，应迅速撤离至安全地带。</w:t>
      </w:r>
    </w:p>
    <w:p w14:paraId="3C21E422">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⑩气体储罐或者管道阀门处泄漏着火时，在特殊情况下，只要判断阀门还有效，也可违反常规，先扑灭火势，再关闭阀门。一旦发现关闭已无效，一时又无法堵漏时，应迅即点燃，恢复稳定燃烧。</w:t>
      </w:r>
    </w:p>
    <w:p w14:paraId="4D4EE7B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608" w:name="_Toc1615"/>
      <w:bookmarkEnd w:id="608"/>
      <w:bookmarkStart w:id="609" w:name="_Toc32029"/>
      <w:bookmarkStart w:id="610" w:name="_Toc25031"/>
      <w:bookmarkStart w:id="611" w:name="_Toc3575"/>
      <w:bookmarkStart w:id="612" w:name="_Toc17344"/>
      <w:bookmarkStart w:id="613" w:name="_Toc23918"/>
      <w:bookmarkStart w:id="614" w:name="_Toc20749"/>
      <w:r>
        <w:rPr>
          <w:rFonts w:hint="eastAsia" w:ascii="楷体_GB2312" w:hAnsi="楷体_GB2312" w:eastAsia="楷体_GB2312" w:cs="楷体_GB2312"/>
          <w:b/>
          <w:bCs/>
          <w:color w:val="auto"/>
          <w:kern w:val="0"/>
          <w:sz w:val="32"/>
          <w:szCs w:val="32"/>
        </w:rPr>
        <w:t>5</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易燃液体火灾事故及处置措施</w:t>
      </w:r>
      <w:bookmarkEnd w:id="609"/>
      <w:bookmarkEnd w:id="610"/>
      <w:bookmarkEnd w:id="611"/>
      <w:bookmarkEnd w:id="612"/>
      <w:bookmarkEnd w:id="613"/>
      <w:bookmarkEnd w:id="614"/>
    </w:p>
    <w:p w14:paraId="5F0863C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易燃液体通常也是贮存在容器内或用管道输送的。与气体不同的是，液体容器有的密闭、有的敞开，一般都是常压，只有反应器及输送管道内的液体压力较高。液体不管是否着火，如果发生泄漏或者溢出，都将顺着地面流淌或水面飘散，而且，易燃液体还有比重和水溶性等涉及能否用水或者普通泡沫扑救问题以及危险性很大的沸溢和喷溅问题。</w:t>
      </w:r>
    </w:p>
    <w:p w14:paraId="73181F9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①首先应切断火势蔓延的途径，冷却和疏散受火势威胁的密闭容器和可燃物，控制燃烧范围，并积极抢救受伤和被困人员。如有液体流淌时，应筑堤（或用围油栏）拦截飘散流淌的易燃液体或挖沟导流。</w:t>
      </w:r>
    </w:p>
    <w:p w14:paraId="6120D3D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②及时了解和掌握着火液体的品名、比重、水溶性以及有无毒害、腐蚀、沸溢、喷溅等危险性，以便采取相应的灭火和防护措施。</w:t>
      </w:r>
    </w:p>
    <w:p w14:paraId="591BDE3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③对较大的储罐或流淌火灾，应准确判断着火面积。</w:t>
      </w:r>
    </w:p>
    <w:p w14:paraId="104465E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大面积（&gt;50m2）液体火灾则必须根据其相对密度（比重）、水溶性和燃烧面积大小，选择正确的灭火剂扑救。</w:t>
      </w:r>
    </w:p>
    <w:p w14:paraId="0B3A398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比重比水小又不溶于水的液体（如汽油等），用直流水、雾状水灭火往往无效。可用普通蛋白泡沫或轻水泡沫扑灭。用干粉扑救时效果要视燃烧面积大小和燃烧条件而定，最好用水冷却罐壁。</w:t>
      </w:r>
    </w:p>
    <w:p w14:paraId="7AAD777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比重比水大而不溶于水的液体（如二硫化碳）起火时可用水扑救，水能覆盖在液面上灭火。用泡沫也有效。用干粉扑救，灭火效果要视燃烧面积大小和燃烧条件而定。最好用水冷却罐壁，降低燃烧强度。</w:t>
      </w:r>
    </w:p>
    <w:p w14:paraId="49A2B64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具有水溶性的液体（如醇类等），虽然从理论上讲能用水稀释扑救，但用此法要使液体闪点消失，水必须在溶液中占很大的比例，这不仅需要大量水，也容易使液体溢出流淌；而普通泡沫又会受到水溶液体的破坏（如果普通泡沫强度加大，可用减弱火势）。因此，最好用抗溶性泡沫扑救，用干粉扑救时，灭火效果要视燃烧面积大小和燃烧条件而定，也需用水冷却罐壁，降低燃烧强度。</w:t>
      </w:r>
    </w:p>
    <w:p w14:paraId="0CA86DE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扑救毒害性、腐蚀性或燃烧产物毒害性较强的易燃液体火灾，扑救人员必须佩戴防护面具，采取防护措施。对待特殊物品的火灾，应使用专用防护服。考虑到过滤式防毒面具防毒范围的局限性，在扑救毒害品火灾时应尽量使用隔绝式空气面具。为了在火场上能正确使用和适应，平时应进行严格的适应性训练。</w:t>
      </w:r>
    </w:p>
    <w:p w14:paraId="04FA2B9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扑救原油等具有沸溢和喷溅危险的液体火灾，必须注意计算可能发生沸溢、喷溅的时间和观察是否有沸溢、喷溅的征兆。一旦现场指挥发现危险征兆时应迅速作出准确判断，及时下达撤退命令，避免造成人员伤亡和装备损失。扑救人员看到或者听到统一撤退信号后，应立即撤至安全地带。</w:t>
      </w:r>
    </w:p>
    <w:p w14:paraId="4F7CB96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⑥遇易燃液体管道或者贮罐泄漏着火，在切断蔓延方向并把火势限制在</w:t>
      </w:r>
      <w:r>
        <w:rPr>
          <w:rFonts w:hint="eastAsia" w:ascii="仿宋_GB2312" w:hAnsi="仿宋_GB2312" w:eastAsia="仿宋_GB2312" w:cs="仿宋_GB2312"/>
          <w:color w:val="auto"/>
          <w:kern w:val="0"/>
          <w:sz w:val="32"/>
          <w:szCs w:val="32"/>
          <w:lang w:eastAsia="zh-CN"/>
        </w:rPr>
        <w:t>一定</w:t>
      </w:r>
      <w:r>
        <w:rPr>
          <w:rFonts w:hint="default" w:ascii="仿宋_GB2312" w:hAnsi="仿宋_GB2312" w:eastAsia="仿宋_GB2312" w:cs="仿宋_GB2312"/>
          <w:color w:val="auto"/>
          <w:kern w:val="0"/>
          <w:sz w:val="32"/>
          <w:szCs w:val="32"/>
        </w:rPr>
        <w:t>范围内的同时，对输送管道应设法找到并关闭进、出阀门，如果管道阀门已损坏或是贮罐泄漏，应迅速准备好堵漏物料，然后先用泡沫、干粉、二氧化碳或雾状水等扑灭地上的流淌火焰；为堵漏扫清障碍，其次再扑灭泄漏口的火焰，并迅速采取堵漏措施。与气体堵漏不同的是，液体一次堵漏失败，可连续堵漏几次，只要用泡沫覆盖地面，并堵住液体流淌和控制好</w:t>
      </w:r>
      <w:r>
        <w:rPr>
          <w:rFonts w:hint="eastAsia" w:ascii="仿宋_GB2312" w:hAnsi="仿宋_GB2312" w:eastAsia="仿宋_GB2312" w:cs="仿宋_GB2312"/>
          <w:color w:val="auto"/>
          <w:kern w:val="0"/>
          <w:sz w:val="32"/>
          <w:szCs w:val="32"/>
          <w:lang w:eastAsia="zh-CN"/>
        </w:rPr>
        <w:t>周围</w:t>
      </w:r>
      <w:r>
        <w:rPr>
          <w:rFonts w:hint="default" w:ascii="仿宋_GB2312" w:hAnsi="仿宋_GB2312" w:eastAsia="仿宋_GB2312" w:cs="仿宋_GB2312"/>
          <w:color w:val="auto"/>
          <w:kern w:val="0"/>
          <w:sz w:val="32"/>
          <w:szCs w:val="32"/>
        </w:rPr>
        <w:t>火源，不必点燃泄漏口的液体。</w:t>
      </w:r>
    </w:p>
    <w:p w14:paraId="313FF37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615" w:name="_Toc19605"/>
      <w:bookmarkEnd w:id="615"/>
      <w:bookmarkStart w:id="616" w:name="_Toc3139"/>
      <w:bookmarkStart w:id="617" w:name="_Toc17550"/>
      <w:bookmarkStart w:id="618" w:name="_Toc10836"/>
      <w:bookmarkStart w:id="619" w:name="_Toc16952"/>
      <w:bookmarkStart w:id="620" w:name="_Toc21013"/>
      <w:bookmarkStart w:id="621" w:name="_Toc23627"/>
      <w:r>
        <w:rPr>
          <w:rFonts w:hint="eastAsia" w:ascii="楷体_GB2312" w:hAnsi="楷体_GB2312" w:eastAsia="楷体_GB2312" w:cs="楷体_GB2312"/>
          <w:b/>
          <w:bCs/>
          <w:color w:val="auto"/>
          <w:kern w:val="0"/>
          <w:sz w:val="32"/>
          <w:szCs w:val="32"/>
        </w:rPr>
        <w:t>6</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事故废水和消防废水处理</w:t>
      </w:r>
      <w:bookmarkEnd w:id="616"/>
      <w:bookmarkEnd w:id="617"/>
      <w:bookmarkEnd w:id="618"/>
      <w:bookmarkEnd w:id="619"/>
      <w:bookmarkEnd w:id="620"/>
      <w:bookmarkEnd w:id="621"/>
    </w:p>
    <w:p w14:paraId="27075E3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在事故过程中和抢救过程中所产生的事故性排放的废水、消防废水，以及清洗净化产生的废水，应优先收集于企业应急事故池，如若超出企业范围进入园区雨水管网，应立即拦截园区雨水入河口，要防止废水通过雨水管道进入外环境，通过收集系统纳入污水应急处理系统。</w:t>
      </w:r>
      <w:r>
        <w:rPr>
          <w:rFonts w:hint="eastAsia" w:ascii="仿宋_GB2312" w:hAnsi="仿宋_GB2312" w:eastAsia="仿宋_GB2312" w:cs="仿宋_GB2312"/>
          <w:color w:val="auto"/>
          <w:kern w:val="0"/>
          <w:sz w:val="32"/>
          <w:szCs w:val="32"/>
          <w:lang w:eastAsia="zh-CN"/>
        </w:rPr>
        <w:t>园区</w:t>
      </w:r>
      <w:r>
        <w:rPr>
          <w:rFonts w:hint="default" w:ascii="仿宋_GB2312" w:hAnsi="仿宋_GB2312" w:eastAsia="仿宋_GB2312" w:cs="仿宋_GB2312"/>
          <w:color w:val="auto"/>
          <w:kern w:val="0"/>
          <w:sz w:val="32"/>
          <w:szCs w:val="32"/>
        </w:rPr>
        <w:t>以及园区内企业需根据环保要求建设事故应急池。</w:t>
      </w:r>
    </w:p>
    <w:p w14:paraId="5A5EF4F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622" w:name="_Toc31565"/>
      <w:bookmarkEnd w:id="622"/>
      <w:bookmarkStart w:id="623" w:name="_Toc4407"/>
      <w:bookmarkStart w:id="624" w:name="_Toc32707"/>
      <w:bookmarkStart w:id="625" w:name="_Toc5210"/>
      <w:bookmarkStart w:id="626" w:name="_Toc3470"/>
      <w:bookmarkStart w:id="627" w:name="_Toc20975"/>
      <w:bookmarkStart w:id="628" w:name="_Toc24374"/>
      <w:r>
        <w:rPr>
          <w:rFonts w:hint="eastAsia" w:ascii="楷体_GB2312" w:hAnsi="楷体_GB2312" w:eastAsia="楷体_GB2312" w:cs="楷体_GB2312"/>
          <w:b/>
          <w:bCs/>
          <w:color w:val="auto"/>
          <w:kern w:val="0"/>
          <w:sz w:val="32"/>
          <w:szCs w:val="32"/>
        </w:rPr>
        <w:t>7</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大气污染事故应急处置措施</w:t>
      </w:r>
      <w:bookmarkEnd w:id="623"/>
      <w:bookmarkEnd w:id="624"/>
      <w:bookmarkEnd w:id="625"/>
      <w:bookmarkEnd w:id="626"/>
      <w:bookmarkEnd w:id="627"/>
      <w:bookmarkEnd w:id="628"/>
    </w:p>
    <w:p w14:paraId="76E38A0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园区内发生大气污染事故的应急处置措施：</w:t>
      </w:r>
    </w:p>
    <w:p w14:paraId="03D9738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①快速成立气体泄漏应急响应机制；</w:t>
      </w:r>
    </w:p>
    <w:p w14:paraId="51B7BF6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②将泄漏污染区人员迅速撤离至上风处，并对事故现场立即进行隔离；</w:t>
      </w:r>
    </w:p>
    <w:p w14:paraId="4264ECD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③尽可能切断泄漏源，防止泄漏的物料进入下水道；</w:t>
      </w:r>
    </w:p>
    <w:p w14:paraId="5B6EF7B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④立即采取可行的泄漏处置方法；</w:t>
      </w:r>
    </w:p>
    <w:p w14:paraId="7FAD83EC">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⑤根据事故处理过程中现场的检测结果和可能产生的危害，随时调整隔离区的范围。</w:t>
      </w:r>
    </w:p>
    <w:p w14:paraId="3F4443C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color w:val="auto"/>
          <w:kern w:val="0"/>
          <w:sz w:val="32"/>
          <w:szCs w:val="32"/>
        </w:rPr>
      </w:pPr>
      <w:bookmarkStart w:id="629" w:name="_Toc4731"/>
      <w:bookmarkEnd w:id="629"/>
      <w:bookmarkStart w:id="630" w:name="_Toc22690"/>
      <w:bookmarkStart w:id="631" w:name="_Toc6112"/>
      <w:bookmarkStart w:id="632" w:name="_Toc32736"/>
      <w:bookmarkStart w:id="633" w:name="_Toc13318"/>
      <w:bookmarkStart w:id="634" w:name="_Toc15452"/>
      <w:bookmarkStart w:id="635" w:name="_Toc23684"/>
      <w:r>
        <w:rPr>
          <w:rFonts w:hint="default" w:ascii="楷体_GB2312" w:hAnsi="楷体_GB2312" w:eastAsia="楷体_GB2312" w:cs="楷体_GB2312"/>
          <w:b/>
          <w:bCs/>
          <w:color w:val="auto"/>
          <w:kern w:val="0"/>
          <w:sz w:val="32"/>
          <w:szCs w:val="32"/>
        </w:rPr>
        <w:t>8</w:t>
      </w:r>
      <w:r>
        <w:rPr>
          <w:rFonts w:hint="eastAsia" w:ascii="楷体_GB2312" w:hAnsi="楷体_GB2312" w:eastAsia="楷体_GB2312" w:cs="楷体_GB2312"/>
          <w:b/>
          <w:bCs/>
          <w:color w:val="auto"/>
          <w:kern w:val="0"/>
          <w:sz w:val="32"/>
          <w:szCs w:val="32"/>
          <w:lang w:val="en-US" w:eastAsia="zh-CN"/>
        </w:rPr>
        <w:t>.</w:t>
      </w:r>
      <w:r>
        <w:rPr>
          <w:rFonts w:hint="default" w:ascii="楷体_GB2312" w:hAnsi="楷体_GB2312" w:eastAsia="楷体_GB2312" w:cs="楷体_GB2312"/>
          <w:b/>
          <w:bCs/>
          <w:color w:val="auto"/>
          <w:kern w:val="0"/>
          <w:sz w:val="32"/>
          <w:szCs w:val="32"/>
        </w:rPr>
        <w:t>水体污染事故应急处置措施</w:t>
      </w:r>
      <w:bookmarkEnd w:id="630"/>
      <w:bookmarkEnd w:id="631"/>
      <w:bookmarkEnd w:id="632"/>
      <w:bookmarkEnd w:id="633"/>
      <w:bookmarkEnd w:id="634"/>
      <w:bookmarkEnd w:id="635"/>
    </w:p>
    <w:p w14:paraId="3C94F6DD">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bookmarkStart w:id="636" w:name="_Toc12342"/>
      <w:bookmarkStart w:id="637" w:name="_Toc30276"/>
      <w:bookmarkStart w:id="638" w:name="_Toc13424"/>
      <w:bookmarkStart w:id="639" w:name="_Toc28740"/>
      <w:bookmarkStart w:id="640" w:name="_Toc25136"/>
      <w:bookmarkStart w:id="641" w:name="_Toc26420"/>
      <w:r>
        <w:rPr>
          <w:rFonts w:hint="default" w:ascii="仿宋_GB2312" w:hAnsi="仿宋_GB2312" w:eastAsia="仿宋_GB2312" w:cs="仿宋_GB2312"/>
          <w:color w:val="auto"/>
          <w:kern w:val="0"/>
          <w:sz w:val="32"/>
          <w:szCs w:val="32"/>
        </w:rPr>
        <w:t>（1）园区发生水体污染事故时可采取以下应急措施：</w:t>
      </w:r>
      <w:bookmarkEnd w:id="636"/>
      <w:bookmarkEnd w:id="637"/>
      <w:bookmarkEnd w:id="638"/>
      <w:bookmarkEnd w:id="639"/>
      <w:bookmarkEnd w:id="640"/>
      <w:bookmarkEnd w:id="641"/>
    </w:p>
    <w:p w14:paraId="14B77B9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①如果是管线破裂泄漏，应及时关闭泄漏两端最近的阀门；储罐阀门破裂泄漏时，应及时关闭泄漏源上端最近的阀门或紧急切断阀；</w:t>
      </w:r>
    </w:p>
    <w:p w14:paraId="5E1A224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②如果是罐体破裂引起物料泄漏，应立即关闭雨水排放泵的阀门，将泄漏物料控制在围堰内，防止流入周边水体或周围土壤造成污染；</w:t>
      </w:r>
    </w:p>
    <w:p w14:paraId="5323B7A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如果储罐体泄漏点位置较低，如罐底侧阀破裂引起泄漏，则应组织临时倒罐措施，</w:t>
      </w:r>
      <w:r>
        <w:rPr>
          <w:rFonts w:hint="eastAsia" w:ascii="仿宋_GB2312" w:hAnsi="仿宋_GB2312" w:eastAsia="仿宋_GB2312" w:cs="仿宋_GB2312"/>
          <w:color w:val="auto"/>
          <w:kern w:val="0"/>
          <w:sz w:val="32"/>
          <w:szCs w:val="32"/>
          <w:lang w:eastAsia="zh-CN"/>
        </w:rPr>
        <w:t>及时</w:t>
      </w:r>
      <w:r>
        <w:rPr>
          <w:rFonts w:hint="default" w:ascii="仿宋_GB2312" w:hAnsi="仿宋_GB2312" w:eastAsia="仿宋_GB2312" w:cs="仿宋_GB2312"/>
          <w:color w:val="auto"/>
          <w:kern w:val="0"/>
          <w:sz w:val="32"/>
          <w:szCs w:val="32"/>
        </w:rPr>
        <w:t>抢运罐内存余物料。</w:t>
      </w:r>
    </w:p>
    <w:p w14:paraId="26496FF5">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bookmarkStart w:id="642" w:name="_Toc18156"/>
      <w:bookmarkStart w:id="643" w:name="_Toc30961"/>
      <w:bookmarkStart w:id="644" w:name="_Toc12409"/>
      <w:bookmarkStart w:id="645" w:name="_Toc18187"/>
      <w:bookmarkStart w:id="646" w:name="_Toc26345"/>
      <w:bookmarkStart w:id="647" w:name="_Toc19228"/>
      <w:r>
        <w:rPr>
          <w:rFonts w:hint="default" w:ascii="仿宋_GB2312" w:hAnsi="仿宋_GB2312" w:eastAsia="仿宋_GB2312" w:cs="仿宋_GB2312"/>
          <w:color w:val="auto"/>
          <w:kern w:val="0"/>
          <w:sz w:val="32"/>
          <w:szCs w:val="32"/>
        </w:rPr>
        <w:t>（2）液体泄漏时，可采取的封堵的方法有：</w:t>
      </w:r>
      <w:bookmarkEnd w:id="642"/>
      <w:bookmarkEnd w:id="643"/>
      <w:bookmarkEnd w:id="644"/>
      <w:bookmarkEnd w:id="645"/>
      <w:bookmarkEnd w:id="646"/>
      <w:bookmarkEnd w:id="647"/>
    </w:p>
    <w:p w14:paraId="31D0191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①输送管道壁发生泄漏，不能关阀止漏时，可使用不同形状的堵漏垫、堵漏楔、堵漏袋等器具实施封堵；</w:t>
      </w:r>
    </w:p>
    <w:p w14:paraId="376645E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②微孔跑冒滴漏可用螺丝钉加粘合剂旋入孔内的方法堵漏；</w:t>
      </w:r>
    </w:p>
    <w:p w14:paraId="4E294DB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③物料储罐的罐壁撕裂发生泄漏，可用充气袋、充气垫等专用器具从外部包裹堵漏；</w:t>
      </w:r>
    </w:p>
    <w:p w14:paraId="62D7851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④管道、储罐的连接阀门法兰盘或法兰垫片损坏而发生泄漏，可用不同型号的法兰夹具注射密封胶的方法进行封堵。无法堵漏时，可用干</w:t>
      </w:r>
      <w:r>
        <w:rPr>
          <w:rFonts w:hint="eastAsia" w:ascii="仿宋_GB2312" w:hAnsi="仿宋_GB2312" w:eastAsia="仿宋_GB2312" w:cs="仿宋_GB2312"/>
          <w:color w:val="auto"/>
          <w:kern w:val="0"/>
          <w:sz w:val="32"/>
          <w:szCs w:val="32"/>
          <w:lang w:eastAsia="zh-CN"/>
        </w:rPr>
        <w:t>砂</w:t>
      </w:r>
      <w:r>
        <w:rPr>
          <w:rFonts w:hint="default" w:ascii="仿宋_GB2312" w:hAnsi="仿宋_GB2312" w:eastAsia="仿宋_GB2312" w:cs="仿宋_GB2312"/>
          <w:color w:val="auto"/>
          <w:kern w:val="0"/>
          <w:sz w:val="32"/>
          <w:szCs w:val="32"/>
        </w:rPr>
        <w:t>等惰性物质等筑堤堵截。</w:t>
      </w:r>
    </w:p>
    <w:p w14:paraId="46334EEF">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楷体_GB2312" w:hAnsi="楷体_GB2312" w:eastAsia="楷体_GB2312" w:cs="楷体_GB2312"/>
          <w:b/>
          <w:bCs/>
          <w:color w:val="auto"/>
          <w:kern w:val="0"/>
          <w:sz w:val="32"/>
          <w:szCs w:val="32"/>
        </w:rPr>
      </w:pPr>
      <w:bookmarkStart w:id="648" w:name="_Toc11043"/>
      <w:bookmarkEnd w:id="648"/>
      <w:bookmarkStart w:id="649" w:name="_Toc3922"/>
      <w:bookmarkStart w:id="650" w:name="_Toc25224"/>
      <w:bookmarkStart w:id="651" w:name="_Toc3643"/>
      <w:bookmarkStart w:id="652" w:name="_Toc9845"/>
      <w:bookmarkStart w:id="653" w:name="_Toc15424"/>
      <w:bookmarkStart w:id="654" w:name="_Toc27757"/>
      <w:r>
        <w:rPr>
          <w:rFonts w:hint="default" w:ascii="楷体_GB2312" w:hAnsi="楷体_GB2312" w:eastAsia="楷体_GB2312" w:cs="楷体_GB2312"/>
          <w:b/>
          <w:bCs/>
          <w:color w:val="auto"/>
          <w:kern w:val="0"/>
          <w:sz w:val="32"/>
          <w:szCs w:val="32"/>
        </w:rPr>
        <w:t>9</w:t>
      </w:r>
      <w:r>
        <w:rPr>
          <w:rFonts w:hint="eastAsia" w:ascii="楷体_GB2312" w:hAnsi="楷体_GB2312" w:eastAsia="楷体_GB2312" w:cs="楷体_GB2312"/>
          <w:b/>
          <w:bCs/>
          <w:color w:val="auto"/>
          <w:kern w:val="0"/>
          <w:sz w:val="32"/>
          <w:szCs w:val="32"/>
          <w:lang w:val="en-US" w:eastAsia="zh-CN"/>
        </w:rPr>
        <w:t>.</w:t>
      </w:r>
      <w:r>
        <w:rPr>
          <w:rFonts w:hint="default" w:ascii="楷体_GB2312" w:hAnsi="楷体_GB2312" w:eastAsia="楷体_GB2312" w:cs="楷体_GB2312"/>
          <w:b/>
          <w:bCs/>
          <w:color w:val="auto"/>
          <w:kern w:val="0"/>
          <w:sz w:val="32"/>
          <w:szCs w:val="32"/>
        </w:rPr>
        <w:t>污染治理设施应急处理处置措施</w:t>
      </w:r>
      <w:bookmarkEnd w:id="649"/>
      <w:bookmarkEnd w:id="650"/>
      <w:bookmarkEnd w:id="651"/>
      <w:bookmarkEnd w:id="652"/>
      <w:bookmarkEnd w:id="653"/>
      <w:bookmarkEnd w:id="654"/>
    </w:p>
    <w:p w14:paraId="3CB4512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655" w:name="_Toc29220"/>
      <w:bookmarkStart w:id="656" w:name="_Toc10646"/>
      <w:bookmarkStart w:id="657" w:name="_Toc14623"/>
      <w:bookmarkStart w:id="658" w:name="_Toc18683"/>
      <w:bookmarkStart w:id="659" w:name="_Toc3870"/>
      <w:bookmarkStart w:id="660" w:name="_Toc26319"/>
      <w:r>
        <w:rPr>
          <w:rFonts w:hint="default" w:ascii="仿宋_GB2312" w:hAnsi="仿宋_GB2312" w:eastAsia="仿宋_GB2312" w:cs="仿宋_GB2312"/>
          <w:b/>
          <w:bCs/>
          <w:color w:val="auto"/>
          <w:kern w:val="0"/>
          <w:sz w:val="32"/>
          <w:szCs w:val="32"/>
        </w:rPr>
        <w:t>（1）污水处理站故障或者其他原因导致废水不能达标排放</w:t>
      </w:r>
      <w:bookmarkEnd w:id="655"/>
      <w:bookmarkEnd w:id="656"/>
      <w:bookmarkEnd w:id="657"/>
      <w:bookmarkEnd w:id="658"/>
      <w:bookmarkEnd w:id="659"/>
      <w:bookmarkEnd w:id="660"/>
    </w:p>
    <w:p w14:paraId="23796D1E">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园区企业的污水处理站处理故障或其他原因导致企业内废水不能达标排放，主要表现为废水超标排放对废水处理设施所造成的冲击，从而对下游污水处理厂造成一定的影响。其措施如下：</w:t>
      </w:r>
    </w:p>
    <w:p w14:paraId="7928DDF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①污水站管理人员应及时关闭外排水阀门，并通知企业环保和机修部门，并立即向园区管委会报告。</w:t>
      </w:r>
    </w:p>
    <w:p w14:paraId="6E244044">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②企业应积极组织人员查明原因，进行抢修，通知产生废水的工地车间进行停车。</w:t>
      </w:r>
    </w:p>
    <w:p w14:paraId="71272D8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③已产生的废水先进入集水池或事故应急池。待污水处理站正常运行后，再处理后外排。</w:t>
      </w:r>
    </w:p>
    <w:p w14:paraId="34C46DC6">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④企业应及时对事故发生情况、应急措施等进行记录，并调查事故起因，及时进行总结。并将事故情况和处理情况上报园区管委会及应急指挥部。</w:t>
      </w:r>
    </w:p>
    <w:p w14:paraId="14642098">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b/>
          <w:bCs/>
          <w:color w:val="auto"/>
          <w:kern w:val="0"/>
          <w:sz w:val="32"/>
          <w:szCs w:val="32"/>
        </w:rPr>
      </w:pPr>
      <w:bookmarkStart w:id="661" w:name="_Toc6955"/>
      <w:bookmarkStart w:id="662" w:name="_Toc20700"/>
      <w:bookmarkStart w:id="663" w:name="_Toc27515"/>
      <w:bookmarkStart w:id="664" w:name="_Toc3468"/>
      <w:bookmarkStart w:id="665" w:name="_Toc14808"/>
      <w:bookmarkStart w:id="666" w:name="_Toc23711"/>
      <w:r>
        <w:rPr>
          <w:rFonts w:hint="default" w:ascii="仿宋_GB2312" w:hAnsi="仿宋_GB2312" w:eastAsia="仿宋_GB2312" w:cs="仿宋_GB2312"/>
          <w:b/>
          <w:bCs/>
          <w:color w:val="auto"/>
          <w:kern w:val="0"/>
          <w:sz w:val="32"/>
          <w:szCs w:val="32"/>
        </w:rPr>
        <w:t>（2）废气处理设施故障</w:t>
      </w:r>
      <w:bookmarkEnd w:id="661"/>
      <w:bookmarkEnd w:id="662"/>
      <w:bookmarkEnd w:id="663"/>
      <w:bookmarkEnd w:id="664"/>
      <w:bookmarkEnd w:id="665"/>
      <w:bookmarkEnd w:id="666"/>
    </w:p>
    <w:p w14:paraId="24B0EBB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废气处理设施非正常运转应急措施如下：</w:t>
      </w:r>
    </w:p>
    <w:p w14:paraId="5EBDC22B">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①</w:t>
      </w:r>
      <w:r>
        <w:rPr>
          <w:rFonts w:hint="eastAsia" w:ascii="仿宋_GB2312" w:hAnsi="仿宋_GB2312" w:eastAsia="仿宋_GB2312" w:cs="仿宋_GB2312"/>
          <w:color w:val="auto"/>
          <w:kern w:val="0"/>
          <w:sz w:val="32"/>
          <w:szCs w:val="32"/>
          <w:lang w:eastAsia="zh-CN"/>
        </w:rPr>
        <w:t>若</w:t>
      </w:r>
      <w:r>
        <w:rPr>
          <w:rFonts w:hint="default" w:ascii="仿宋_GB2312" w:hAnsi="仿宋_GB2312" w:eastAsia="仿宋_GB2312" w:cs="仿宋_GB2312"/>
          <w:color w:val="auto"/>
          <w:kern w:val="0"/>
          <w:sz w:val="32"/>
          <w:szCs w:val="32"/>
        </w:rPr>
        <w:t>布袋除尘器（粉尘）发生泄漏，废气处理装置所在车间人员应立刻通知企业抢修</w:t>
      </w:r>
      <w:r>
        <w:rPr>
          <w:rFonts w:hint="eastAsia" w:ascii="仿宋_GB2312" w:hAnsi="仿宋_GB2312" w:eastAsia="仿宋_GB2312" w:cs="仿宋_GB2312"/>
          <w:color w:val="auto"/>
          <w:kern w:val="0"/>
          <w:sz w:val="32"/>
          <w:szCs w:val="32"/>
          <w:lang w:eastAsia="zh-CN"/>
        </w:rPr>
        <w:t>部门</w:t>
      </w:r>
      <w:r>
        <w:rPr>
          <w:rFonts w:hint="default" w:ascii="仿宋_GB2312" w:hAnsi="仿宋_GB2312" w:eastAsia="仿宋_GB2312" w:cs="仿宋_GB2312"/>
          <w:color w:val="auto"/>
          <w:kern w:val="0"/>
          <w:sz w:val="32"/>
          <w:szCs w:val="32"/>
        </w:rPr>
        <w:t>进行设备维修或布袋更换，并对各产生废气的生产岗位停止生产，关闭通往废气管各阀门。</w:t>
      </w:r>
    </w:p>
    <w:p w14:paraId="53E02DF0">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②酸/碱洗塔或有机溶剂吸收装置发生事故，会造成超标气体的事故性排放，产生严重环境影响。发生事故的车间应立即报告企业生产部门，对各产生废气的生产岗位停止生产，关闭通往废气管各阀门，对洗涤液加药加大喷淋水量增强处理能力，立即通知企业抢修部门对故障设备进行抢修。</w:t>
      </w:r>
    </w:p>
    <w:p w14:paraId="22EB330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③其他废气装置发生事故，应立即对各产生废气的生产岗位停止生产，关闭通往废气管各阀门，如果是膜破损或失效应进行更换，如果是管路、阀门破损应立即抢修。</w:t>
      </w:r>
    </w:p>
    <w:p w14:paraId="23DF1A6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④如造成事故排放，企业应将事故上报至园区管委会及应急指挥部，并指派人员对现场应急控制措施实施监督，及时对各生产岗位进行巡回检查，确保无废气外漏。</w:t>
      </w:r>
    </w:p>
    <w:p w14:paraId="288EB18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⑤废气处理装置运行正常后，</w:t>
      </w:r>
      <w:r>
        <w:rPr>
          <w:rFonts w:hint="eastAsia" w:ascii="仿宋_GB2312" w:hAnsi="仿宋_GB2312" w:eastAsia="仿宋_GB2312" w:cs="仿宋_GB2312"/>
          <w:color w:val="auto"/>
          <w:kern w:val="0"/>
          <w:sz w:val="32"/>
          <w:szCs w:val="32"/>
          <w:lang w:eastAsia="zh-CN"/>
        </w:rPr>
        <w:t>由</w:t>
      </w:r>
      <w:r>
        <w:rPr>
          <w:rFonts w:hint="default" w:ascii="仿宋_GB2312" w:hAnsi="仿宋_GB2312" w:eastAsia="仿宋_GB2312" w:cs="仿宋_GB2312"/>
          <w:color w:val="auto"/>
          <w:kern w:val="0"/>
          <w:sz w:val="32"/>
          <w:szCs w:val="32"/>
        </w:rPr>
        <w:t>应急指挥部确认后方可恢复生产。</w:t>
      </w:r>
    </w:p>
    <w:p w14:paraId="071B7F27">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eastAsia" w:ascii="楷体_GB2312" w:hAnsi="楷体_GB2312" w:eastAsia="楷体_GB2312" w:cs="楷体_GB2312"/>
          <w:b/>
          <w:bCs/>
          <w:color w:val="auto"/>
          <w:kern w:val="0"/>
          <w:sz w:val="32"/>
          <w:szCs w:val="32"/>
        </w:rPr>
      </w:pPr>
      <w:bookmarkStart w:id="667" w:name="_Toc11778"/>
      <w:bookmarkEnd w:id="667"/>
      <w:bookmarkStart w:id="668" w:name="_Toc12548"/>
      <w:bookmarkStart w:id="669" w:name="_Toc31329"/>
      <w:bookmarkStart w:id="670" w:name="_Toc1702"/>
      <w:bookmarkStart w:id="671" w:name="_Toc22806"/>
      <w:bookmarkStart w:id="672" w:name="_Toc3150"/>
      <w:bookmarkStart w:id="673" w:name="_Toc26601"/>
      <w:r>
        <w:rPr>
          <w:rFonts w:hint="eastAsia" w:ascii="楷体_GB2312" w:hAnsi="楷体_GB2312" w:eastAsia="楷体_GB2312" w:cs="楷体_GB2312"/>
          <w:b/>
          <w:bCs/>
          <w:color w:val="auto"/>
          <w:kern w:val="0"/>
          <w:sz w:val="32"/>
          <w:szCs w:val="32"/>
        </w:rPr>
        <w:t>10</w:t>
      </w:r>
      <w:r>
        <w:rPr>
          <w:rFonts w:hint="eastAsia" w:ascii="楷体_GB2312" w:hAnsi="楷体_GB2312" w:eastAsia="楷体_GB2312" w:cs="楷体_GB2312"/>
          <w:b/>
          <w:bCs/>
          <w:color w:val="auto"/>
          <w:kern w:val="0"/>
          <w:sz w:val="32"/>
          <w:szCs w:val="32"/>
          <w:lang w:val="en-US" w:eastAsia="zh-CN"/>
        </w:rPr>
        <w:t>.</w:t>
      </w:r>
      <w:r>
        <w:rPr>
          <w:rFonts w:hint="eastAsia" w:ascii="楷体_GB2312" w:hAnsi="楷体_GB2312" w:eastAsia="楷体_GB2312" w:cs="楷体_GB2312"/>
          <w:b/>
          <w:bCs/>
          <w:color w:val="auto"/>
          <w:kern w:val="0"/>
          <w:sz w:val="32"/>
          <w:szCs w:val="32"/>
        </w:rPr>
        <w:t>应急监测</w:t>
      </w:r>
      <w:bookmarkEnd w:id="668"/>
      <w:bookmarkEnd w:id="669"/>
      <w:bookmarkEnd w:id="670"/>
      <w:bookmarkEnd w:id="671"/>
      <w:bookmarkEnd w:id="672"/>
      <w:bookmarkEnd w:id="673"/>
    </w:p>
    <w:p w14:paraId="48812C03">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因园区管委会自身应急监测能力不足，</w:t>
      </w:r>
      <w:bookmarkStart w:id="674" w:name="_Hlk16608390"/>
      <w:bookmarkEnd w:id="674"/>
      <w:r>
        <w:rPr>
          <w:rFonts w:hint="default" w:ascii="仿宋_GB2312" w:hAnsi="仿宋_GB2312" w:eastAsia="仿宋_GB2312" w:cs="仿宋_GB2312"/>
          <w:color w:val="auto"/>
          <w:kern w:val="0"/>
          <w:sz w:val="32"/>
          <w:szCs w:val="32"/>
        </w:rPr>
        <w:t>应委托有资质的监测单位进行环境应急监测工作。</w:t>
      </w:r>
    </w:p>
    <w:p w14:paraId="30CF833A">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r>
        <w:rPr>
          <w:rFonts w:hint="default" w:ascii="仿宋_GB2312" w:hAnsi="仿宋_GB2312" w:eastAsia="仿宋_GB2312" w:cs="仿宋_GB2312"/>
          <w:color w:val="auto"/>
          <w:kern w:val="0"/>
          <w:sz w:val="32"/>
          <w:szCs w:val="32"/>
        </w:rPr>
        <w:t>发生突发环境事件时，园区应急监测组应迅速组织监测人员赶赴现场，在企业（或事业）单位环境应急监测小组配合下根据实际情况，迅速确定监测方案（包括监测布点、频次、项目和方法等），及时开展针对突发环境事件的应急监测工作，在尽可能短的时间内，用小型、便携、简易的仪器对污染物质种类、浓度和污染的范围及其可能的危害作出判断，以便对事件能及时、正确</w:t>
      </w:r>
      <w:r>
        <w:rPr>
          <w:rFonts w:hint="eastAsia" w:ascii="仿宋_GB2312" w:hAnsi="仿宋_GB2312" w:eastAsia="仿宋_GB2312" w:cs="仿宋_GB2312"/>
          <w:color w:val="auto"/>
          <w:kern w:val="0"/>
          <w:sz w:val="32"/>
          <w:szCs w:val="32"/>
          <w:lang w:eastAsia="zh-CN"/>
        </w:rPr>
        <w:t>地</w:t>
      </w:r>
      <w:r>
        <w:rPr>
          <w:rFonts w:hint="default" w:ascii="仿宋_GB2312" w:hAnsi="仿宋_GB2312" w:eastAsia="仿宋_GB2312" w:cs="仿宋_GB2312"/>
          <w:color w:val="auto"/>
          <w:kern w:val="0"/>
          <w:sz w:val="32"/>
          <w:szCs w:val="32"/>
        </w:rPr>
        <w:t>进行处理。</w:t>
      </w:r>
    </w:p>
    <w:p w14:paraId="292BE7E9">
      <w:pPr>
        <w:keepNext w:val="0"/>
        <w:keepLines w:val="0"/>
        <w:pageBreakBefore w:val="0"/>
        <w:widowControl/>
        <w:kinsoku/>
        <w:wordWrap/>
        <w:overflowPunct/>
        <w:topLinePunct w:val="0"/>
        <w:autoSpaceDE/>
        <w:autoSpaceDN/>
        <w:bidi w:val="0"/>
        <w:adjustRightInd/>
        <w:snapToGrid/>
        <w:spacing w:line="600" w:lineRule="exact"/>
        <w:ind w:firstLine="480"/>
        <w:jc w:val="both"/>
        <w:textAlignment w:val="auto"/>
        <w:rPr>
          <w:rFonts w:hint="default" w:ascii="仿宋_GB2312" w:hAnsi="仿宋_GB2312" w:eastAsia="仿宋_GB2312" w:cs="仿宋_GB2312"/>
          <w:color w:val="auto"/>
          <w:kern w:val="0"/>
          <w:sz w:val="32"/>
          <w:szCs w:val="32"/>
        </w:rPr>
      </w:pPr>
    </w:p>
    <w:p w14:paraId="2F255ED5">
      <w:pPr>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both"/>
        <w:textAlignment w:val="auto"/>
        <w:rPr>
          <w:rFonts w:hint="default" w:ascii="仿宋_GB2312" w:hAnsi="仿宋_GB2312" w:eastAsia="仿宋_GB2312" w:cs="仿宋_GB2312"/>
          <w:color w:val="auto"/>
          <w:kern w:val="0"/>
          <w:sz w:val="32"/>
          <w:szCs w:val="32"/>
          <w:lang w:eastAsia="zh-CN"/>
        </w:rPr>
      </w:pPr>
    </w:p>
    <w:p w14:paraId="240E9E8D">
      <w:pPr>
        <w:pStyle w:val="2"/>
        <w:rPr>
          <w:rFonts w:hint="default" w:ascii="仿宋_GB2312" w:hAnsi="仿宋_GB2312" w:eastAsia="仿宋_GB2312" w:cs="仿宋_GB2312"/>
          <w:color w:val="auto"/>
          <w:kern w:val="0"/>
          <w:sz w:val="32"/>
          <w:szCs w:val="32"/>
          <w:lang w:eastAsia="zh-CN"/>
        </w:rPr>
      </w:pPr>
    </w:p>
    <w:p w14:paraId="44F3D62E">
      <w:pPr>
        <w:rPr>
          <w:rFonts w:hint="default" w:ascii="仿宋_GB2312" w:hAnsi="仿宋_GB2312" w:eastAsia="仿宋_GB2312" w:cs="仿宋_GB2312"/>
          <w:color w:val="auto"/>
          <w:kern w:val="0"/>
          <w:sz w:val="32"/>
          <w:szCs w:val="32"/>
          <w:lang w:eastAsia="zh-CN"/>
        </w:rPr>
      </w:pPr>
    </w:p>
    <w:p w14:paraId="525B6E05">
      <w:pPr>
        <w:pStyle w:val="2"/>
        <w:rPr>
          <w:rFonts w:hint="default" w:ascii="仿宋_GB2312" w:hAnsi="仿宋_GB2312" w:eastAsia="仿宋_GB2312" w:cs="仿宋_GB2312"/>
          <w:color w:val="auto"/>
          <w:kern w:val="0"/>
          <w:sz w:val="32"/>
          <w:szCs w:val="32"/>
          <w:lang w:eastAsia="zh-CN"/>
        </w:rPr>
      </w:pPr>
    </w:p>
    <w:p w14:paraId="3290237B">
      <w:pPr>
        <w:pStyle w:val="2"/>
        <w:ind w:left="0" w:leftChars="0" w:firstLine="0" w:firstLineChars="0"/>
        <w:rPr>
          <w:rFonts w:hint="default" w:ascii="仿宋_GB2312" w:hAnsi="仿宋_GB2312" w:eastAsia="仿宋_GB2312" w:cs="仿宋_GB2312"/>
          <w:color w:val="auto"/>
          <w:kern w:val="0"/>
          <w:sz w:val="32"/>
          <w:szCs w:val="32"/>
          <w:lang w:val="en-US" w:eastAsia="zh-CN"/>
        </w:rPr>
      </w:pPr>
      <w:r>
        <w:rPr>
          <w:sz w:val="32"/>
        </w:rPr>
        <mc:AlternateContent>
          <mc:Choice Requires="wps">
            <w:drawing>
              <wp:anchor distT="0" distB="0" distL="114300" distR="114300" simplePos="0" relativeHeight="251719680" behindDoc="0" locked="0" layoutInCell="1" allowOverlap="1">
                <wp:simplePos x="0" y="0"/>
                <wp:positionH relativeFrom="column">
                  <wp:posOffset>-26035</wp:posOffset>
                </wp:positionH>
                <wp:positionV relativeFrom="paragraph">
                  <wp:posOffset>349885</wp:posOffset>
                </wp:positionV>
                <wp:extent cx="5638800" cy="0"/>
                <wp:effectExtent l="0" t="6350" r="0" b="6350"/>
                <wp:wrapNone/>
                <wp:docPr id="30" name="直接连接符 30"/>
                <wp:cNvGraphicFramePr/>
                <a:graphic xmlns:a="http://schemas.openxmlformats.org/drawingml/2006/main">
                  <a:graphicData uri="http://schemas.microsoft.com/office/word/2010/wordprocessingShape">
                    <wps:wsp>
                      <wps:cNvCnPr/>
                      <wps:spPr>
                        <a:xfrm>
                          <a:off x="0" y="0"/>
                          <a:ext cx="56388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5pt;margin-top:27.55pt;height:0pt;width:444pt;z-index:251719680;mso-width-relative:page;mso-height-relative:page;" filled="f" stroked="t" coordsize="21600,21600" o:gfxdata="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ooTsfYAAAA&#10;CAEAAA8AAAAAAAAAAQAgAAAAIgAAAGRycy9kb3ducmV2LnhtbFBLAQIUABQAAAAIAIdO4kD9og6W&#10;5AEAALQDAAAOAAAAAAAAAAEAIAAAACcBAABkcnMvZTJvRG9jLnhtbFBLBQYAAAAABgAGAFkBAAB9&#10;BQ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718656" behindDoc="0" locked="0" layoutInCell="1" allowOverlap="1">
                <wp:simplePos x="0" y="0"/>
                <wp:positionH relativeFrom="column">
                  <wp:posOffset>-35560</wp:posOffset>
                </wp:positionH>
                <wp:positionV relativeFrom="paragraph">
                  <wp:posOffset>26035</wp:posOffset>
                </wp:positionV>
                <wp:extent cx="5638800" cy="0"/>
                <wp:effectExtent l="0" t="6350" r="0" b="6350"/>
                <wp:wrapNone/>
                <wp:docPr id="5" name="直接连接符 5"/>
                <wp:cNvGraphicFramePr/>
                <a:graphic xmlns:a="http://schemas.openxmlformats.org/drawingml/2006/main">
                  <a:graphicData uri="http://schemas.microsoft.com/office/word/2010/wordprocessingShape">
                    <wps:wsp>
                      <wps:cNvCnPr/>
                      <wps:spPr>
                        <a:xfrm>
                          <a:off x="972185" y="9023985"/>
                          <a:ext cx="56388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pt;margin-top:2.05pt;height:0pt;width:444pt;z-index:251718656;mso-width-relative:page;mso-height-relative:page;" filled="f" stroked="t" coordsize="21600,21600" o:gfxdata="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5V88w1QAAAAYBAAAPAAAAAAAAAAEAIAAAACIAAABkcnMvZG93bnJldi54bWxQSwECFAAUAAAA&#10;CACHTuJAZC0pofEBAAC9AwAADgAAAAAAAAABACAAAAAkAQAAZHJzL2Uyb0RvYy54bWxQSwUGAAAA&#10;AAYABgBZAQAAhwU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color w:val="auto"/>
          <w:kern w:val="0"/>
          <w:sz w:val="32"/>
          <w:szCs w:val="32"/>
          <w:lang w:val="en-US" w:eastAsia="zh-CN"/>
        </w:rPr>
        <w:t>昌江区人民政府办公室                  2026年5月11日印发</w:t>
      </w:r>
    </w:p>
    <w:sectPr>
      <w:pgSz w:w="11906" w:h="16838"/>
      <w:pgMar w:top="2098" w:right="1474" w:bottom="1984" w:left="1587" w:header="851" w:footer="992" w:gutter="0"/>
      <w:pgNumType w:fmt="decimal"/>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3">
      <wne:acd wne:acdName="acd1"/>
    </wne:keymap>
  </wne:keymaps>
  <wne:acds>
    <wne:acd wne:argValue="AgClYkpUY2uHZQ==" wne:acdName="acd0" wne:fciIndexBasedOn="0065"/>
    <wne:acd wne:argValue="AgBBAAdomJgzAKd+" wne:acdName="acd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mbria Math">
    <w:altName w:val="DejaVu Math TeX Gyre"/>
    <w:panose1 w:val="02040503050406030204"/>
    <w:charset w:val="00"/>
    <w:family w:val="roman"/>
    <w:pitch w:val="default"/>
    <w:sig w:usb0="00000000" w:usb1="00000000"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B8489">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CE056">
    <w:pPr>
      <w:pStyle w:val="16"/>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D19A4">
                          <w:pPr>
                            <w:pStyle w:val="16"/>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F6D19A4">
                    <w:pPr>
                      <w:pStyle w:val="16"/>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88189">
    <w:pPr>
      <w:pStyle w:val="16"/>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B5056">
                          <w:pPr>
                            <w:pStyle w:val="16"/>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0AB5056">
                    <w:pPr>
                      <w:pStyle w:val="16"/>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1E4D6">
    <w:pPr>
      <w:snapToGrid w:val="0"/>
      <w:ind w:right="360" w:firstLine="360"/>
      <w:rPr>
        <w:rFonts w:asciiTheme="minorHAnsi" w:hAnsiTheme="minorHAnsi" w:eastAsiaTheme="minorEastAsia" w:cstheme="minorBidi"/>
        <w:sz w:val="18"/>
        <w:szCs w:val="18"/>
      </w:rPr>
    </w:pPr>
    <w:r>
      <w:rPr>
        <w:sz w:val="18"/>
      </w:rPr>
      <mc:AlternateContent>
        <mc:Choice Requires="wps">
          <w:drawing>
            <wp:anchor distT="0" distB="0" distL="114300" distR="114300" simplePos="0" relativeHeight="251662336" behindDoc="1"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1CEBF">
                          <w:pPr>
                            <w:pStyle w:val="16"/>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4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401CEBF">
                    <w:pPr>
                      <w:pStyle w:val="16"/>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331F8">
    <w:pPr>
      <w:snapToGrid w:val="0"/>
      <w:ind w:right="360" w:firstLine="360"/>
      <w:rPr>
        <w:rFonts w:asciiTheme="minorHAnsi" w:hAnsiTheme="minorHAnsi" w:eastAsiaTheme="minorEastAsia" w:cstheme="minorBid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5C3D5">
                          <w:pPr>
                            <w:pStyle w:val="16"/>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1A5C3D5">
                    <w:pPr>
                      <w:pStyle w:val="16"/>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97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61BBA"/>
    <w:multiLevelType w:val="singleLevel"/>
    <w:tmpl w:val="FA061BBA"/>
    <w:lvl w:ilvl="0" w:tentative="0">
      <w:start w:val="1"/>
      <w:numFmt w:val="decimal"/>
      <w:suff w:val="nothing"/>
      <w:lvlText w:val="（%1）"/>
      <w:lvlJc w:val="left"/>
    </w:lvl>
  </w:abstractNum>
  <w:abstractNum w:abstractNumId="1">
    <w:nsid w:val="13CAE330"/>
    <w:multiLevelType w:val="multilevel"/>
    <w:tmpl w:val="13CAE330"/>
    <w:lvl w:ilvl="0" w:tentative="0">
      <w:start w:val="1"/>
      <w:numFmt w:val="decimal"/>
      <w:pStyle w:val="3"/>
      <w:lvlText w:val="%1."/>
      <w:lvlJc w:val="left"/>
      <w:pPr>
        <w:ind w:left="432" w:hanging="432"/>
      </w:pPr>
      <w:rPr>
        <w:rFonts w:hint="default" w:ascii="Times New Roman" w:hAnsi="Times New Roman" w:cs="Times New Roman"/>
        <w:b/>
        <w:bCs/>
        <w:sz w:val="32"/>
        <w:szCs w:val="32"/>
      </w:rPr>
    </w:lvl>
    <w:lvl w:ilvl="1" w:tentative="0">
      <w:start w:val="1"/>
      <w:numFmt w:val="decimal"/>
      <w:pStyle w:val="4"/>
      <w:lvlText w:val="%1.%2."/>
      <w:lvlJc w:val="left"/>
      <w:pPr>
        <w:ind w:left="13" w:hanging="575"/>
      </w:pPr>
      <w:rPr>
        <w:rFonts w:hint="default" w:ascii="黑体" w:hAnsi="黑体" w:eastAsia="黑体" w:cs="黑体"/>
        <w:b w:val="0"/>
        <w:bCs w:val="0"/>
        <w:sz w:val="32"/>
        <w:szCs w:val="32"/>
      </w:rPr>
    </w:lvl>
    <w:lvl w:ilvl="2" w:tentative="0">
      <w:start w:val="1"/>
      <w:numFmt w:val="decimal"/>
      <w:pStyle w:val="5"/>
      <w:lvlText w:val="%1.%2.%3."/>
      <w:lvlJc w:val="left"/>
      <w:pPr>
        <w:ind w:left="720" w:hanging="720"/>
      </w:pPr>
      <w:rPr>
        <w:rFonts w:hint="default" w:ascii="楷体_GB2312" w:hAnsi="楷体_GB2312" w:eastAsia="楷体_GB2312" w:cs="楷体_GB2312"/>
        <w:sz w:val="32"/>
        <w:szCs w:val="32"/>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2">
    <w:nsid w:val="1F57056C"/>
    <w:multiLevelType w:val="singleLevel"/>
    <w:tmpl w:val="1F57056C"/>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OWFjOWZlNjc1N2Q0ZjUxNzY5ZGNkNmE0YzUxYWMifQ=="/>
  </w:docVars>
  <w:rsids>
    <w:rsidRoot w:val="00371CA9"/>
    <w:rsid w:val="000B41CE"/>
    <w:rsid w:val="00244E60"/>
    <w:rsid w:val="00371CA9"/>
    <w:rsid w:val="004754AC"/>
    <w:rsid w:val="004B6FF3"/>
    <w:rsid w:val="00563CC7"/>
    <w:rsid w:val="005B65F3"/>
    <w:rsid w:val="00777F32"/>
    <w:rsid w:val="00937583"/>
    <w:rsid w:val="00954BE9"/>
    <w:rsid w:val="00A54412"/>
    <w:rsid w:val="00CD6E15"/>
    <w:rsid w:val="00D25FA6"/>
    <w:rsid w:val="00E41AF0"/>
    <w:rsid w:val="00E849BB"/>
    <w:rsid w:val="00FA1607"/>
    <w:rsid w:val="03115C32"/>
    <w:rsid w:val="05C0366A"/>
    <w:rsid w:val="078B7B6F"/>
    <w:rsid w:val="080203D9"/>
    <w:rsid w:val="095853C7"/>
    <w:rsid w:val="09774FD1"/>
    <w:rsid w:val="09E93D9B"/>
    <w:rsid w:val="0A5D5410"/>
    <w:rsid w:val="0AE709E2"/>
    <w:rsid w:val="0B371A60"/>
    <w:rsid w:val="0BF027CF"/>
    <w:rsid w:val="0C8148FB"/>
    <w:rsid w:val="0E5928AD"/>
    <w:rsid w:val="0E8F3C0B"/>
    <w:rsid w:val="0ED32FD6"/>
    <w:rsid w:val="0EF26155"/>
    <w:rsid w:val="0F246551"/>
    <w:rsid w:val="0FF210E3"/>
    <w:rsid w:val="10F25F6C"/>
    <w:rsid w:val="115455AE"/>
    <w:rsid w:val="11D3779C"/>
    <w:rsid w:val="12922DA3"/>
    <w:rsid w:val="1299596E"/>
    <w:rsid w:val="12B97DBE"/>
    <w:rsid w:val="13992018"/>
    <w:rsid w:val="14EB65BB"/>
    <w:rsid w:val="15C7412E"/>
    <w:rsid w:val="17256CF8"/>
    <w:rsid w:val="178A1B51"/>
    <w:rsid w:val="1836119D"/>
    <w:rsid w:val="18B822F4"/>
    <w:rsid w:val="1A862626"/>
    <w:rsid w:val="1B851307"/>
    <w:rsid w:val="1BDC7E4B"/>
    <w:rsid w:val="1E1768F4"/>
    <w:rsid w:val="1E3D3145"/>
    <w:rsid w:val="1EED17AC"/>
    <w:rsid w:val="1EFA0AE8"/>
    <w:rsid w:val="1F792DAF"/>
    <w:rsid w:val="1F9704BB"/>
    <w:rsid w:val="21971951"/>
    <w:rsid w:val="224F6D01"/>
    <w:rsid w:val="22E62655"/>
    <w:rsid w:val="247A4A2B"/>
    <w:rsid w:val="2550708D"/>
    <w:rsid w:val="27165B0E"/>
    <w:rsid w:val="27201D62"/>
    <w:rsid w:val="2771143B"/>
    <w:rsid w:val="28226252"/>
    <w:rsid w:val="2866556E"/>
    <w:rsid w:val="291A2027"/>
    <w:rsid w:val="29CE5AA6"/>
    <w:rsid w:val="2B043C6B"/>
    <w:rsid w:val="2BE2764E"/>
    <w:rsid w:val="2C5A07AA"/>
    <w:rsid w:val="2CCF04B2"/>
    <w:rsid w:val="2D0C498A"/>
    <w:rsid w:val="2D970506"/>
    <w:rsid w:val="2F89462D"/>
    <w:rsid w:val="30467047"/>
    <w:rsid w:val="31AF08B2"/>
    <w:rsid w:val="31FE5396"/>
    <w:rsid w:val="349A7A0A"/>
    <w:rsid w:val="350E19CC"/>
    <w:rsid w:val="35854100"/>
    <w:rsid w:val="3703785A"/>
    <w:rsid w:val="37731D7E"/>
    <w:rsid w:val="37B334E4"/>
    <w:rsid w:val="38741F0E"/>
    <w:rsid w:val="387E7378"/>
    <w:rsid w:val="392D07EB"/>
    <w:rsid w:val="3B8C2521"/>
    <w:rsid w:val="3BBC606D"/>
    <w:rsid w:val="3CF74EBC"/>
    <w:rsid w:val="3D9C5E46"/>
    <w:rsid w:val="3E3F088E"/>
    <w:rsid w:val="3EC85B5B"/>
    <w:rsid w:val="3F497ED9"/>
    <w:rsid w:val="3F5369C3"/>
    <w:rsid w:val="3FC27A03"/>
    <w:rsid w:val="3FE341B8"/>
    <w:rsid w:val="400B4625"/>
    <w:rsid w:val="410C362B"/>
    <w:rsid w:val="413B67A2"/>
    <w:rsid w:val="418F1F9C"/>
    <w:rsid w:val="41E6688F"/>
    <w:rsid w:val="427E622E"/>
    <w:rsid w:val="42FE5FC0"/>
    <w:rsid w:val="434D3A87"/>
    <w:rsid w:val="44034740"/>
    <w:rsid w:val="445F3950"/>
    <w:rsid w:val="44C91833"/>
    <w:rsid w:val="458435C2"/>
    <w:rsid w:val="45A4436B"/>
    <w:rsid w:val="462847C9"/>
    <w:rsid w:val="46BB2268"/>
    <w:rsid w:val="473015B2"/>
    <w:rsid w:val="47376F28"/>
    <w:rsid w:val="47FE17F4"/>
    <w:rsid w:val="481A0B23"/>
    <w:rsid w:val="48A71A1C"/>
    <w:rsid w:val="48D72537"/>
    <w:rsid w:val="4A6022F2"/>
    <w:rsid w:val="4AB0517F"/>
    <w:rsid w:val="4B1B6DA0"/>
    <w:rsid w:val="4C6F0F12"/>
    <w:rsid w:val="4CEB3A81"/>
    <w:rsid w:val="4DF01E53"/>
    <w:rsid w:val="4E1843C4"/>
    <w:rsid w:val="4F626B0C"/>
    <w:rsid w:val="50056C08"/>
    <w:rsid w:val="511E7DF0"/>
    <w:rsid w:val="53061437"/>
    <w:rsid w:val="543E2000"/>
    <w:rsid w:val="547F28EE"/>
    <w:rsid w:val="563C6ED5"/>
    <w:rsid w:val="56550DB4"/>
    <w:rsid w:val="57430FD1"/>
    <w:rsid w:val="58EB0F8E"/>
    <w:rsid w:val="5B044F1C"/>
    <w:rsid w:val="5B203AF8"/>
    <w:rsid w:val="5BD66072"/>
    <w:rsid w:val="5C3064EE"/>
    <w:rsid w:val="5D4F293B"/>
    <w:rsid w:val="5D546082"/>
    <w:rsid w:val="5DC44662"/>
    <w:rsid w:val="5E5A137D"/>
    <w:rsid w:val="5F3A715E"/>
    <w:rsid w:val="5F412A10"/>
    <w:rsid w:val="5F90526C"/>
    <w:rsid w:val="604D4C6F"/>
    <w:rsid w:val="610D4FC5"/>
    <w:rsid w:val="614724D4"/>
    <w:rsid w:val="62774225"/>
    <w:rsid w:val="62DB2CB2"/>
    <w:rsid w:val="632717A7"/>
    <w:rsid w:val="63535476"/>
    <w:rsid w:val="647F0B61"/>
    <w:rsid w:val="64C830FC"/>
    <w:rsid w:val="651C0D36"/>
    <w:rsid w:val="662B7800"/>
    <w:rsid w:val="6703323D"/>
    <w:rsid w:val="67A45ABC"/>
    <w:rsid w:val="683A72FC"/>
    <w:rsid w:val="689F5992"/>
    <w:rsid w:val="68B72FF4"/>
    <w:rsid w:val="68C736BE"/>
    <w:rsid w:val="68C77CB4"/>
    <w:rsid w:val="68F47416"/>
    <w:rsid w:val="69534566"/>
    <w:rsid w:val="6A262462"/>
    <w:rsid w:val="6BE16289"/>
    <w:rsid w:val="6E245BF1"/>
    <w:rsid w:val="6F3239AE"/>
    <w:rsid w:val="70760D55"/>
    <w:rsid w:val="70D86668"/>
    <w:rsid w:val="714A613E"/>
    <w:rsid w:val="71551BD5"/>
    <w:rsid w:val="7156018B"/>
    <w:rsid w:val="71B122F2"/>
    <w:rsid w:val="71B46CFE"/>
    <w:rsid w:val="720C5761"/>
    <w:rsid w:val="72CA375B"/>
    <w:rsid w:val="73471C36"/>
    <w:rsid w:val="736E51D0"/>
    <w:rsid w:val="73B34FFB"/>
    <w:rsid w:val="74294F5B"/>
    <w:rsid w:val="7477110A"/>
    <w:rsid w:val="776B7FDC"/>
    <w:rsid w:val="784213CA"/>
    <w:rsid w:val="7933566A"/>
    <w:rsid w:val="799F74E8"/>
    <w:rsid w:val="7D024BD3"/>
    <w:rsid w:val="7D5B4A17"/>
    <w:rsid w:val="7E5C3643"/>
    <w:rsid w:val="7F1A58FA"/>
    <w:rsid w:val="7F2D6521"/>
    <w:rsid w:val="7F5A7511"/>
    <w:rsid w:val="7F872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881" w:firstLineChars="200"/>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widowControl/>
      <w:numPr>
        <w:ilvl w:val="0"/>
        <w:numId w:val="1"/>
      </w:numPr>
      <w:spacing w:line="500" w:lineRule="atLeast"/>
      <w:ind w:firstLineChars="0"/>
      <w:jc w:val="center"/>
      <w:outlineLvl w:val="0"/>
    </w:pPr>
    <w:rPr>
      <w:rFonts w:cstheme="minorBidi"/>
      <w:kern w:val="44"/>
      <w:sz w:val="32"/>
      <w:szCs w:val="20"/>
    </w:rPr>
  </w:style>
  <w:style w:type="paragraph" w:styleId="4">
    <w:name w:val="heading 2"/>
    <w:basedOn w:val="1"/>
    <w:next w:val="1"/>
    <w:unhideWhenUsed/>
    <w:qFormat/>
    <w:uiPriority w:val="0"/>
    <w:pPr>
      <w:keepNext/>
      <w:keepLines/>
      <w:numPr>
        <w:ilvl w:val="1"/>
        <w:numId w:val="1"/>
      </w:numPr>
      <w:ind w:firstLineChars="0"/>
      <w:outlineLvl w:val="1"/>
    </w:pPr>
    <w:rPr>
      <w:rFonts w:cstheme="minorBidi"/>
      <w:b/>
      <w:sz w:val="30"/>
    </w:rPr>
  </w:style>
  <w:style w:type="paragraph" w:styleId="5">
    <w:name w:val="heading 3"/>
    <w:basedOn w:val="1"/>
    <w:next w:val="1"/>
    <w:unhideWhenUsed/>
    <w:qFormat/>
    <w:uiPriority w:val="0"/>
    <w:pPr>
      <w:keepNext/>
      <w:keepLines/>
      <w:numPr>
        <w:ilvl w:val="2"/>
        <w:numId w:val="1"/>
      </w:numPr>
      <w:ind w:firstLineChars="0"/>
      <w:outlineLvl w:val="2"/>
    </w:pPr>
    <w:rPr>
      <w:rFonts w:cstheme="minorBidi"/>
      <w:b/>
    </w:rPr>
  </w:style>
  <w:style w:type="paragraph" w:styleId="6">
    <w:name w:val="heading 4"/>
    <w:basedOn w:val="1"/>
    <w:next w:val="1"/>
    <w:semiHidden/>
    <w:unhideWhenUsed/>
    <w:qFormat/>
    <w:uiPriority w:val="0"/>
    <w:pPr>
      <w:keepNext/>
      <w:keepLines/>
      <w:numPr>
        <w:ilvl w:val="3"/>
        <w:numId w:val="1"/>
      </w:numPr>
      <w:spacing w:before="280" w:after="290" w:line="372" w:lineRule="auto"/>
      <w:ind w:firstLineChars="0"/>
      <w:outlineLvl w:val="3"/>
    </w:pPr>
    <w:rPr>
      <w:rFonts w:ascii="Arial" w:hAnsi="Arial" w:eastAsia="黑体"/>
      <w:sz w:val="28"/>
    </w:rPr>
  </w:style>
  <w:style w:type="paragraph" w:styleId="7">
    <w:name w:val="heading 5"/>
    <w:basedOn w:val="1"/>
    <w:next w:val="1"/>
    <w:semiHidden/>
    <w:unhideWhenUsed/>
    <w:qFormat/>
    <w:uiPriority w:val="0"/>
    <w:pPr>
      <w:keepNext/>
      <w:keepLines/>
      <w:numPr>
        <w:ilvl w:val="4"/>
        <w:numId w:val="1"/>
      </w:numPr>
      <w:spacing w:before="280" w:after="290" w:line="372" w:lineRule="auto"/>
      <w:ind w:firstLineChars="0"/>
      <w:outlineLvl w:val="4"/>
    </w:pPr>
    <w:rPr>
      <w:sz w:val="28"/>
    </w:rPr>
  </w:style>
  <w:style w:type="paragraph" w:styleId="8">
    <w:name w:val="heading 6"/>
    <w:basedOn w:val="1"/>
    <w:next w:val="1"/>
    <w:semiHidden/>
    <w:unhideWhenUsed/>
    <w:qFormat/>
    <w:uiPriority w:val="0"/>
    <w:pPr>
      <w:keepNext/>
      <w:keepLines/>
      <w:numPr>
        <w:ilvl w:val="5"/>
        <w:numId w:val="1"/>
      </w:numPr>
      <w:spacing w:before="240" w:after="64" w:line="317" w:lineRule="auto"/>
      <w:ind w:firstLineChars="0"/>
      <w:outlineLvl w:val="5"/>
    </w:pPr>
    <w:rPr>
      <w:rFonts w:ascii="Arial" w:hAnsi="Arial" w:eastAsia="黑体"/>
    </w:rPr>
  </w:style>
  <w:style w:type="paragraph" w:styleId="9">
    <w:name w:val="heading 7"/>
    <w:basedOn w:val="1"/>
    <w:next w:val="1"/>
    <w:semiHidden/>
    <w:unhideWhenUsed/>
    <w:qFormat/>
    <w:uiPriority w:val="0"/>
    <w:pPr>
      <w:keepNext/>
      <w:keepLines/>
      <w:numPr>
        <w:ilvl w:val="6"/>
        <w:numId w:val="1"/>
      </w:numPr>
      <w:spacing w:before="240" w:after="64" w:line="317" w:lineRule="auto"/>
      <w:ind w:firstLineChars="0"/>
      <w:outlineLvl w:val="6"/>
    </w:pPr>
  </w:style>
  <w:style w:type="paragraph" w:styleId="10">
    <w:name w:val="heading 8"/>
    <w:basedOn w:val="1"/>
    <w:next w:val="1"/>
    <w:semiHidden/>
    <w:unhideWhenUsed/>
    <w:qFormat/>
    <w:uiPriority w:val="0"/>
    <w:pPr>
      <w:keepNext/>
      <w:keepLines/>
      <w:numPr>
        <w:ilvl w:val="7"/>
        <w:numId w:val="1"/>
      </w:numPr>
      <w:spacing w:before="240" w:after="64" w:line="317" w:lineRule="auto"/>
      <w:ind w:firstLineChars="0"/>
      <w:outlineLvl w:val="7"/>
    </w:pPr>
    <w:rPr>
      <w:rFonts w:ascii="Arial" w:hAnsi="Arial" w:eastAsia="黑体"/>
    </w:rPr>
  </w:style>
  <w:style w:type="paragraph" w:styleId="11">
    <w:name w:val="heading 9"/>
    <w:basedOn w:val="1"/>
    <w:next w:val="1"/>
    <w:semiHidden/>
    <w:unhideWhenUsed/>
    <w:qFormat/>
    <w:uiPriority w:val="0"/>
    <w:pPr>
      <w:keepNext/>
      <w:keepLines/>
      <w:numPr>
        <w:ilvl w:val="8"/>
        <w:numId w:val="1"/>
      </w:numPr>
      <w:spacing w:before="240" w:after="64" w:line="317" w:lineRule="auto"/>
      <w:ind w:firstLineChars="0"/>
      <w:outlineLvl w:val="8"/>
    </w:pPr>
    <w:rPr>
      <w:rFonts w:ascii="Arial" w:hAnsi="Arial" w:eastAsia="黑体"/>
      <w:sz w:val="21"/>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autoSpaceDE w:val="0"/>
      <w:autoSpaceDN w:val="0"/>
      <w:spacing w:line="360" w:lineRule="auto"/>
    </w:pPr>
    <w:rPr>
      <w:rFonts w:ascii="宋体" w:hAnsi="宋体" w:eastAsia="宋体" w:cs="宋体"/>
      <w:sz w:val="24"/>
      <w:szCs w:val="28"/>
      <w:lang w:val="en-US" w:eastAsia="zh-CN" w:bidi="ar-SA"/>
    </w:rPr>
  </w:style>
  <w:style w:type="paragraph" w:styleId="12">
    <w:name w:val="Normal Indent"/>
    <w:basedOn w:val="1"/>
    <w:next w:val="1"/>
    <w:unhideWhenUsed/>
    <w:qFormat/>
    <w:uiPriority w:val="0"/>
    <w:pPr>
      <w:ind w:firstLine="420" w:firstLineChars="200"/>
    </w:pPr>
    <w:rPr>
      <w:szCs w:val="24"/>
    </w:rPr>
  </w:style>
  <w:style w:type="paragraph" w:styleId="13">
    <w:name w:val="annotation text"/>
    <w:basedOn w:val="1"/>
    <w:link w:val="39"/>
    <w:qFormat/>
    <w:uiPriority w:val="0"/>
  </w:style>
  <w:style w:type="paragraph" w:styleId="14">
    <w:name w:val="Body Text Indent"/>
    <w:basedOn w:val="1"/>
    <w:next w:val="15"/>
    <w:qFormat/>
    <w:uiPriority w:val="0"/>
    <w:pPr>
      <w:spacing w:after="120"/>
      <w:ind w:left="420" w:leftChars="200"/>
    </w:pPr>
    <w:rPr>
      <w:rFonts w:ascii="Times New Roman" w:hAnsi="Times New Roman"/>
      <w:sz w:val="21"/>
    </w:rPr>
  </w:style>
  <w:style w:type="paragraph" w:styleId="15">
    <w:name w:val="Body Text First Indent 2"/>
    <w:basedOn w:val="14"/>
    <w:next w:val="1"/>
    <w:unhideWhenUsed/>
    <w:qFormat/>
    <w:uiPriority w:val="0"/>
    <w:pPr>
      <w:widowControl w:val="0"/>
      <w:ind w:firstLine="420"/>
      <w:jc w:val="both"/>
    </w:pPr>
    <w:rPr>
      <w:sz w:val="28"/>
      <w:szCs w:val="24"/>
    </w:rPr>
  </w:style>
  <w:style w:type="paragraph" w:styleId="16">
    <w:name w:val="footer"/>
    <w:basedOn w:val="1"/>
    <w:qFormat/>
    <w:uiPriority w:val="0"/>
    <w:pPr>
      <w:tabs>
        <w:tab w:val="center" w:pos="4153"/>
        <w:tab w:val="right" w:pos="8306"/>
      </w:tabs>
      <w:snapToGrid w:val="0"/>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8">
    <w:name w:val="toc 1"/>
    <w:basedOn w:val="1"/>
    <w:next w:val="1"/>
    <w:qFormat/>
    <w:uiPriority w:val="0"/>
  </w:style>
  <w:style w:type="paragraph" w:styleId="19">
    <w:name w:val="toc 2"/>
    <w:basedOn w:val="1"/>
    <w:next w:val="1"/>
    <w:qFormat/>
    <w:uiPriority w:val="0"/>
    <w:pPr>
      <w:ind w:left="210"/>
    </w:pPr>
    <w:rPr>
      <w:smallCaps/>
      <w:sz w:val="20"/>
      <w:szCs w:val="20"/>
    </w:rPr>
  </w:style>
  <w:style w:type="paragraph" w:styleId="20">
    <w:name w:val="Normal (Web)"/>
    <w:basedOn w:val="1"/>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paragraph" w:styleId="21">
    <w:name w:val="annotation subject"/>
    <w:basedOn w:val="13"/>
    <w:next w:val="13"/>
    <w:link w:val="40"/>
    <w:qFormat/>
    <w:uiPriority w:val="0"/>
    <w:rPr>
      <w:b/>
      <w:bCs/>
    </w:rPr>
  </w:style>
  <w:style w:type="table" w:styleId="23">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qFormat/>
    <w:uiPriority w:val="0"/>
  </w:style>
  <w:style w:type="character" w:styleId="26">
    <w:name w:val="annotation reference"/>
    <w:basedOn w:val="24"/>
    <w:qFormat/>
    <w:uiPriority w:val="0"/>
    <w:rPr>
      <w:sz w:val="21"/>
      <w:szCs w:val="21"/>
    </w:rPr>
  </w:style>
  <w:style w:type="paragraph" w:customStyle="1" w:styleId="27">
    <w:name w:val="Default"/>
    <w:basedOn w:val="28"/>
    <w:next w:val="15"/>
    <w:qFormat/>
    <w:uiPriority w:val="0"/>
    <w:pPr>
      <w:widowControl w:val="0"/>
      <w:autoSpaceDE w:val="0"/>
      <w:autoSpaceDN w:val="0"/>
      <w:adjustRightInd w:val="0"/>
    </w:pPr>
    <w:rPr>
      <w:rFonts w:ascii="Cambria Math" w:hAnsi="Times New Roman" w:eastAsia="Cambria Math" w:cs="Cambria Math"/>
      <w:color w:val="000000"/>
      <w:sz w:val="24"/>
      <w:szCs w:val="24"/>
      <w:lang w:val="en-US" w:eastAsia="zh-CN" w:bidi="ar-SA"/>
    </w:rPr>
  </w:style>
  <w:style w:type="paragraph" w:customStyle="1" w:styleId="2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NormalIndent"/>
    <w:qFormat/>
    <w:uiPriority w:val="0"/>
    <w:pPr>
      <w:widowControl w:val="0"/>
      <w:ind w:firstLine="420" w:firstLineChars="200"/>
      <w:jc w:val="both"/>
    </w:pPr>
    <w:rPr>
      <w:rFonts w:asciiTheme="minorHAnsi" w:hAnsiTheme="minorHAnsi" w:eastAsiaTheme="minorEastAsia" w:cstheme="minorBidi"/>
      <w:kern w:val="2"/>
      <w:sz w:val="21"/>
      <w:szCs w:val="24"/>
      <w:lang w:val="en-US" w:eastAsia="zh-CN" w:bidi="ar-SA"/>
    </w:rPr>
  </w:style>
  <w:style w:type="paragraph" w:customStyle="1" w:styleId="30">
    <w:name w:val="一级标题"/>
    <w:qFormat/>
    <w:uiPriority w:val="0"/>
    <w:pPr>
      <w:snapToGrid w:val="0"/>
      <w:spacing w:beforeAutospacing="1" w:afterAutospacing="1" w:line="400" w:lineRule="exact"/>
      <w:jc w:val="center"/>
      <w:outlineLvl w:val="0"/>
    </w:pPr>
    <w:rPr>
      <w:rFonts w:ascii="Times New Roman" w:hAnsi="Times New Roman" w:eastAsia="宋体" w:cs="Times New Roman"/>
      <w:b/>
      <w:kern w:val="44"/>
      <w:sz w:val="32"/>
      <w:szCs w:val="48"/>
      <w:lang w:val="en-US" w:eastAsia="zh-CN" w:bidi="ar-SA"/>
    </w:rPr>
  </w:style>
  <w:style w:type="paragraph" w:customStyle="1" w:styleId="31">
    <w:name w:val="报告正文"/>
    <w:qFormat/>
    <w:uiPriority w:val="0"/>
    <w:pPr>
      <w:spacing w:line="360" w:lineRule="auto"/>
      <w:ind w:firstLine="480" w:firstLineChars="200"/>
    </w:pPr>
    <w:rPr>
      <w:rFonts w:ascii="Times New Roman" w:hAnsi="Times New Roman" w:eastAsia="宋体" w:cs="Times New Roman"/>
      <w:sz w:val="24"/>
      <w:lang w:val="zh-CN" w:eastAsia="zh-CN" w:bidi="ar-SA"/>
    </w:rPr>
  </w:style>
  <w:style w:type="paragraph" w:customStyle="1" w:styleId="32">
    <w:name w:val="A0正文"/>
    <w:basedOn w:val="1"/>
    <w:qFormat/>
    <w:uiPriority w:val="0"/>
    <w:pPr>
      <w:spacing w:line="500" w:lineRule="exact"/>
      <w:ind w:firstLine="480"/>
    </w:pPr>
    <w:rPr>
      <w:rFonts w:cs="宋体"/>
      <w:szCs w:val="20"/>
      <w:lang w:val="zh-CN"/>
    </w:rPr>
  </w:style>
  <w:style w:type="paragraph" w:customStyle="1" w:styleId="33">
    <w:name w:val="A标题1级"/>
    <w:basedOn w:val="3"/>
    <w:next w:val="1"/>
    <w:qFormat/>
    <w:uiPriority w:val="0"/>
    <w:pPr>
      <w:pageBreakBefore/>
      <w:spacing w:after="100" w:afterLines="100" w:line="500" w:lineRule="exact"/>
    </w:pPr>
    <w:rPr>
      <w:rFonts w:eastAsia="黑体" w:cs="宋体"/>
      <w:kern w:val="2"/>
    </w:rPr>
  </w:style>
  <w:style w:type="paragraph" w:customStyle="1" w:styleId="34">
    <w:name w:val="A标题2级"/>
    <w:basedOn w:val="4"/>
    <w:next w:val="1"/>
    <w:link w:val="35"/>
    <w:qFormat/>
    <w:uiPriority w:val="0"/>
    <w:pPr>
      <w:spacing w:before="240"/>
    </w:pPr>
    <w:rPr>
      <w:rFonts w:cs="宋体"/>
      <w:sz w:val="28"/>
      <w:szCs w:val="20"/>
    </w:rPr>
  </w:style>
  <w:style w:type="character" w:customStyle="1" w:styleId="35">
    <w:name w:val="A标题2级 Char"/>
    <w:link w:val="34"/>
    <w:qFormat/>
    <w:uiPriority w:val="0"/>
    <w:rPr>
      <w:rFonts w:ascii="Times New Roman" w:hAnsi="Times New Roman" w:eastAsia="宋体" w:cs="宋体"/>
      <w:b/>
      <w:sz w:val="28"/>
      <w:szCs w:val="20"/>
    </w:rPr>
  </w:style>
  <w:style w:type="paragraph" w:customStyle="1" w:styleId="36">
    <w:name w:val="A标题3级"/>
    <w:basedOn w:val="5"/>
    <w:next w:val="1"/>
    <w:qFormat/>
    <w:uiPriority w:val="0"/>
    <w:pPr>
      <w:spacing w:line="500" w:lineRule="exact"/>
    </w:pPr>
    <w:rPr>
      <w:rFonts w:eastAsia="黑体" w:cs="宋体"/>
      <w:spacing w:val="6"/>
      <w:kern w:val="0"/>
      <w:szCs w:val="20"/>
    </w:rPr>
  </w:style>
  <w:style w:type="paragraph" w:customStyle="1" w:styleId="37">
    <w:name w:val="WPSOffice手动目录 1"/>
    <w:qFormat/>
    <w:uiPriority w:val="0"/>
    <w:rPr>
      <w:rFonts w:asciiTheme="minorHAnsi" w:hAnsiTheme="minorHAnsi" w:eastAsiaTheme="minorEastAsia" w:cstheme="minorBidi"/>
      <w:lang w:val="en-US" w:eastAsia="zh-CN" w:bidi="ar-SA"/>
    </w:rPr>
  </w:style>
  <w:style w:type="paragraph" w:customStyle="1" w:styleId="38">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39">
    <w:name w:val="批注文字 字符"/>
    <w:basedOn w:val="24"/>
    <w:link w:val="13"/>
    <w:qFormat/>
    <w:uiPriority w:val="0"/>
    <w:rPr>
      <w:rFonts w:ascii="Times New Roman" w:hAnsi="Times New Roman" w:eastAsia="宋体" w:cs="Times New Roman"/>
      <w:kern w:val="2"/>
      <w:sz w:val="24"/>
      <w:szCs w:val="24"/>
    </w:rPr>
  </w:style>
  <w:style w:type="character" w:customStyle="1" w:styleId="40">
    <w:name w:val="批注主题 字符"/>
    <w:basedOn w:val="39"/>
    <w:link w:val="21"/>
    <w:qFormat/>
    <w:uiPriority w:val="0"/>
    <w:rPr>
      <w:rFonts w:ascii="Times New Roman" w:hAnsi="Times New Roman" w:eastAsia="宋体" w:cs="Times New Roman"/>
      <w:b/>
      <w:bCs/>
      <w:kern w:val="2"/>
      <w:sz w:val="24"/>
      <w:szCs w:val="24"/>
    </w:rPr>
  </w:style>
  <w:style w:type="paragraph" w:customStyle="1" w:styleId="41">
    <w:name w:val="H-正文"/>
    <w:basedOn w:val="1"/>
    <w:qFormat/>
    <w:uiPriority w:val="0"/>
    <w:pPr>
      <w:widowControl/>
      <w:ind w:firstLine="0" w:firstLineChars="0"/>
    </w:pPr>
    <w:rPr>
      <w:rFonts w:cs="宋体"/>
      <w:kern w:val="44"/>
      <w:szCs w:val="28"/>
    </w:rPr>
  </w:style>
  <w:style w:type="paragraph" w:customStyle="1" w:styleId="42">
    <w:name w:val="H-表格正文"/>
    <w:basedOn w:val="41"/>
    <w:qFormat/>
    <w:uiPriority w:val="0"/>
    <w:pPr>
      <w:spacing w:line="240" w:lineRule="auto"/>
      <w:jc w:val="center"/>
    </w:pPr>
    <w:rPr>
      <w:sz w:val="21"/>
    </w:rPr>
  </w:style>
  <w:style w:type="paragraph" w:styleId="43">
    <w:name w:val="List Paragraph"/>
    <w:basedOn w:val="1"/>
    <w:qFormat/>
    <w:uiPriority w:val="99"/>
    <w:pPr>
      <w:ind w:firstLine="420"/>
    </w:pPr>
  </w:style>
  <w:style w:type="paragraph" w:customStyle="1" w:styleId="44">
    <w:name w:val="表格"/>
    <w:basedOn w:val="1"/>
    <w:qFormat/>
    <w:uiPriority w:val="0"/>
    <w:pPr>
      <w:pBdr>
        <w:top w:val="none" w:color="auto" w:sz="0" w:space="1"/>
        <w:left w:val="none" w:color="auto" w:sz="0" w:space="4"/>
        <w:bottom w:val="none" w:color="auto" w:sz="0" w:space="1"/>
        <w:right w:val="none" w:color="auto" w:sz="0" w:space="4"/>
      </w:pBdr>
      <w:spacing w:line="240" w:lineRule="auto"/>
      <w:ind w:firstLine="0" w:firstLineChars="0"/>
      <w:jc w:val="center"/>
    </w:pPr>
    <w:rPr>
      <w:rFonts w:hint="eastAsia" w:ascii="仿宋" w:hAnsi="仿宋" w:cs="仿宋"/>
      <w:sz w:val="24"/>
      <w:szCs w:val="22"/>
    </w:rPr>
  </w:style>
  <w:style w:type="paragraph" w:customStyle="1" w:styleId="45">
    <w:name w:val="Normal Indent"/>
    <w:basedOn w:val="1"/>
    <w:qFormat/>
    <w:uiPriority w:val="0"/>
    <w:pPr>
      <w:spacing w:line="440" w:lineRule="exact"/>
      <w:ind w:firstLine="48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microsoft.com/office/2006/relationships/keyMapCustomizations" Target="customizations.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12e5c7d7-f6aa-4a36-9bce-475cdf6bd140</errorID>
      <errorWord>最小</errorWord>
      <group>L1_Word</group>
      <groupName>字词问题</groupName>
      <ability>L2_Typo</ability>
      <abilityName>字词错误</abilityName>
      <candidateList>
        <item>最低</item>
      </candidateList>
      <explain/>
      <paraID>761C502E</paraID>
      <start>107</start>
      <end>109</end>
      <status>unmodified</status>
      <modifiedWord/>
      <trackRevisions>false</trackRevisions>
    </reviewItem>
    <reviewItem>
      <errorID>6691e537-2d8e-4741-9cc6-f631b1fa8d90</errorID>
      <errorWord>参与到</errorWord>
      <group>L1_Word</group>
      <groupName>字词问题</groupName>
      <ability>L2_Typo</ability>
      <abilityName>字词错误</abilityName>
      <candidateList>
        <item>参与</item>
      </candidateList>
      <explain>（参预）cānyù〈动〉参加（事务的计划、讨论、处理）：～其事｜他曾～这个规划的制订工作。</explain>
      <paraID>1F0ED476</paraID>
      <start>44</start>
      <end>47</end>
      <status>unmodified</status>
      <modifiedWord/>
      <trackRevisions>false</trackRevisions>
    </reviewItem>
    <reviewItem>
      <errorID>f7c85901-1af6-4e55-be01-65bacf10fcdd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1337459D</paraID>
      <start>22</start>
      <end>25</end>
      <status>unmodified</status>
      <modifiedWord/>
      <trackRevisions>false</trackRevisions>
    </reviewItem>
    <reviewItem>
      <errorID>56b3be16-ad32-4b24-80e3-425b0f9d7bac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1337459D</paraID>
      <start>38</start>
      <end>41</end>
      <status>unmodified</status>
      <modifiedWord/>
      <trackRevisions>false</trackRevisions>
    </reviewItem>
    <reviewItem>
      <errorID>4a6817b8-a607-47e7-8478-70c07ead7093</errorID>
      <errorWord>应急预案的演练</errorWord>
      <group>L1_Word</group>
      <groupName>字词问题</groupName>
      <ability>L2_Typo</ability>
      <abilityName>字词错误</abilityName>
      <candidateList>
        <item>应急预案演练</item>
      </candidateList>
      <explain/>
      <paraID>12E5172A</paraID>
      <start>116</start>
      <end>123</end>
      <status>unmodified</status>
      <modifiedWord/>
      <trackRevisions>false</trackRevisions>
    </reviewItem>
    <reviewItem>
      <errorID>f5ce21ac-8ceb-4f17-b3db-f0c4a2ab796b</errorID>
      <errorWord>突发环境事件的应急响应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词汇“突发环境事件应急响应”在特定场景下为固定表述形式，请确认此处的“突发环境事件的应急响应”是否存在不当。</explain>
      <paraID>51718AF8</paraID>
      <start>15</start>
      <end>26</end>
      <status>unmodified</status>
      <modifiedWord/>
      <trackRevisions>false</trackRevisions>
    </reviewItem>
    <reviewItem>
      <errorID>bf637f75-db42-4fe0-a48b-94a21404d87d</errorID>
      <errorWord>突发环境事件的应急响应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词汇“突发环境事件应急响应”在特定场景下为固定表述形式，请确认此处的“突发环境事件的应急响应”是否存在不当。</explain>
      <paraID> 9965952</paraID>
      <start>10</start>
      <end>21</end>
      <status>unmodified</status>
      <modifiedWord/>
      <trackRevisions>false</trackRevisions>
    </reviewItem>
    <reviewItem>
      <errorID>b9c83bd4-5668-46b1-8db8-0be8bd800072</errorID>
      <errorWord>IV级</errorWord>
      <group>L1_Knowledge</group>
      <groupName>知识性问题</groupName>
      <ability>L2_Knowledge</ability>
      <abilityName>其他知识</abilityName>
      <candidateList>
        <item>Ⅳ级</item>
      </candidateList>
      <explain/>
      <paraID>61F1261D</paraID>
      <start>12</start>
      <end>15</end>
      <status>unmodified</status>
      <modifiedWord/>
      <trackRevisions>false</trackRevisions>
    </reviewItem>
    <reviewItem>
      <errorID>b5848c11-cb50-415f-89f5-c68a9d9205bb</errorID>
      <errorWord>III级</errorWord>
      <group>L1_Knowledge</group>
      <groupName>知识性问题</groupName>
      <ability>L2_Knowledge</ability>
      <abilityName>其他知识</abilityName>
      <candidateList>
        <item>Ⅲ级</item>
      </candidateList>
      <explain/>
      <paraID>61F1261D</paraID>
      <start>21</start>
      <end>25</end>
      <status>unmodified</status>
      <modifiedWord/>
      <trackRevisions>false</trackRevisions>
    </reviewItem>
    <reviewItem>
      <errorID>73362adf-2d8d-43a6-a8b0-bcc4528f3dcb</errorID>
      <errorWord>II级</errorWord>
      <group>L1_Knowledge</group>
      <groupName>知识性问题</groupName>
      <ability>L2_Knowledge</ability>
      <abilityName>其他知识</abilityName>
      <candidateList>
        <item>Ⅱ级</item>
      </candidateList>
      <explain/>
      <paraID>5A8565B0</paraID>
      <start>12</start>
      <end>15</end>
      <status>unmodified</status>
      <modifiedWord/>
      <trackRevisions>false</trackRevisions>
    </reviewItem>
    <reviewItem>
      <errorID>7d385e99-bbb4-451e-b716-069b02733938</errorID>
      <errorWord>II</errorWord>
      <group>L1_Knowledge</group>
      <groupName>知识性问题</groupName>
      <ability>L2_Knowledge</ability>
      <abilityName>其他知识</abilityName>
      <candidateList>
        <item>Ⅱ</item>
      </candidateList>
      <explain/>
      <paraID>71C458B0</paraID>
      <start>43</start>
      <end>45</end>
      <status>unmodified</status>
      <modifiedWord/>
      <trackRevisions>false</trackRevisions>
    </reviewItem>
    <reviewItem>
      <errorID>4f02bbd7-3bd0-430b-82d8-863aa8fa7f14</errorID>
      <errorWord>；</errorWord>
      <group>L1_Word</group>
      <groupName>字词问题</groupName>
      <ability>L2_Typo</ability>
      <abilityName>字词错误</abilityName>
      <candidateList>
        <item>；在</item>
      </candidateList>
      <explain/>
      <paraID>1D00B26E</paraID>
      <start>145</start>
      <end>146</end>
      <status>unmodified</status>
      <modifiedWord/>
      <trackRevisions>false</trackRevisions>
    </reviewItem>
    <reviewItem>
      <errorID>cd4d95c7-1a2c-4641-809d-cda9b23623c6</errorID>
      <errorWord>适当地</errorWord>
      <group>L1_Word</group>
      <groupName>字词问题</groupName>
      <ability>L2_Typo</ability>
      <abilityName>字词错误</abilityName>
      <candidateList>
        <item>适当</item>
      </candidateList>
      <explain/>
      <paraID>505556D7</paraID>
      <start>56</start>
      <end>59</end>
      <status>unmodified</status>
      <modifiedWord/>
      <trackRevisions>false</trackRevisions>
    </reviewItem>
    <reviewItem>
      <errorID>18f154ba-8395-4e89-b0d9-cb5577af65a0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65900FF3</paraID>
      <start>170</start>
      <end>171</end>
      <status>unmodified</status>
      <modifiedWord/>
      <trackRevisions>false</trackRevisions>
    </reviewItem>
    <reviewItem>
      <errorID>b5258ccc-209d-4c0c-94a8-b473275d47b0</errorID>
      <errorWord>其它</errorWord>
      <group>L1_Word</group>
      <groupName>字词问题</groupName>
      <ability>L2_Typo</ability>
      <abilityName>字词错误</abilityName>
      <candidateList>
        <item>其他</item>
      </candidateList>
      <explain>〈代〉指示代词。别的：今天的文娱晚会，除了京剧、曲艺以外，还有～精彩节目。</explain>
      <paraID>264D152B</paraID>
      <start>172</start>
      <end>174</end>
      <status>modified</status>
      <modifiedWord>其他</modifiedWord>
      <trackRevisions>false</trackRevisions>
    </reviewItem>
    <reviewItem>
      <errorID>32666fdd-a895-448c-9685-3da3aa611778</errorID>
      <errorWord>制定</errorWord>
      <group>L1_Grammar</group>
      <groupName>语法问题</groupName>
      <ability>L2_Grammar</ability>
      <abilityName>语法错误</abilityName>
      <candidateList>
        <item>实施</item>
      </candidateList>
      <explain>“结束～制定”搭配不当，建议修改为“结束～实施”。</explain>
      <paraID>51A28F0E</paraID>
      <start>74</start>
      <end>76</end>
      <status>unmodified</status>
      <modifiedWord/>
      <trackRevisions>false</trackRevisions>
    </reviewItem>
    <reviewItem>
      <errorID>2f55c74b-6489-4e96-92f3-78a8115b830f</errorID>
      <errorWord>II版</errorWord>
      <group>L1_Knowledge</group>
      <groupName>知识性问题</groupName>
      <ability>L2_Knowledge</ability>
      <abilityName>其他知识</abilityName>
      <candidateList>
        <item>Ⅱ版</item>
      </candidateList>
      <explain/>
      <paraID>1E1064AB</paraID>
      <start>43</start>
      <end>46</end>
      <status>unmodified</status>
      <modifiedWord/>
      <trackRevisions>false</trackRevisions>
    </reviewItem>
    <reviewItem>
      <errorID>2bcbf6c8-18fa-4ec3-952d-447c7dfa7e66</errorID>
      <errorWord>其它</errorWord>
      <group>L1_Word</group>
      <groupName>字词问题</groupName>
      <ability>L2_Alias</ability>
      <abilityName>也作/曾用词</abilityName>
      <candidateList>
        <item>其他</item>
      </candidateList>
      <explain>词汇[其它]为不规范表述或旧称，其规范书面表述为[其他]。</explain>
      <paraID>4F1E1E3F</paraID>
      <start>1</start>
      <end>3</end>
      <status>modified</status>
      <modifiedWord>其他</modifiedWord>
      <trackRevisions>false</trackRevisions>
    </reviewItem>
    <reviewItem>
      <errorID>334ca4d4-5eb1-4f9e-8250-150843f02933</errorID>
      <errorWord>其它</errorWord>
      <group>L1_Word</group>
      <groupName>字词问题</groupName>
      <ability>L2_Alias</ability>
      <abilityName>也作/曾用词</abilityName>
      <candidateList>
        <item>其他</item>
      </candidateList>
      <explain>词汇[其它]为不规范表述或旧称，其规范书面表述为[其他]。</explain>
      <paraID>2AD36036</paraID>
      <start>63</start>
      <end>65</end>
      <status>modified</status>
      <modifiedWord>其他</modifiedWord>
      <trackRevisions>false</trackRevisions>
    </reviewItem>
    <reviewItem>
      <errorID>ef529550-d8ed-42e7-bc46-f089b1a11b56</errorID>
      <errorWord>应急物品的储备</errorWord>
      <group>L1_Political</group>
      <groupName>政治性问题</groupName>
      <ability>L2_Keyword</ability>
      <abilityName>固定表述</abilityName>
      <candidateList>
        <item>应急物资储备</item>
      </candidateList>
      <explain>词汇“应急物资储备”在特定场景下为固定表述形式，请确认此处的“应急物品的储备”是否存在不当。</explain>
      <paraID>26AB8BB4</paraID>
      <start>175</start>
      <end>182</end>
      <status>unmodified</status>
      <modifiedWord/>
      <trackRevisions>false</trackRevisions>
    </reviewItem>
    <reviewItem>
      <errorID>476718e2-eb7e-4928-b72e-8cfcec588848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1D2970A3</paraID>
      <start>0</start>
      <end>2</end>
      <status>unmodified</status>
      <modifiedWord/>
      <trackRevisions>false</trackRevisions>
    </reviewItem>
    <reviewItem>
      <errorID>4d85bfb1-4adf-4608-91c2-af9df588351e</errorID>
      <errorWord>接</errorWord>
      <group>L1_Word</group>
      <groupName>字词问题</groupName>
      <ability>L2_Typo</ability>
      <abilityName>字词错误</abilityName>
      <candidateList>
        <item>接到</item>
      </candidateList>
      <explain/>
      <paraID>1D2970A3</paraID>
      <start>132</start>
      <end>133</end>
      <status>unmodified</status>
      <modifiedWord/>
      <trackRevisions>false</trackRevisions>
    </reviewItem>
    <reviewItem>
      <errorID>f2ec80fc-4d4f-47d1-af7b-db15e53e7758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643DA2E3</paraID>
      <start>0</start>
      <end>2</end>
      <status>unmodified</status>
      <modifiedWord/>
      <trackRevisions>false</trackRevisions>
    </reviewItem>
    <reviewItem>
      <errorID>84237033-5053-481b-96e5-8b16924890f9</errorID>
      <errorWord>通讯保障</errorWord>
      <group>L1_Word</group>
      <groupName>字词问题</groupName>
      <ability>L2_Alias</ability>
      <abilityName>也作/曾用词</abilityName>
      <candidateList>
        <item>通信保障</item>
      </candidateList>
      <explain>词汇[通讯保障]为不规范表述或旧称，其规范书面表述为[通信保障]。</explain>
      <paraID>643DA2E3</paraID>
      <start>58</start>
      <end>62</end>
      <status>unmodified</status>
      <modifiedWord/>
      <trackRevisions>false</trackRevisions>
    </reviewItem>
    <reviewItem>
      <errorID>5dbbab54-4a13-4f6d-aef4-fd812756f105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5E3FD7D6</paraID>
      <start>0</start>
      <end>2</end>
      <status>unmodified</status>
      <modifiedWord/>
      <trackRevisions>false</trackRevisions>
    </reviewItem>
    <reviewItem>
      <errorID>ddc21c76-2350-4d67-8860-273dede6dae5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4EAE484C</paraID>
      <start>0</start>
      <end>2</end>
      <status>unmodified</status>
      <modifiedWord/>
      <trackRevisions>false</trackRevisions>
    </reviewItem>
    <reviewItem>
      <errorID>cdf8ddd0-1ed7-4e77-a749-125b04b3b1fe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1C4927B9</paraID>
      <start>0</start>
      <end>2</end>
      <status>unmodified</status>
      <modifiedWord/>
      <trackRevisions>false</trackRevisions>
    </reviewItem>
    <reviewItem>
      <errorID>5947f244-1345-4fa0-9e44-990899df3957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118F9504</paraID>
      <start>0</start>
      <end>2</end>
      <status>unmodified</status>
      <modifiedWord/>
      <trackRevisions>false</trackRevisions>
    </reviewItem>
    <reviewItem>
      <errorID>bd43e494-e0a7-4e79-bd7c-0d9022858424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474A0541</paraID>
      <start>0</start>
      <end>2</end>
      <status>unmodified</status>
      <modifiedWord/>
      <trackRevisions>false</trackRevisions>
    </reviewItem>
    <reviewItem>
      <errorID>82d2f2ad-8e88-40b6-a561-453381e57cbb</errorID>
      <errorWord>2-3个</errorWord>
      <group>L1_Punc</group>
      <groupName>标点问题</groupName>
      <ability>L2_Punc</ability>
      <abilityName>标点符号检查</abilityName>
      <candidateList>
        <item>2～3个</item>
      </candidateList>
      <explain/>
      <paraID>474A0541</paraID>
      <start>40</start>
      <end>44</end>
      <status>unmodified</status>
      <modifiedWord/>
      <trackRevisions>false</trackRevisions>
    </reviewItem>
    <reviewItem>
      <errorID>16e5ef1b-7fad-4db3-ae53-515b9724626f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46F923D9</paraID>
      <start>0</start>
      <end>2</end>
      <status>unmodified</status>
      <modifiedWord/>
      <trackRevisions>false</trackRevisions>
    </reviewItem>
    <reviewItem>
      <errorID>0ff16ca4-246c-46fa-aef6-be5c5bb7f051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7027608F</paraID>
      <start>0</start>
      <end>2</end>
      <status>unmodified</status>
      <modifiedWord/>
      <trackRevisions>false</trackRevisions>
    </reviewItem>
    <reviewItem>
      <errorID>0d0f98f4-857d-45d3-9689-13f860ecb06d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36C9BD1F</paraID>
      <start>0</start>
      <end>2</end>
      <status>unmodified</status>
      <modifiedWord/>
      <trackRevisions>false</trackRevisions>
    </reviewItem>
    <reviewItem>
      <errorID>ee9d54d1-4f49-434c-bfa6-c051433dac68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7129E19A</paraID>
      <start>0</start>
      <end>2</end>
      <status>unmodified</status>
      <modifiedWord/>
      <trackRevisions>false</trackRevisions>
    </reviewItem>
    <reviewItem>
      <errorID>bea95099-d754-4318-8930-a9d76ad1a303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3E909AA2</paraID>
      <start>0</start>
      <end>2</end>
      <status>unmodified</status>
      <modifiedWord/>
      <trackRevisions>false</trackRevisions>
    </reviewItem>
    <reviewItem>
      <errorID>d79b34eb-6f24-4416-86c8-85b9b41086ee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4CF1DC4D</paraID>
      <start>0</start>
      <end>2</end>
      <status>unmodified</status>
      <modifiedWord/>
      <trackRevisions>false</trackRevisions>
    </reviewItem>
    <reviewItem>
      <errorID>f3b899c5-e66d-46dd-ab19-1b55f41b05d6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369B2137</paraID>
      <start>0</start>
      <end>2</end>
      <status>unmodified</status>
      <modifiedWord/>
      <trackRevisions>false</trackRevisions>
    </reviewItem>
    <reviewItem>
      <errorID>17348179-6556-47db-84d6-ca51a5db809f</errorID>
      <errorWord>化</errorWord>
      <group>L1_Word</group>
      <groupName>字词问题</groupName>
      <ability>L2_Typo</ability>
      <abilityName>字词错误</abilityName>
      <candidateList>
        <item>化了</item>
      </candidateList>
      <explain/>
      <paraID>369B2137</paraID>
      <start>57</start>
      <end>58</end>
      <status>unmodified</status>
      <modifiedWord/>
      <trackRevisions>false</trackRevisions>
    </reviewItem>
    <reviewItem>
      <errorID>1bead184-a2a9-4b3a-ab5e-bd94dcd1ebbd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3B94F30D</paraID>
      <start>0</start>
      <end>2</end>
      <status>unmodified</status>
      <modifiedWord/>
      <trackRevisions>false</trackRevisions>
    </reviewItem>
    <reviewItem>
      <errorID>d9e7a26a-6b35-4ad7-b679-f059797a7377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7BA26F2E</paraID>
      <start>0</start>
      <end>2</end>
      <status>unmodified</status>
      <modifiedWord/>
      <trackRevisions>false</trackRevisions>
    </reviewItem>
    <reviewItem>
      <errorID>733d42d0-3941-43d6-9f3c-fa234ef2a399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5C825BE0</paraID>
      <start>0</start>
      <end>2</end>
      <status>unmodified</status>
      <modifiedWord/>
      <trackRevisions>false</trackRevisions>
    </reviewItem>
    <reviewItem>
      <errorID>4a3fbb91-99d8-4552-8339-eb38dd5d1dde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ECC01E3</paraID>
      <start>0</start>
      <end>2</end>
      <status>unmodified</status>
      <modifiedWord/>
      <trackRevisions>false</trackRevisions>
    </reviewItem>
    <reviewItem>
      <errorID>f33cd810-a69b-46bb-916b-39f8439da3bd</errorID>
      <errorWord>-</errorWord>
      <group>L1_Format</group>
      <groupName>格式问题</groupName>
      <ability>L2_HalfPunc</ability>
      <abilityName>全半角检查</abilityName>
      <candidateList>
        <item>－</item>
      </candidateList>
      <explain>文本全半角错误。</explain>
      <paraID> ECC01E3</paraID>
      <start>127</start>
      <end>128</end>
      <status>unmodified</status>
      <modifiedWord/>
      <trackRevisions>false</trackRevisions>
    </reviewItem>
    <reviewItem>
      <errorID>18d582d2-5d59-44b8-a230-ba69424c1fbd</errorID>
      <errorWord>-</errorWord>
      <group>L1_Format</group>
      <groupName>格式问题</groupName>
      <ability>L2_HalfPunc</ability>
      <abilityName>全半角检查</abilityName>
      <candidateList>
        <item>－</item>
      </candidateList>
      <explain>文本全半角错误。</explain>
      <paraID> ECC01E3</paraID>
      <start>130</start>
      <end>131</end>
      <status>unmodified</status>
      <modifiedWord/>
      <trackRevisions>false</trackRevisions>
    </reviewItem>
    <reviewItem>
      <errorID>fb9e9eb0-b5f0-4e6c-9425-ba96f3cb13d2</errorID>
      <errorWord>-</errorWord>
      <group>L1_Format</group>
      <groupName>格式问题</groupName>
      <ability>L2_HalfPunc</ability>
      <abilityName>全半角检查</abilityName>
      <candidateList>
        <item>－</item>
      </candidateList>
      <explain>文本全半角错误。</explain>
      <paraID> ECC01E3</paraID>
      <start>133</start>
      <end>134</end>
      <status>unmodified</status>
      <modifiedWord/>
      <trackRevisions>false</trackRevisions>
    </reviewItem>
    <reviewItem>
      <errorID>a88ea2b7-292f-4b0a-a3cc-de0794e3d057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53A96A5D</paraID>
      <start>0</start>
      <end>2</end>
      <status>unmodified</status>
      <modifiedWord/>
      <trackRevisions>false</trackRevisions>
    </reviewItem>
    <reviewItem>
      <errorID>e8c3bbbb-9406-449b-9933-71e4913e4380</errorID>
      <errorWord>应</errorWord>
      <group>L1_Word</group>
      <groupName>字词问题</groupName>
      <ability>L2_Typo</ability>
      <abilityName>字词错误</abilityName>
      <candidateList>
        <item>应当</item>
      </candidateList>
      <explain/>
      <paraID>2A16D964</paraID>
      <start>29</start>
      <end>30</end>
      <status>unmodified</status>
      <modifiedWord/>
      <trackRevisions>false</trackRevisions>
    </reviewItem>
    <reviewItem>
      <errorID>d52abb7d-98a5-4f12-9025-4b4db9070abf</errorID>
      <errorWord>*</errorWord>
      <group>L1_Punc</group>
      <groupName>标点问题</groupName>
      <ability>L2_Punc</ability>
      <abilityName>标点符号检查</abilityName>
      <candidateList/>
      <explain/>
      <paraID>1AF2D3EB</paraID>
      <start>0</start>
      <end>1</end>
      <status>unmodified</status>
      <modifiedWord/>
      <trackRevisions>false</trackRevisions>
    </reviewItem>
    <reviewItem>
      <errorID>3fff0a0f-6258-4225-b813-00b7991c1674</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1AF2D3EB</paraID>
      <start>71</start>
      <end>73</end>
      <status>unmodified</status>
      <modifiedWord/>
      <trackRevisions>false</trackRevisions>
    </reviewItem>
    <reviewItem>
      <errorID>79a92bd4-3e8d-4dd8-8078-ae440377d706</errorID>
      <errorWord>II</errorWord>
      <group>L1_Knowledge</group>
      <groupName>知识性问题</groupName>
      <ability>L2_Knowledge</ability>
      <abilityName>其他知识</abilityName>
      <candidateList>
        <item>Ⅱ</item>
      </candidateList>
      <explain/>
      <paraID>297BD0CC</paraID>
      <start>53</start>
      <end>55</end>
      <status>unmodified</status>
      <modifiedWord/>
      <trackRevisions>false</trackRevisions>
    </reviewItem>
    <reviewItem>
      <errorID>74d4ba92-9f83-439b-b3ca-402397c8a155</errorID>
      <errorWord>,</errorWord>
      <group>L1_Format</group>
      <groupName>格式问题</groupName>
      <ability>L2_HalfPunc</ability>
      <abilityName>全半角检查</abilityName>
      <candidateList>
        <item>，</item>
      </candidateList>
      <explain>文本全半角错误。</explain>
      <paraID>54BCB74B</paraID>
      <start>70</start>
      <end>71</end>
      <status>unmodified</status>
      <modifiedWord/>
      <trackRevisions>false</trackRevisions>
    </reviewItem>
    <reviewItem>
      <errorID>fe6af25e-1ad1-4d5f-a85c-bed8025634ad</errorID>
      <errorWord>若是</errorWord>
      <group>L1_Word</group>
      <groupName>字词问题</groupName>
      <ability>L2_Typo</ability>
      <abilityName>字词错误</abilityName>
      <candidateList>
        <item>若</item>
      </candidateList>
      <explain/>
      <paraID>3DBDFB14</paraID>
      <start>79</start>
      <end>81</end>
      <status>unmodified</status>
      <modifiedWord/>
      <trackRevisions>false</trackRevisions>
    </reviewItem>
    <reviewItem>
      <errorID>48aa6815-b0e9-432c-a8a8-9581c63d56c7</errorID>
      <errorWord>)</errorWord>
      <group>L1_Format</group>
      <groupName>格式问题</groupName>
      <ability>L2_HalfPunc</ability>
      <abilityName>全半角检查</abilityName>
      <candidateList>
        <item>）</item>
      </candidateList>
      <explain>文本全半角错误。</explain>
      <paraID>15F43E92</paraID>
      <start>99</start>
      <end>100</end>
      <status>unmodified</status>
      <modifiedWord/>
      <trackRevisions>false</trackRevisions>
    </reviewItem>
    <reviewItem>
      <errorID>7f927f3e-28b4-4b11-809f-c68c2eacf043</errorID>
      <errorWord>)</errorWord>
      <group>L1_Format</group>
      <groupName>格式问题</groupName>
      <ability>L2_HalfPunc</ability>
      <abilityName>全半角检查</abilityName>
      <candidateList>
        <item>）</item>
      </candidateList>
      <explain>文本全半角错误。</explain>
      <paraID>15F43E92</paraID>
      <start>150</start>
      <end>151</end>
      <status>unmodified</status>
      <modifiedWord/>
      <trackRevisions>false</trackRevisions>
    </reviewItem>
    <reviewItem>
      <errorID>8ac54ff5-1e63-4080-a1a8-7eb0b5b5909f</errorID>
      <errorWord>)</errorWord>
      <group>L1_Format</group>
      <groupName>格式问题</groupName>
      <ability>L2_HalfPunc</ability>
      <abilityName>全半角检查</abilityName>
      <candidateList>
        <item>）</item>
      </candidateList>
      <explain>文本全半角错误。</explain>
      <paraID>15F43E92</paraID>
      <start>159</start>
      <end>160</end>
      <status>unmodified</status>
      <modifiedWord/>
      <trackRevisions>false</trackRevisions>
    </reviewItem>
    <reviewItem>
      <errorID>e2778c3f-aa9c-4881-b810-57a742bf8b79</errorID>
      <errorWord>~</errorWord>
      <group>L1_Format</group>
      <groupName>格式问题</groupName>
      <ability>L2_HalfPunc</ability>
      <abilityName>全半角检查</abilityName>
      <candidateList>
        <item>～</item>
      </candidateList>
      <explain>文本全半角错误。</explain>
      <paraID>45ED9DB1</paraID>
      <start>40</start>
      <end>41</end>
      <status>unmodified</status>
      <modifiedWord/>
      <trackRevisions>false</trackRevisions>
    </reviewItem>
    <reviewItem>
      <errorID>38b8fdd6-9813-4f1c-81ac-ac12e8a93af5</errorID>
      <errorWord>设</errorWord>
      <group>L1_Word</group>
      <groupName>字词问题</groupName>
      <ability>L2_Typo</ability>
      <abilityName>字词错误</abilityName>
      <candidateList>
        <item>设置</item>
      </candidateList>
      <explain>〈动〉❶设立：这座剧院是为儿童～的。❷安放；安装：～障碍。</explain>
      <paraID>45ED9DB1</paraID>
      <start>87</start>
      <end>88</end>
      <status>unmodified</status>
      <modifiedWord/>
      <trackRevisions>false</trackRevisions>
    </reviewItem>
    <reviewItem>
      <errorID>96d50d4b-efbf-4924-b3bf-06d921d771c4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14049703</paraID>
      <start>0</start>
      <end>2</end>
      <status>unmodified</status>
      <modifiedWord/>
      <trackRevisions>false</trackRevisions>
    </reviewItem>
    <reviewItem>
      <errorID>73a5ba87-55e1-42a9-9c4d-7b3ab5cecee1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5C77E7BA</paraID>
      <start>0</start>
      <end>2</end>
      <status>unmodified</status>
      <modifiedWord/>
      <trackRevisions>false</trackRevisions>
    </reviewItem>
    <reviewItem>
      <errorID>7be42584-b1cb-424f-93fa-16187af202f2</errorID>
      <errorWord>最小</errorWord>
      <group>L1_Word</group>
      <groupName>字词问题</groupName>
      <ability>L2_Typo</ability>
      <abilityName>字词错误</abilityName>
      <candidateList>
        <item>最低</item>
      </candidateList>
      <explain/>
      <paraID>79DD74B2</paraID>
      <start>103</start>
      <end>105</end>
      <status>unmodified</status>
      <modifiedWord/>
      <trackRevisions>false</trackRevisions>
    </reviewItem>
    <reviewItem>
      <errorID>fec81d3c-4c2d-4b30-b813-69b0aa263121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7A1A9575</paraID>
      <start>0</start>
      <end>2</end>
      <status>unmodified</status>
      <modifiedWord/>
      <trackRevisions>false</trackRevisions>
    </reviewItem>
    <reviewItem>
      <errorID>a518f1e7-2b72-495e-b64c-535ca64f8de4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7BFC89D7</paraID>
      <start>0</start>
      <end>2</end>
      <status>unmodified</status>
      <modifiedWord/>
      <trackRevisions>false</trackRevisions>
    </reviewItem>
    <reviewItem>
      <errorID>466ae9dd-91a3-4641-89f3-967b07690583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4F21E6EE</paraID>
      <start>0</start>
      <end>2</end>
      <status>unmodified</status>
      <modifiedWord/>
      <trackRevisions>false</trackRevisions>
    </reviewItem>
    <reviewItem>
      <errorID>eecfa356-6757-4ef6-bf03-041233f65292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3B729AFF</paraID>
      <start>0</start>
      <end>2</end>
      <status>unmodified</status>
      <modifiedWord/>
      <trackRevisions>false</trackRevisions>
    </reviewItem>
    <reviewItem>
      <errorID>d33e443c-a425-4555-b92f-835a5a7dc068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15F73857</paraID>
      <start>0</start>
      <end>2</end>
      <status>unmodified</status>
      <modifiedWord/>
      <trackRevisions>false</trackRevisions>
    </reviewItem>
    <reviewItem>
      <errorID>d995739b-5ba4-499d-abc9-7cc2e10fcfa3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36BEA07C</paraID>
      <start>0</start>
      <end>2</end>
      <status>unmodified</status>
      <modifiedWord/>
      <trackRevisions>false</trackRevisions>
    </reviewItem>
    <reviewItem>
      <errorID>4aeba423-482a-4f1a-b73d-4f78b4cfc863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26ECD80B</paraID>
      <start>0</start>
      <end>2</end>
      <status>unmodified</status>
      <modifiedWord/>
      <trackRevisions>false</trackRevisions>
    </reviewItem>
    <reviewItem>
      <errorID>f344d8c1-e8be-4100-987e-47857be998f4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53BFCEB5</paraID>
      <start>0</start>
      <end>2</end>
      <status>unmodified</status>
      <modifiedWord/>
      <trackRevisions>false</trackRevisions>
    </reviewItem>
    <reviewItem>
      <errorID>9b13da61-85b9-4fbb-a384-12877d733647</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2FFF44DB</paraID>
      <start>52</start>
      <end>54</end>
      <status>unmodified</status>
      <modifiedWord/>
      <trackRevisions>false</trackRevisions>
    </reviewItem>
    <reviewItem>
      <errorID>0a91d7e2-af3b-44c8-85ea-cc5ad823f180</errorID>
      <errorWord>行</errorWord>
      <group>L1_Word</group>
      <groupName>字词问题</groupName>
      <ability>L2_Typo</ability>
      <abilityName>字词错误</abilityName>
      <candidateList>
        <item>行在</item>
      </candidateList>
      <explain/>
      <paraID>2FFF44DB</paraID>
      <start>74</start>
      <end>75</end>
      <status>unmodified</status>
      <modifiedWord/>
      <trackRevisions>false</trackRevisions>
    </reviewItem>
    <reviewItem>
      <errorID>1797b3be-a80f-46fd-9acb-cefac1f69cfa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2E0FCF4D</paraID>
      <start>0</start>
      <end>2</end>
      <status>unmodified</status>
      <modifiedWord/>
      <trackRevisions>false</trackRevisions>
    </reviewItem>
    <reviewItem>
      <errorID>4b090e64-89ad-4f14-8a79-515b5ae75d77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1129BC50</paraID>
      <start>0</start>
      <end>2</end>
      <status>unmodified</status>
      <modifiedWord/>
      <trackRevisions>false</trackRevisions>
    </reviewItem>
    <reviewItem>
      <errorID>638a0dbe-969a-4fcb-8b40-0cd19d5e0a3f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11C8B104</paraID>
      <start>0</start>
      <end>2</end>
      <status>unmodified</status>
      <modifiedWord/>
      <trackRevisions>false</trackRevisions>
    </reviewItem>
    <reviewItem>
      <errorID>6c46208a-56ca-4b8f-9d4a-e496d55ee354</errorID>
      <errorWord>)</errorWord>
      <group>L1_Format</group>
      <groupName>格式问题</groupName>
      <ability>L2_HalfPunc</ability>
      <abilityName>全半角检查</abilityName>
      <candidateList>
        <item>）</item>
      </candidateList>
      <explain>文本全半角错误。</explain>
      <paraID>64C1C79F</paraID>
      <start>46</start>
      <end>47</end>
      <status>unmodified</status>
      <modifiedWord/>
      <trackRevisions>false</trackRevisions>
    </reviewItem>
    <reviewItem>
      <errorID>93f6a71f-34a6-4cc0-a3f5-9afe3352040b</errorID>
      <errorWord>)</errorWord>
      <group>L1_Format</group>
      <groupName>格式问题</groupName>
      <ability>L2_HalfPunc</ability>
      <abilityName>全半角检查</abilityName>
      <candidateList>
        <item>）</item>
      </candidateList>
      <explain>文本全半角错误。</explain>
      <paraID>64C1C79F</paraID>
      <start>74</start>
      <end>75</end>
      <status>unmodified</status>
      <modifiedWord/>
      <trackRevisions>false</trackRevisions>
    </reviewItem>
    <reviewItem>
      <errorID>0f3289f0-0da9-4115-b2d3-9003ebcf590f</errorID>
      <errorWord>)</errorWord>
      <group>L1_Format</group>
      <groupName>格式问题</groupName>
      <ability>L2_HalfPunc</ability>
      <abilityName>全半角检查</abilityName>
      <candidateList>
        <item>）</item>
      </candidateList>
      <explain>文本全半角错误。</explain>
      <paraID>64C1C79F</paraID>
      <start>83</start>
      <end>84</end>
      <status>unmodified</status>
      <modifiedWord/>
      <trackRevisions>false</trackRevisions>
    </reviewItem>
    <reviewItem>
      <errorID>15dc9cc7-fd0b-46d1-bfe3-d0304b894fba</errorID>
      <errorWord>设</errorWord>
      <group>L1_Word</group>
      <groupName>字词问题</groupName>
      <ability>L2_Typo</ability>
      <abilityName>字词错误</abilityName>
      <candidateList>
        <item>设置</item>
      </candidateList>
      <explain>〈动〉❶设立：这座剧院是为儿童～的。❷安放；安装：～障碍。</explain>
      <paraID>4E425E49</paraID>
      <start>87</start>
      <end>88</end>
      <status>unmodified</status>
      <modifiedWord/>
      <trackRevisions>false</trackRevisions>
    </reviewItem>
    <reviewItem>
      <errorID>279bbbdf-8910-440f-b0ac-9dba3fa6be85</errorID>
      <errorWord>设</errorWord>
      <group>L1_Word</group>
      <groupName>字词问题</groupName>
      <ability>L2_Typo</ability>
      <abilityName>字词错误</abilityName>
      <candidateList>
        <item>设置</item>
      </candidateList>
      <explain>〈动〉❶设立：这座剧院是为儿童～的。❷安放；安装：～障碍。</explain>
      <paraID>5D92FF3E</paraID>
      <start>87</start>
      <end>88</end>
      <status>unmodified</status>
      <modifiedWord/>
      <trackRevisions>false</trackRevisions>
    </reviewItem>
    <reviewItem>
      <errorID>197b1a9b-c3ac-45d5-9190-9f47f7406f4d</errorID>
      <errorWord>)</errorWord>
      <group>L1_Format</group>
      <groupName>格式问题</groupName>
      <ability>L2_HalfPunc</ability>
      <abilityName>全半角检查</abilityName>
      <candidateList>
        <item>）</item>
      </candidateList>
      <explain>文本全半角错误。</explain>
      <paraID>4FFD20A6</paraID>
      <start>147</start>
      <end>148</end>
      <status>unmodified</status>
      <modifiedWord/>
      <trackRevisions>false</trackRevisions>
    </reviewItem>
    <reviewItem>
      <errorID>094dbdb5-770d-45f0-8481-035a1d6edd10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60E1654D</paraID>
      <start>0</start>
      <end>2</end>
      <status>unmodified</status>
      <modifiedWord/>
      <trackRevisions>false</trackRevisions>
    </reviewItem>
    <reviewItem>
      <errorID>064c3307-0731-4a97-99ea-ad56fa1bc068</errorID>
      <errorWord>作</errorWord>
      <group>L1_Word</group>
      <groupName>字词问题</groupName>
      <ability>L2_Typo</ability>
      <abilityName>字词错误</abilityName>
      <candidateList>
        <item>做</item>
      </candidateList>
      <explain>存在发音相同字词的误用。</explain>
      <paraID>5D52003D</paraID>
      <start>118</start>
      <end>119</end>
      <status>modified</status>
      <modifiedWord>做</modifiedWord>
      <trackRevisions>false</trackRevisions>
    </reviewItem>
    <reviewItem>
      <errorID>9f4ecdc5-efbd-4a56-a24b-a6e9066334eb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6019BC8</paraID>
      <start>0</start>
      <end>2</end>
      <status>unmodified</status>
      <modifiedWord/>
      <trackRevisions>false</trackRevisions>
    </reviewItem>
    <reviewItem>
      <errorID>7922843d-1e0c-42f6-9499-c5f7166be163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19289CF3</paraID>
      <start>0</start>
      <end>2</end>
      <status>unmodified</status>
      <modifiedWord/>
      <trackRevisions>false</trackRevisions>
    </reviewItem>
    <reviewItem>
      <errorID>53155b5a-140d-4280-a5c8-e197e704f7f8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9E50502</paraID>
      <start>0</start>
      <end>2</end>
      <status>unmodified</status>
      <modifiedWord/>
      <trackRevisions>false</trackRevisions>
    </reviewItem>
    <reviewItem>
      <errorID>f0f0ffbd-4285-4a46-b99a-257d844ee738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4C8B7B6B</paraID>
      <start>0</start>
      <end>2</end>
      <status>unmodified</status>
      <modifiedWord/>
      <trackRevisions>false</trackRevisions>
    </reviewItem>
    <reviewItem>
      <errorID>798216ae-0812-4549-b66a-5dc512eb3e31</errorID>
      <errorWord>围油</errorWord>
      <group>L1_Word</group>
      <groupName>字词问题</groupName>
      <ability>L2_Typo</ability>
      <abilityName>字词错误</abilityName>
      <candidateList>
        <item>围</item>
      </candidateList>
      <explain/>
      <paraID>73181F94</paraID>
      <start>68</start>
      <end>70</end>
      <status>unmodified</status>
      <modifiedWord/>
      <trackRevisions>false</trackRevisions>
    </reviewItem>
    <reviewItem>
      <errorID>66e9f4de-01cd-47d5-8e18-7d571e2cab4c</errorID>
      <errorWord>（&gt;</errorWord>
      <group>L1_Punc</group>
      <groupName>标点问题</groupName>
      <ability>L2_Punc</ability>
      <abilityName>标点符号检查</abilityName>
      <candidateList>
        <item>（</item>
      </candidateList>
      <explain/>
      <paraID>104465EF</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c611b3-f6b7-456c-bb7a-4ec8ff13c777}">
  <ds:schemaRefs/>
</ds:datastoreItem>
</file>

<file path=docProps/app.xml><?xml version="1.0" encoding="utf-8"?>
<Properties xmlns="http://schemas.openxmlformats.org/officeDocument/2006/extended-properties" xmlns:vt="http://schemas.openxmlformats.org/officeDocument/2006/docPropsVTypes">
  <Template>Normal.dotm</Template>
  <Pages>171</Pages>
  <Words>8970</Words>
  <Characters>9640</Characters>
  <Lines>562</Lines>
  <Paragraphs>158</Paragraphs>
  <TotalTime>23</TotalTime>
  <ScaleCrop>false</ScaleCrop>
  <LinksUpToDate>false</LinksUpToDate>
  <CharactersWithSpaces>9962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2023-03-21T02:44:00Z</dcterms:created>
  <dc:creator>Administrator</dc:creator>
  <cp:lastModifiedBy>彭丹</cp:lastModifiedBy>
  <cp:lastPrinted>2026-05-12T07:15:00Z</cp:lastPrinted>
  <dcterms:modified xsi:type="dcterms:W3CDTF">2026-09-11T07:41:32Z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FE9F0AF0C92342B1A4D7B4CF0C397E63_13</vt:lpwstr>
  </property>
  <property fmtid="{D5CDD505-2E9C-101B-9397-08002B2CF9AE}" pid="4" name="KSOTemplateDocerSaveRecord">
    <vt:lpwstr>eyJoZGlkIjoiNjMzYWU4MWQ5MTIwOGIwODhjNzgwMTAxN2Y2N2Q3MDAiLCJ1c2VySWQiOiIzNDIyODgwODkifQ==</vt:lpwstr>
  </property>
</Properties>
</file>