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15B08F">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政 府 工 作 报 告</w:t>
      </w:r>
    </w:p>
    <w:p w14:paraId="4B2D9B0C">
      <w:pPr>
        <w:jc w:val="cente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在荷塘乡第十七届</w:t>
      </w:r>
      <w:r>
        <w:rPr>
          <w:rFonts w:hint="eastAsia" w:ascii="楷体_GB2312" w:hAnsi="楷体_GB2312" w:eastAsia="楷体_GB2312" w:cs="楷体_GB2312"/>
          <w:sz w:val="32"/>
          <w:szCs w:val="32"/>
          <w:lang w:val="en-US" w:eastAsia="zh-CN"/>
        </w:rPr>
        <w:t>五</w:t>
      </w:r>
      <w:r>
        <w:rPr>
          <w:rFonts w:hint="eastAsia" w:ascii="楷体_GB2312" w:hAnsi="楷体_GB2312" w:eastAsia="楷体_GB2312" w:cs="楷体_GB2312"/>
          <w:sz w:val="32"/>
          <w:szCs w:val="32"/>
        </w:rPr>
        <w:t>次人民代表大会上的报告</w:t>
      </w:r>
    </w:p>
    <w:p w14:paraId="0294FA7A">
      <w:pPr>
        <w:jc w:val="cente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余  晨</w:t>
      </w:r>
    </w:p>
    <w:p w14:paraId="34B07E9F">
      <w:pPr>
        <w:jc w:val="cente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（202</w:t>
      </w:r>
      <w:r>
        <w:rPr>
          <w:rFonts w:hint="eastAsia" w:ascii="楷体_GB2312" w:hAnsi="楷体_GB2312" w:eastAsia="楷体_GB2312" w:cs="楷体_GB2312"/>
          <w:sz w:val="32"/>
          <w:szCs w:val="32"/>
          <w:lang w:val="en-US" w:eastAsia="zh-CN"/>
        </w:rPr>
        <w:t>4</w:t>
      </w:r>
      <w:r>
        <w:rPr>
          <w:rFonts w:hint="eastAsia" w:ascii="楷体_GB2312" w:hAnsi="楷体_GB2312" w:eastAsia="楷体_GB2312" w:cs="楷体_GB2312"/>
          <w:sz w:val="32"/>
          <w:szCs w:val="32"/>
        </w:rPr>
        <w:t>年</w:t>
      </w:r>
      <w:r>
        <w:rPr>
          <w:rFonts w:hint="eastAsia" w:ascii="楷体_GB2312" w:hAnsi="楷体_GB2312" w:eastAsia="楷体_GB2312" w:cs="楷体_GB2312"/>
          <w:sz w:val="32"/>
          <w:szCs w:val="32"/>
          <w:lang w:val="en-US" w:eastAsia="zh-CN"/>
        </w:rPr>
        <w:t>12</w:t>
      </w:r>
      <w:r>
        <w:rPr>
          <w:rFonts w:hint="eastAsia" w:ascii="楷体_GB2312" w:hAnsi="楷体_GB2312" w:eastAsia="楷体_GB2312" w:cs="楷体_GB2312"/>
          <w:sz w:val="32"/>
          <w:szCs w:val="32"/>
        </w:rPr>
        <w:t>月</w:t>
      </w:r>
      <w:r>
        <w:rPr>
          <w:rFonts w:hint="eastAsia" w:ascii="楷体_GB2312" w:hAnsi="楷体_GB2312" w:eastAsia="楷体_GB2312" w:cs="楷体_GB2312"/>
          <w:sz w:val="32"/>
          <w:szCs w:val="32"/>
          <w:lang w:val="en-US" w:eastAsia="zh-CN"/>
        </w:rPr>
        <w:t>26</w:t>
      </w:r>
      <w:r>
        <w:rPr>
          <w:rFonts w:hint="eastAsia" w:ascii="楷体_GB2312" w:hAnsi="楷体_GB2312" w:eastAsia="楷体_GB2312" w:cs="楷体_GB2312"/>
          <w:sz w:val="32"/>
          <w:szCs w:val="32"/>
        </w:rPr>
        <w:t>日）</w:t>
      </w:r>
    </w:p>
    <w:p w14:paraId="7B670EBF">
      <w:pPr>
        <w:spacing w:line="240" w:lineRule="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各位代表：</w:t>
      </w:r>
    </w:p>
    <w:p w14:paraId="5F25D0CD">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现在，我代表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荷塘</w:t>
      </w:r>
      <w:r>
        <w:rPr>
          <w:rFonts w:hint="eastAsia" w:ascii="仿宋_GB2312" w:hAnsi="仿宋_GB2312" w:eastAsia="仿宋_GB2312" w:cs="仿宋_GB2312"/>
          <w:color w:val="000000" w:themeColor="text1"/>
          <w:sz w:val="32"/>
          <w:szCs w:val="32"/>
          <w14:textFill>
            <w14:solidFill>
              <w14:schemeClr w14:val="tx1"/>
            </w14:solidFill>
          </w14:textFill>
        </w:rPr>
        <w:t>乡人民政府向大会报告工作，请予审议，并请各位列席人员提出意见。</w:t>
      </w:r>
    </w:p>
    <w:p w14:paraId="3E70A8D1">
      <w:pPr>
        <w:pStyle w:val="9"/>
        <w:keepNext w:val="0"/>
        <w:keepLines w:val="0"/>
        <w:pageBreakBefore w:val="0"/>
        <w:widowControl/>
        <w:kinsoku/>
        <w:wordWrap/>
        <w:overflowPunct/>
        <w:topLinePunct w:val="0"/>
        <w:autoSpaceDE/>
        <w:autoSpaceDN/>
        <w:bidi w:val="0"/>
        <w:adjustRightInd/>
        <w:snapToGrid/>
        <w:spacing w:before="313" w:beforeLines="100" w:beforeAutospacing="0" w:after="313" w:afterLines="100" w:afterAutospacing="0" w:line="240" w:lineRule="auto"/>
        <w:ind w:firstLine="0" w:firstLineChars="0"/>
        <w:jc w:val="center"/>
        <w:textAlignment w:val="baseline"/>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一、过去一年工作回顾</w:t>
      </w:r>
    </w:p>
    <w:p w14:paraId="266623E9">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今年是中华人民共和国成立75周年，是实现“十四五”规划目标任务的关键一年。一年来，在区委、区政府和乡党委的坚强领导下，在乡人大的监督支持下，我们</w:t>
      </w:r>
      <w:r>
        <w:rPr>
          <w:rFonts w:hint="eastAsia" w:ascii="仿宋_GB2312" w:hAnsi="仿宋_GB2312" w:eastAsia="仿宋_GB2312" w:cs="仿宋_GB2312"/>
          <w:color w:val="000000" w:themeColor="text1"/>
          <w:sz w:val="32"/>
          <w:szCs w:val="32"/>
          <w14:textFill>
            <w14:solidFill>
              <w14:schemeClr w14:val="tx1"/>
            </w14:solidFill>
          </w14:textFill>
        </w:rPr>
        <w:t>坚持以习近平新时代中国特色社会主义思想为指导，</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深入</w:t>
      </w:r>
      <w:r>
        <w:rPr>
          <w:rFonts w:hint="eastAsia" w:ascii="仿宋_GB2312" w:hAnsi="仿宋_GB2312" w:eastAsia="仿宋_GB2312" w:cs="仿宋_GB2312"/>
          <w:color w:val="000000" w:themeColor="text1"/>
          <w:sz w:val="32"/>
          <w:szCs w:val="32"/>
          <w14:textFill>
            <w14:solidFill>
              <w14:schemeClr w14:val="tx1"/>
            </w14:solidFill>
          </w14:textFill>
        </w:rPr>
        <w:t>贯彻</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落实党的二十大精神和</w:t>
      </w:r>
      <w:r>
        <w:rPr>
          <w:rFonts w:hint="eastAsia" w:ascii="仿宋_GB2312" w:hAnsi="仿宋_GB2312" w:eastAsia="仿宋_GB2312" w:cs="仿宋_GB2312"/>
          <w:color w:val="000000" w:themeColor="text1"/>
          <w:sz w:val="32"/>
          <w:szCs w:val="32"/>
          <w:lang w:eastAsia="zh-CN"/>
          <w14:textFill>
            <w14:solidFill>
              <w14:schemeClr w14:val="tx1"/>
            </w14:solidFill>
          </w14:textFill>
        </w:rPr>
        <w:t>习近平总书记</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考</w:t>
      </w:r>
      <w:r>
        <w:rPr>
          <w:rFonts w:hint="eastAsia" w:ascii="仿宋_GB2312" w:hAnsi="仿宋_GB2312" w:eastAsia="仿宋_GB2312" w:cs="仿宋_GB2312"/>
          <w:color w:val="000000" w:themeColor="text1"/>
          <w:sz w:val="32"/>
          <w:szCs w:val="32"/>
          <w:lang w:eastAsia="zh-CN"/>
          <w14:textFill>
            <w14:solidFill>
              <w14:schemeClr w14:val="tx1"/>
            </w14:solidFill>
          </w14:textFill>
        </w:rPr>
        <w:t>察江西重要讲话精神，</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深化践行</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“1314”发展思路</w:t>
      </w:r>
      <w:r>
        <w:rPr>
          <w:rFonts w:hint="eastAsia" w:ascii="仿宋_GB2312" w:hAnsi="仿宋_GB2312" w:eastAsia="仿宋_GB2312" w:cs="仿宋_GB2312"/>
          <w:color w:val="000000" w:themeColor="text1"/>
          <w:sz w:val="32"/>
          <w:szCs w:val="32"/>
          <w:lang w:eastAsia="zh-CN"/>
          <w14:textFill>
            <w14:solidFill>
              <w14:schemeClr w14:val="tx1"/>
            </w14:solidFill>
          </w14:textFill>
        </w:rPr>
        <w:t>，坚持稳中求进、以进促稳，守正创新、先立后破，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圆满</w:t>
      </w:r>
      <w:r>
        <w:rPr>
          <w:rFonts w:hint="eastAsia" w:ascii="仿宋_GB2312" w:hAnsi="仿宋_GB2312" w:eastAsia="仿宋_GB2312" w:cs="仿宋_GB2312"/>
          <w:color w:val="000000" w:themeColor="text1"/>
          <w:sz w:val="32"/>
          <w:szCs w:val="32"/>
          <w:lang w:eastAsia="zh-CN"/>
          <w14:textFill>
            <w14:solidFill>
              <w14:schemeClr w14:val="tx1"/>
            </w14:solidFill>
          </w14:textFill>
        </w:rPr>
        <w:t>完成了各项目标任务，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迈出了加快建设</w:t>
      </w:r>
      <w:r>
        <w:rPr>
          <w:rFonts w:hint="eastAsia" w:ascii="仿宋_GB2312" w:hAnsi="宋体" w:eastAsia="仿宋_GB2312" w:cs="仿宋_GB2312"/>
          <w:bCs/>
          <w:color w:val="000000" w:themeColor="text1"/>
          <w:sz w:val="32"/>
          <w:szCs w:val="32"/>
          <w:highlight w:val="none"/>
          <w:lang w:val="en-US" w:eastAsia="zh-CN"/>
          <w14:textFill>
            <w14:solidFill>
              <w14:schemeClr w14:val="tx1"/>
            </w14:solidFill>
          </w14:textFill>
        </w:rPr>
        <w:t>新时代乡村振兴荷塘样板的坚实步伐。</w:t>
      </w:r>
    </w:p>
    <w:p w14:paraId="6A3E3542">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——这一年，我们守住红色根脉，奋力推动红文旅项目落地。</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历届班子坚持一任接着一任干，一张蓝图绘到底，持续推进荷塘农垦</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体验</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馆项目建设，崭新的农垦展示馆即将开馆，实现</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荷塘</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农垦精神具象化表达、可视化呈现、活态化展示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的新突破</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w:t>
      </w:r>
    </w:p>
    <w:p w14:paraId="022D923E">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——这一年，我们守住绿色产业，奋力推动“土特产”加快增值。</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依托垦殖场成立景德镇市</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荷垦</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资产运营有限</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公司，</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今年8月</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全面</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控股</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幸福酱坊</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食品有限公司</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幸福酱成功登上省“两会”餐桌，</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实现规模化、标准化、品牌化发展“土特产”</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p>
    <w:p w14:paraId="579A1068">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——这一年，我们守住幸福底色，奋力推动民生实事办实办好。</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认真落实习惯“过紧日子”的要求，将“真金白银”更好的用在民生的急需上，完成11个民生工程，民生支出达765万元，同比增长约74%。</w:t>
      </w:r>
    </w:p>
    <w:p w14:paraId="1675DC24">
      <w:pPr>
        <w:pStyle w:val="2"/>
        <w:keepNext w:val="0"/>
        <w:keepLines w:val="0"/>
        <w:pageBreakBefore w:val="0"/>
        <w:widowControl w:val="0"/>
        <w:kinsoku/>
        <w:wordWrap/>
        <w:overflowPunct/>
        <w:topLinePunct w:val="0"/>
        <w:autoSpaceDE/>
        <w:autoSpaceDN/>
        <w:bidi w:val="0"/>
        <w:adjustRightInd/>
        <w:snapToGrid/>
        <w:spacing w:after="0"/>
        <w:ind w:firstLine="643" w:firstLineChars="200"/>
        <w:textAlignment w:val="auto"/>
        <w:rPr>
          <w:rFonts w:hint="default"/>
          <w:b/>
          <w:bCs/>
          <w:color w:val="000000" w:themeColor="text1"/>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2024年，我们重点做了以下六个方面工作：</w:t>
      </w:r>
    </w:p>
    <w:p w14:paraId="1AD047B0">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——全力以赴增效益、促优化，经济发展积蓄新动能。</w:t>
      </w:r>
    </w:p>
    <w:p w14:paraId="36F6CE32">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经济运行稳中向好。</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成功招引亿元项目1个、5亿元项目1个，新增入规入统企业3家。全年固定资产投资3.65亿元，同比增长23.26%；服务业主营收入1.56亿元，同比增长6.2%。</w:t>
      </w:r>
    </w:p>
    <w:p w14:paraId="53FA0952">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营商环境持续优化。</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深入开展“万干入万企”“每周益企”走访服务活动，积极发挥党员先锋模范作用，以党员干部靠前服务推动营商环境提升，通过民情连线、敲门问需等形式，多渠道、全方位收集企业群众诉求，已解决企业诉求18件。帮助幸福酱坊成功获得省卫健卫生许可审批、积极消除杨湾牧心谷道路安全隐患。</w:t>
      </w:r>
    </w:p>
    <w:p w14:paraId="17F1C469">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——扬优成势强功能、提品质，乡村振兴展现新活力。</w:t>
      </w:r>
    </w:p>
    <w:p w14:paraId="54AB7EE2">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农业基础不断夯实。</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落实最严格的耕地保护制度，全年建设高标准农田2161.2亩，排查整治农田撂荒328.59亩，累计发放种粮补贴3万余元、耕地地力保护补贴30余万元，高标准完成耕地流出整改6宗12.1亩。</w:t>
      </w:r>
    </w:p>
    <w:p w14:paraId="46FCAA90">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城乡环境持续改善</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全面提升村容村貌，实施塔荷公路亮化工程，安装维修路灯148盏；有序推进“厕所革命”，新建、改建农村户厕55座、公厕1座；完成太济岭、金龙山、荷塘坞、童坊4个村小组建成污水处理终端；清理生活垃圾300余吨，开展垃圾分类宣传活动50余次；积极开展美丽庭院评比，杨湾、童坊2个村被评为巾帼“美丽庭院”精品村，8户农户被评为精品户。</w:t>
      </w:r>
    </w:p>
    <w:p w14:paraId="52C47D84">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乡风民风更加文明</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坚持一手抓管理约束、一手抓服务引导</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先后成立了童坊村村民理事会、荷塘乡青年人才协会；</w:t>
      </w:r>
      <w:r>
        <w:rPr>
          <w:rFonts w:hint="eastAsia" w:ascii="仿宋_GB2312" w:hAnsi="仿宋_GB2312" w:eastAsia="仿宋_GB2312" w:cs="仿宋_GB2312"/>
          <w:color w:val="000000" w:themeColor="text1"/>
          <w:sz w:val="32"/>
          <w:szCs w:val="32"/>
          <w14:textFill>
            <w14:solidFill>
              <w14:schemeClr w14:val="tx1"/>
            </w14:solidFill>
          </w14:textFill>
        </w:rPr>
        <w:t>不断创新活动形式、拓宽活动载体，将移风易俗宣传和下乡走访、普法教育等活动统筹开展，满足群众多样化、多层次、多方面的精神文化需求，</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全年累计开展各类宣传教育活动次100余次，各类文体活动12次，惠及群众5000余人</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14:paraId="2C7944E3">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——用心用情抓民生、办实事，民生画卷绘就新底色。</w:t>
      </w:r>
    </w:p>
    <w:p w14:paraId="1799A0DC">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民生实事更加有力。</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聚焦群众急难愁盼问题，解决群众涉及面广、感知性强的民生实事8项，开通全乡医保卡和慢性病本地报销渠道，先后实施了童坊村庄前至殊源坞道路护坡和弯道拓宽以及白改黑工程、仓下村横柏山危桥改造项目、仓鱼公路沿线防护栏安装工程，切实有效缓解乡村道路交通压力；推进童坊村集中安置地建设项目，建设杨湾村“一老一小”幸福院、童坊村荷花池休闲步道工程，实施山门村小组饮用水水井改造工程等11项民生实事工程，惠及全乡5500余名群众。</w:t>
      </w:r>
    </w:p>
    <w:p w14:paraId="7CC67CB8">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社会保障扩面提质</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全乡享受</w:t>
      </w:r>
      <w:r>
        <w:rPr>
          <w:rFonts w:hint="eastAsia" w:ascii="仿宋_GB2312" w:hAnsi="仿宋_GB2312" w:eastAsia="仿宋_GB2312" w:cs="仿宋_GB2312"/>
          <w:color w:val="000000" w:themeColor="text1"/>
          <w:sz w:val="32"/>
          <w:szCs w:val="32"/>
          <w14:textFill>
            <w14:solidFill>
              <w14:schemeClr w14:val="tx1"/>
            </w14:solidFill>
          </w14:textFill>
        </w:rPr>
        <w:t>低保162户241人，新增</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认定</w:t>
      </w:r>
      <w:r>
        <w:rPr>
          <w:rFonts w:hint="eastAsia" w:ascii="仿宋_GB2312" w:hAnsi="仿宋_GB2312" w:eastAsia="仿宋_GB2312" w:cs="仿宋_GB2312"/>
          <w:color w:val="000000" w:themeColor="text1"/>
          <w:sz w:val="32"/>
          <w:szCs w:val="32"/>
          <w14:textFill>
            <w14:solidFill>
              <w14:schemeClr w14:val="tx1"/>
            </w14:solidFill>
          </w14:textFill>
        </w:rPr>
        <w:t>8户</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10人</w:t>
      </w:r>
      <w:r>
        <w:rPr>
          <w:rFonts w:hint="eastAsia" w:ascii="仿宋_GB2312" w:hAnsi="仿宋_GB2312" w:eastAsia="仿宋_GB2312" w:cs="仿宋_GB2312"/>
          <w:color w:val="000000" w:themeColor="text1"/>
          <w:sz w:val="32"/>
          <w:szCs w:val="32"/>
          <w14:textFill>
            <w14:solidFill>
              <w14:schemeClr w14:val="tx1"/>
            </w14:solidFill>
          </w14:textFill>
        </w:rPr>
        <w:t>，发放低保金134.5810万元</w:t>
      </w:r>
      <w:r>
        <w:rPr>
          <w:rFonts w:hint="eastAsia" w:ascii="仿宋_GB2312" w:hAnsi="仿宋_GB2312" w:eastAsia="仿宋_GB2312" w:cs="仿宋_GB2312"/>
          <w:color w:val="000000" w:themeColor="text1"/>
          <w:sz w:val="32"/>
          <w:szCs w:val="32"/>
          <w:lang w:eastAsia="zh-CN"/>
          <w14:textFill>
            <w14:solidFill>
              <w14:schemeClr w14:val="tx1"/>
            </w14:solidFill>
          </w14:textFill>
        </w:rPr>
        <w:t>；发放临时救济金9万元；为97名残疾人发放两项补贴11.36万元；发放高龄补贴5.0450万元；城镇居民养老保险新增6人次；发放36户危房改造补贴54</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万</w:t>
      </w:r>
      <w:r>
        <w:rPr>
          <w:rFonts w:hint="eastAsia" w:ascii="仿宋_GB2312" w:hAnsi="仿宋_GB2312" w:eastAsia="仿宋_GB2312" w:cs="仿宋_GB2312"/>
          <w:color w:val="000000" w:themeColor="text1"/>
          <w:sz w:val="32"/>
          <w:szCs w:val="32"/>
          <w:lang w:eastAsia="zh-CN"/>
          <w14:textFill>
            <w14:solidFill>
              <w14:schemeClr w14:val="tx1"/>
            </w14:solidFill>
          </w14:textFill>
        </w:rPr>
        <w:t>元</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；2025年度城乡医保缴费3674人，预计参保率可达98%以上。完成乡本级5+2就业之家打造，新增城镇就业120人，享受灵活就业社保补贴197人次共计108.9万余元，开发公益性岗位12人，发布就业信息120余次。</w:t>
      </w:r>
    </w:p>
    <w:p w14:paraId="7D8A2200">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——从严从细防风险、守底线，平安稳定实现新作为。</w:t>
      </w:r>
    </w:p>
    <w:p w14:paraId="6992BC3E">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社会</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治理</w:t>
      </w:r>
      <w:r>
        <w:rPr>
          <w:rFonts w:hint="eastAsia" w:ascii="仿宋_GB2312" w:hAnsi="仿宋_GB2312" w:eastAsia="仿宋_GB2312" w:cs="仿宋_GB2312"/>
          <w:b/>
          <w:bCs/>
          <w:color w:val="000000" w:themeColor="text1"/>
          <w:sz w:val="32"/>
          <w:szCs w:val="32"/>
          <w14:textFill>
            <w14:solidFill>
              <w14:schemeClr w14:val="tx1"/>
            </w14:solidFill>
          </w14:textFill>
        </w:rPr>
        <w:t>持续</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加强</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积极</w:t>
      </w:r>
      <w:r>
        <w:rPr>
          <w:rFonts w:hint="eastAsia" w:ascii="仿宋_GB2312" w:hAnsi="仿宋_GB2312" w:eastAsia="仿宋_GB2312" w:cs="仿宋_GB2312"/>
          <w:color w:val="000000" w:themeColor="text1"/>
          <w:sz w:val="32"/>
          <w:szCs w:val="32"/>
          <w:lang w:eastAsia="zh-CN"/>
          <w14:textFill>
            <w14:solidFill>
              <w14:schemeClr w14:val="tx1"/>
            </w14:solidFill>
          </w14:textFill>
        </w:rPr>
        <w:t>践</w:t>
      </w:r>
      <w:r>
        <w:rPr>
          <w:rFonts w:hint="eastAsia" w:ascii="仿宋_GB2312" w:hAnsi="仿宋_GB2312" w:eastAsia="仿宋_GB2312" w:cs="仿宋_GB2312"/>
          <w:color w:val="000000" w:themeColor="text1"/>
          <w:sz w:val="32"/>
          <w:szCs w:val="32"/>
          <w14:textFill>
            <w14:solidFill>
              <w14:schemeClr w14:val="tx1"/>
            </w14:solidFill>
          </w14:textFill>
        </w:rPr>
        <w:t>行新时代“枫桥经验”</w:t>
      </w:r>
      <w:r>
        <w:rPr>
          <w:rFonts w:hint="eastAsia" w:ascii="仿宋_GB2312" w:hAnsi="仿宋_GB2312" w:eastAsia="仿宋_GB2312" w:cs="仿宋_GB2312"/>
          <w:color w:val="000000" w:themeColor="text1"/>
          <w:sz w:val="32"/>
          <w:szCs w:val="32"/>
          <w:lang w:eastAsia="zh-CN"/>
          <w14:textFill>
            <w14:solidFill>
              <w14:schemeClr w14:val="tx1"/>
            </w14:solidFill>
          </w14:textFill>
        </w:rPr>
        <w:t>，深入排查调处矛盾纠纷，</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全年信访量下降70%，</w:t>
      </w:r>
      <w:r>
        <w:rPr>
          <w:rFonts w:hint="eastAsia" w:ascii="仿宋_GB2312" w:hAnsi="仿宋_GB2312" w:eastAsia="仿宋_GB2312" w:cs="仿宋_GB2312"/>
          <w:color w:val="000000" w:themeColor="text1"/>
          <w:sz w:val="32"/>
          <w:szCs w:val="32"/>
          <w:lang w:eastAsia="zh-CN"/>
          <w14:textFill>
            <w14:solidFill>
              <w14:schemeClr w14:val="tx1"/>
            </w14:solidFill>
          </w14:textFill>
        </w:rPr>
        <w:t>常态化推进扫黑除恶斗争，</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组织各类法治</w:t>
      </w:r>
      <w:r>
        <w:rPr>
          <w:rFonts w:hint="eastAsia" w:ascii="仿宋_GB2312" w:hAnsi="仿宋_GB2312" w:eastAsia="仿宋_GB2312" w:cs="仿宋_GB2312"/>
          <w:color w:val="000000" w:themeColor="text1"/>
          <w:sz w:val="32"/>
          <w:szCs w:val="32"/>
          <w:lang w:eastAsia="zh-CN"/>
          <w14:textFill>
            <w14:solidFill>
              <w14:schemeClr w14:val="tx1"/>
            </w14:solidFill>
          </w14:textFill>
        </w:rPr>
        <w:t>宣传活动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20余次</w:t>
      </w:r>
      <w:r>
        <w:rPr>
          <w:rFonts w:hint="eastAsia" w:ascii="仿宋_GB2312" w:hAnsi="仿宋_GB2312" w:eastAsia="仿宋_GB2312" w:cs="仿宋_GB2312"/>
          <w:color w:val="000000" w:themeColor="text1"/>
          <w:sz w:val="32"/>
          <w:szCs w:val="32"/>
          <w:lang w:eastAsia="zh-CN"/>
          <w14:textFill>
            <w14:solidFill>
              <w14:schemeClr w14:val="tx1"/>
            </w14:solidFill>
          </w14:textFill>
        </w:rPr>
        <w:t>，开展矛盾纠纷排查化解专项行动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30余次</w:t>
      </w:r>
      <w:r>
        <w:rPr>
          <w:rFonts w:hint="eastAsia" w:ascii="仿宋_GB2312" w:hAnsi="仿宋_GB2312" w:eastAsia="仿宋_GB2312" w:cs="仿宋_GB2312"/>
          <w:color w:val="000000" w:themeColor="text1"/>
          <w:sz w:val="32"/>
          <w:szCs w:val="32"/>
          <w:lang w:eastAsia="zh-CN"/>
          <w14:textFill>
            <w14:solidFill>
              <w14:schemeClr w14:val="tx1"/>
            </w14:solidFill>
          </w14:textFill>
        </w:rPr>
        <w:t>，化解各类矛盾纠纷事件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w:t>
      </w:r>
      <w:r>
        <w:rPr>
          <w:rFonts w:hint="eastAsia" w:ascii="仿宋_GB2312" w:hAnsi="仿宋_GB2312" w:eastAsia="仿宋_GB2312" w:cs="仿宋_GB2312"/>
          <w:color w:val="000000" w:themeColor="text1"/>
          <w:sz w:val="32"/>
          <w:szCs w:val="32"/>
          <w:lang w:eastAsia="zh-CN"/>
          <w14:textFill>
            <w14:solidFill>
              <w14:schemeClr w14:val="tx1"/>
            </w14:solidFill>
          </w14:textFill>
        </w:rPr>
        <w:t>起，调处率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100%；</w:t>
      </w:r>
      <w:r>
        <w:rPr>
          <w:rFonts w:hint="eastAsia" w:ascii="仿宋_GB2312" w:hAnsi="仿宋_GB2312" w:eastAsia="仿宋_GB2312" w:cs="仿宋_GB2312"/>
          <w:color w:val="000000" w:themeColor="text1"/>
          <w:sz w:val="32"/>
          <w:szCs w:val="32"/>
          <w14:textFill>
            <w14:solidFill>
              <w14:schemeClr w14:val="tx1"/>
            </w14:solidFill>
          </w14:textFill>
        </w:rPr>
        <w:t>受理</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办结</w:t>
      </w:r>
      <w:r>
        <w:rPr>
          <w:rFonts w:hint="eastAsia" w:ascii="仿宋_GB2312" w:hAnsi="仿宋_GB2312" w:eastAsia="仿宋_GB2312" w:cs="仿宋_GB2312"/>
          <w:color w:val="000000" w:themeColor="text1"/>
          <w:sz w:val="32"/>
          <w:szCs w:val="32"/>
          <w14:textFill>
            <w14:solidFill>
              <w14:schemeClr w14:val="tx1"/>
            </w14:solidFill>
          </w14:textFill>
        </w:rPr>
        <w:t>12345热线</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工单75</w:t>
      </w:r>
      <w:r>
        <w:rPr>
          <w:rFonts w:hint="eastAsia" w:ascii="仿宋_GB2312" w:hAnsi="仿宋_GB2312" w:eastAsia="仿宋_GB2312" w:cs="仿宋_GB2312"/>
          <w:color w:val="000000" w:themeColor="text1"/>
          <w:sz w:val="32"/>
          <w:szCs w:val="32"/>
          <w14:textFill>
            <w14:solidFill>
              <w14:schemeClr w14:val="tx1"/>
            </w14:solidFill>
          </w14:textFill>
        </w:rPr>
        <w:t>件，基层社会治理水平不断提升。</w:t>
      </w:r>
    </w:p>
    <w:p w14:paraId="456399BC">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安全生产紧抓不懈。</w:t>
      </w:r>
      <w:r>
        <w:rPr>
          <w:rFonts w:hint="eastAsia" w:ascii="仿宋_GB2312" w:hAnsi="仿宋_GB2312" w:eastAsia="仿宋_GB2312" w:cs="仿宋_GB2312"/>
          <w:color w:val="000000" w:themeColor="text1"/>
          <w:sz w:val="32"/>
          <w:szCs w:val="32"/>
          <w:lang w:eastAsia="zh-CN"/>
          <w14:textFill>
            <w14:solidFill>
              <w14:schemeClr w14:val="tx1"/>
            </w14:solidFill>
          </w14:textFill>
        </w:rPr>
        <w:t>深入开展安全生产治本攻坚三年行动，提升基层应急管理能力，全年未发生安全生产事故。对全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乡</w:t>
      </w:r>
      <w:r>
        <w:rPr>
          <w:rFonts w:hint="eastAsia" w:ascii="仿宋_GB2312" w:hAnsi="仿宋_GB2312" w:eastAsia="仿宋_GB2312" w:cs="仿宋_GB2312"/>
          <w:color w:val="000000" w:themeColor="text1"/>
          <w:sz w:val="32"/>
          <w:szCs w:val="32"/>
          <w:lang w:eastAsia="zh-CN"/>
          <w14:textFill>
            <w14:solidFill>
              <w14:schemeClr w14:val="tx1"/>
            </w14:solidFill>
          </w14:textFill>
        </w:rPr>
        <w:t>各行业重点场所、重点领域、重点环节</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开展地毯式安全隐患大排查大整治110余次，完成24户CD级自建房存量隐患整治工作。</w:t>
      </w:r>
    </w:p>
    <w:p w14:paraId="6A69C361">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楷体_GB2312" w:hAnsi="楷体_GB2312" w:eastAsia="楷体_GB2312" w:cs="楷体_GB2312"/>
          <w:b/>
          <w:bCs/>
          <w:color w:val="000000" w:themeColor="text1"/>
          <w:sz w:val="32"/>
          <w:szCs w:val="32"/>
          <w:lang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eastAsia="zh-CN"/>
          <w14:textFill>
            <w14:solidFill>
              <w14:schemeClr w14:val="tx1"/>
            </w14:solidFill>
          </w14:textFill>
        </w:rPr>
        <w:t>——抓</w:t>
      </w: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务实担当</w:t>
      </w:r>
      <w:r>
        <w:rPr>
          <w:rFonts w:hint="eastAsia" w:ascii="楷体_GB2312" w:hAnsi="楷体_GB2312" w:eastAsia="楷体_GB2312" w:cs="楷体_GB2312"/>
          <w:b/>
          <w:bCs/>
          <w:color w:val="000000" w:themeColor="text1"/>
          <w:sz w:val="32"/>
          <w:szCs w:val="32"/>
          <w:lang w:eastAsia="zh-CN"/>
          <w14:textFill>
            <w14:solidFill>
              <w14:schemeClr w14:val="tx1"/>
            </w14:solidFill>
          </w14:textFill>
        </w:rPr>
        <w:t>作风、提效能，自身建设展现新形象。</w:t>
      </w:r>
    </w:p>
    <w:p w14:paraId="7BF9DF35">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扎实开展党纪学习教育，认真落实中央八项规定及其实施细则精神，超常规开展群众身边不正之风和腐败问题集中整治，让群众身边的“微腐败”无处藏身，</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共自查问题37个，转化问题线索16个，其中已立案16个，结案14个；第一种形态处理7人，第二种形态处理8人，建章立制8个。</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严格落实党政机关习惯过“紧日子”要求，从严控制一般性支出，全年压减一般性支出10%以上，把更多财政资源用于改善民生和支持经济发展上。持续加强农村集体“三资”管理，严格规范各村资金审批、资产管理、固定资产采购及报废核销等程序，督促村组定期公开财务收支情况，累计排查经济合同12份，通过资产清查盘活固定资产3处，增加村集体年收入20万元。</w:t>
      </w:r>
    </w:p>
    <w:p w14:paraId="67B8895C">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与此同时，工青妇、武装、科技、卫生健康、统计、关心下一代等工作协调发展，取得了新进展。</w:t>
      </w:r>
    </w:p>
    <w:p w14:paraId="2052565A">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各位代表！过去一年的成绩来之不易，这些成绩的取得，得益于区委、区政府的坚强领导，得益于乡党委的科学决策，离不开各位代表的有力监督和鼎力支持，更凝聚着全乡干部群众的智慧和汗水。在此，我代表荷塘乡人民政府，向全乡人民，向各位人大代表，向社会各界人士，向所有关心支持荷塘乡发展的朋友们，表示衷心的感谢和崇高的敬意！</w:t>
      </w:r>
    </w:p>
    <w:p w14:paraId="2DE441B3">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在肯定成绩的同时，我们也清醒地看到，全乡经济社会发展还面临一些困难和问题：</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一是</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特色优势资源作用发挥不充分，保持经济平稳增长面临不少压力；</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二是</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村级集体经济发展的思路还需进一步拓宽；</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三是</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公共服务供给存在短板，还不能满足人民群众日益增长的需求。</w:t>
      </w:r>
    </w:p>
    <w:p w14:paraId="2DB4BDD5">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二、2025年主要工作任务</w:t>
      </w:r>
    </w:p>
    <w:p w14:paraId="4DE45962">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eastAsia="仿宋_GB2312" w:cs="仿宋_GB2312"/>
          <w:color w:val="000000" w:themeColor="text1"/>
          <w:kern w:val="0"/>
          <w:sz w:val="32"/>
          <w:szCs w:val="32"/>
          <w:lang w:val="en-US" w:eastAsia="zh-CN"/>
          <w14:textFill>
            <w14:solidFill>
              <w14:schemeClr w14:val="tx1"/>
            </w14:solidFill>
          </w14:textFill>
        </w:rPr>
        <w:t>2025年是“十四五”规划收官之年，是“十五五”谋篇布局之年，也是进一步全面深化改革、推进中国式现代化的关键之年。处在五年规划承上启下过渡期，政策利好密集释放，动能优势加速蓄积。</w:t>
      </w:r>
    </w:p>
    <w:p w14:paraId="363B5A6B">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荷塘将坚持以习近平新时代中国特色社会主义思想为指导，深入学习贯彻党的二十大和二十届二中、三中全会精神,全面贯彻落实习近平总书记考察江西重要讲话重要指示精神，聚焦“走在前、勇争先、善作为”目标，坚持稳中求进工作总基调，完整、准确、全面贯彻新发展理念，认真落实区委、区政府“3344”战略部署，</w:t>
      </w:r>
      <w:r>
        <w:rPr>
          <w:rFonts w:hint="eastAsia" w:ascii="仿宋_GB2312" w:eastAsia="仿宋_GB2312" w:cs="仿宋_GB2312"/>
          <w:color w:val="000000" w:themeColor="text1"/>
          <w:kern w:val="0"/>
          <w:sz w:val="32"/>
          <w:szCs w:val="32"/>
          <w:lang w:val="en-US" w:eastAsia="zh-CN"/>
          <w14:textFill>
            <w14:solidFill>
              <w14:schemeClr w14:val="tx1"/>
            </w14:solidFill>
          </w14:textFill>
        </w:rPr>
        <w:t>统筹发展所需、荷塘所能、群众所盼、未来所向，抓住一切有利时机，利用一切有利条件，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立足资源禀赋优势，始终聚焦红色铸魂、始终聚焦项目强筋、始终聚焦产业壮骨、始终聚焦绿色塑形、始终聚焦民生福祉，扎实开展“1314”新时代创业行动，</w:t>
      </w:r>
      <w:r>
        <w:rPr>
          <w:rFonts w:hint="eastAsia" w:ascii="仿宋_GB2312" w:eastAsia="仿宋_GB2312" w:cs="仿宋_GB2312"/>
          <w:color w:val="000000" w:themeColor="text1"/>
          <w:kern w:val="0"/>
          <w:sz w:val="32"/>
          <w:szCs w:val="32"/>
          <w:lang w:val="en-US" w:eastAsia="zh-CN"/>
          <w14:textFill>
            <w14:solidFill>
              <w14:schemeClr w14:val="tx1"/>
            </w14:solidFill>
          </w14:textFill>
        </w:rPr>
        <w:t>以特色增质效，以创新求突破，努力开创建设乡村振兴荷塘样板的新局面。</w:t>
      </w:r>
    </w:p>
    <w:p w14:paraId="6CF32896">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黑体" w:hAnsi="黑体" w:eastAsia="仿宋_GB2312" w:cs="黑体"/>
          <w:b/>
          <w:bCs/>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重点</w:t>
      </w:r>
      <w:r>
        <w:rPr>
          <w:rFonts w:hint="eastAsia" w:ascii="仿宋_GB2312" w:hAnsi="仿宋_GB2312" w:eastAsia="仿宋_GB2312" w:cs="仿宋_GB2312"/>
          <w:b/>
          <w:bCs/>
          <w:color w:val="000000" w:themeColor="text1"/>
          <w:sz w:val="32"/>
          <w:szCs w:val="32"/>
          <w14:textFill>
            <w14:solidFill>
              <w14:schemeClr w14:val="tx1"/>
            </w14:solidFill>
          </w14:textFill>
        </w:rPr>
        <w:t>抓好</w:t>
      </w: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以下</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五</w:t>
      </w: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个方面工作：</w:t>
      </w:r>
    </w:p>
    <w:p w14:paraId="0B261E09">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pPr>
      <w:r>
        <w:rPr>
          <w:rFonts w:hint="eastAsia" w:ascii="楷体_GB2312" w:hAnsi="楷体_GB2312" w:eastAsia="楷体_GB2312" w:cs="楷体_GB2312"/>
          <w:b/>
          <w:bCs/>
          <w:color w:val="000000" w:themeColor="text1"/>
          <w:sz w:val="32"/>
          <w:szCs w:val="32"/>
          <w:highlight w:val="none"/>
          <w:lang w:eastAsia="zh-CN"/>
          <w14:textFill>
            <w14:solidFill>
              <w14:schemeClr w14:val="tx1"/>
            </w14:solidFill>
          </w14:textFill>
        </w:rPr>
        <w:t>（</w:t>
      </w:r>
      <w:r>
        <w:rPr>
          <w:rFonts w:hint="eastAsia" w:ascii="楷体_GB2312" w:hAnsi="楷体_GB2312" w:eastAsia="楷体_GB2312" w:cs="楷体_GB2312"/>
          <w:b/>
          <w:bCs/>
          <w:color w:val="000000" w:themeColor="text1"/>
          <w:sz w:val="32"/>
          <w:szCs w:val="32"/>
          <w:highlight w:val="none"/>
          <w:lang w:val="en-US" w:eastAsia="zh-CN"/>
          <w14:textFill>
            <w14:solidFill>
              <w14:schemeClr w14:val="tx1"/>
            </w14:solidFill>
          </w14:textFill>
        </w:rPr>
        <w:t>一）</w:t>
      </w:r>
      <w:r>
        <w:rPr>
          <w:rFonts w:hint="eastAsia" w:ascii="楷体_GB2312" w:hAnsi="楷体_GB2312" w:eastAsia="楷体_GB2312" w:cs="楷体_GB2312"/>
          <w:b/>
          <w:bCs/>
          <w:color w:val="000000" w:themeColor="text1"/>
          <w:sz w:val="32"/>
          <w:szCs w:val="32"/>
          <w:highlight w:val="none"/>
          <w:lang w:eastAsia="zh-CN"/>
          <w14:textFill>
            <w14:solidFill>
              <w14:schemeClr w14:val="tx1"/>
            </w14:solidFill>
          </w14:textFill>
        </w:rPr>
        <w:t>聚焦红色铸魂，持续推动文旅融合。</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坚持以文塑旅、以旅彰文，构建以红色文化教育、未来乡村生活为核心要素的特色全域旅游内核。</w:t>
      </w:r>
    </w:p>
    <w:p w14:paraId="27D2A737">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讲好红色故事。</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持续深化荷塘精神代代传工程，研究阐释好荷塘农垦精神内涵，以农垦文化</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体验</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馆为主要阵地，深度挖掘革命烈士纪念塔、廉政文化</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教育基地</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殊源坞红色书院以及</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农垦谚语等遗址遗存和文化记忆，将红色文化资源同思政教学、红色研学等深度融合，结合各类教育基地建设、现代科技手段运用等，用好红色IP，讲好红色故事。</w:t>
      </w:r>
    </w:p>
    <w:p w14:paraId="796464AB">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用活红色资源。</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拓展盘活红色资源</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统筹推进农耕采摘、国防教育、应急教育以及生态旅游同步</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运营，</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积极打造荷花池休闲步道、红色文化走廊、红色图书馆，</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更</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加鲜明</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凸显</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红色</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主题特色，</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做精“红色＋研学”主题路线，拓展可观可感可及的文化体验</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，让红色文化资源“活”起来。</w:t>
      </w:r>
    </w:p>
    <w:p w14:paraId="76503FB6">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eastAsia="仿宋_GB2312" w:cs="仿宋_GB2312"/>
          <w:color w:val="000000" w:themeColor="text1"/>
          <w:kern w:val="0"/>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深化文旅融合。</w:t>
      </w:r>
      <w:r>
        <w:rPr>
          <w:rFonts w:hint="eastAsia" w:ascii="仿宋_GB2312" w:eastAsia="仿宋_GB2312" w:cs="仿宋_GB2312"/>
          <w:color w:val="000000" w:themeColor="text1"/>
          <w:kern w:val="0"/>
          <w:sz w:val="32"/>
          <w:szCs w:val="32"/>
          <w:lang w:val="en-US" w:eastAsia="zh-CN"/>
          <w14:textFill>
            <w14:solidFill>
              <w14:schemeClr w14:val="tx1"/>
            </w14:solidFill>
          </w14:textFill>
        </w:rPr>
        <w:t>持续推动乡村旅游建设，在童坊、杨湾、山门招引一批民宿企业，吸引旅游人气、激发消费活力；挖掘山林旅游资源，努力将杨湾打造成集餐饮、观景、休闲、娱乐、康养、团建、健身于一体的乡村休闲旅游景点。</w:t>
      </w:r>
    </w:p>
    <w:p w14:paraId="0717ADA8">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pPr>
      <w:r>
        <w:rPr>
          <w:rFonts w:hint="eastAsia" w:ascii="楷体_GB2312" w:hAnsi="楷体_GB2312" w:eastAsia="楷体_GB2312" w:cs="楷体_GB2312"/>
          <w:b/>
          <w:bCs/>
          <w:color w:val="000000" w:themeColor="text1"/>
          <w:sz w:val="32"/>
          <w:szCs w:val="32"/>
          <w:highlight w:val="none"/>
          <w:lang w:eastAsia="zh-CN"/>
          <w14:textFill>
            <w14:solidFill>
              <w14:schemeClr w14:val="tx1"/>
            </w14:solidFill>
          </w14:textFill>
        </w:rPr>
        <w:t>聚焦项目强筋，持续扩大有效投资。</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夯实“稳”的基础，激发“进”的动能，提高“立”的质效，因地制宜发展</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产业</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，扩大有效投资，实现经济稳中有进。</w:t>
      </w:r>
    </w:p>
    <w:p w14:paraId="24D10F3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jc w:val="both"/>
        <w:textAlignment w:val="auto"/>
        <w:rPr>
          <w:rFonts w:hint="default"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以更大力度推进项目建设。</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加强项目谋划深度，强化政策引导与资源配置，</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积极谋划林下经济种植产业、绿色生态转化相关产业。实施重点项目全生命周期管理，扎实推进牧心谷文旅康养、仓下树莓种植、农产品共富工坊等重点产业项目早日见成效、增产值。</w:t>
      </w:r>
    </w:p>
    <w:p w14:paraId="0E94E1A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以更多精力抓好招商引资。</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坚决摒弃“躺平摆烂”思想，解放思想、放大格局，探索以“飞地”思维开展招商引资，稳固土特产第一产业基础，拓宽第二、三产业路径。</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坚持把落地项目、实际使用资金、企业产值和</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入规入统</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作为检验成效的重要标尺，力争</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全年</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完成亿元以上项目1个，</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新增“五上”企业3家</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w:t>
      </w:r>
    </w:p>
    <w:p w14:paraId="36783058">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default"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以更高标准优化营商环境。</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持续深入开展“万干入万企”“三全暖企”走访服务活动，做到“无事不扰、有求必复”，按照四张清单认定标准，对辖区经营主体开展精细化全生命周期的跟踪服务，助力企业发展壮大。整合12345热线、非公维权等各渠道涉企工单管理，做到“企业诉求一张表”管理，有效提高诉求办理质效。</w:t>
      </w:r>
    </w:p>
    <w:p w14:paraId="2CCBFB9A">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楷体_GB2312" w:hAnsi="楷体_GB2312" w:eastAsia="楷体_GB2312" w:cs="楷体_GB2312"/>
          <w:b/>
          <w:bCs/>
          <w:color w:val="000000" w:themeColor="text1"/>
          <w:sz w:val="32"/>
          <w:szCs w:val="32"/>
          <w:highlight w:val="none"/>
          <w:lang w:eastAsia="zh-CN"/>
          <w14:textFill>
            <w14:solidFill>
              <w14:schemeClr w14:val="tx1"/>
            </w14:solidFill>
          </w14:textFill>
        </w:rPr>
      </w:pPr>
      <w:r>
        <w:rPr>
          <w:rFonts w:hint="eastAsia" w:ascii="楷体_GB2312" w:hAnsi="楷体_GB2312" w:eastAsia="楷体_GB2312" w:cs="楷体_GB2312"/>
          <w:b/>
          <w:bCs/>
          <w:color w:val="000000" w:themeColor="text1"/>
          <w:sz w:val="32"/>
          <w:szCs w:val="32"/>
          <w:highlight w:val="none"/>
          <w:lang w:eastAsia="zh-CN"/>
          <w14:textFill>
            <w14:solidFill>
              <w14:schemeClr w14:val="tx1"/>
            </w14:solidFill>
          </w14:textFill>
        </w:rPr>
        <w:t>（</w:t>
      </w:r>
      <w:r>
        <w:rPr>
          <w:rFonts w:hint="eastAsia" w:ascii="楷体_GB2312" w:hAnsi="楷体_GB2312" w:eastAsia="楷体_GB2312" w:cs="楷体_GB2312"/>
          <w:b/>
          <w:bCs/>
          <w:color w:val="000000" w:themeColor="text1"/>
          <w:sz w:val="32"/>
          <w:szCs w:val="32"/>
          <w:highlight w:val="none"/>
          <w:lang w:val="en-US" w:eastAsia="zh-CN"/>
          <w14:textFill>
            <w14:solidFill>
              <w14:schemeClr w14:val="tx1"/>
            </w14:solidFill>
          </w14:textFill>
        </w:rPr>
        <w:t>三）</w:t>
      </w:r>
      <w:r>
        <w:rPr>
          <w:rFonts w:hint="eastAsia" w:ascii="楷体_GB2312" w:hAnsi="楷体_GB2312" w:eastAsia="楷体_GB2312" w:cs="楷体_GB2312"/>
          <w:b/>
          <w:bCs/>
          <w:color w:val="000000" w:themeColor="text1"/>
          <w:sz w:val="32"/>
          <w:szCs w:val="32"/>
          <w:highlight w:val="none"/>
          <w:lang w:eastAsia="zh-CN"/>
          <w14:textFill>
            <w14:solidFill>
              <w14:schemeClr w14:val="tx1"/>
            </w14:solidFill>
          </w14:textFill>
        </w:rPr>
        <w:t>聚焦产业壮骨，持续提升品牌效应。</w:t>
      </w:r>
    </w:p>
    <w:p w14:paraId="17395A92">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持续做大做强“土特产”，延长产业链条，把优势做优，把特色做特，进一步推进农业特色产业高质量发展</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p>
    <w:p w14:paraId="4AD6D15D">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做大“小酱”这篇文章。</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致力于将“小酱”做成大产业，</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不仅要在线下“攻城略地”，更要玩转线上，融合线上线下、贯通多元场景，让“</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幸福酱</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”走出</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作坊</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、走进市场、走上餐桌，</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提高知名度、曝光度、认可度，</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开拓更广阔蓝海。</w:t>
      </w:r>
    </w:p>
    <w:p w14:paraId="50801AD5">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default" w:ascii="楷体_GB2312" w:hAnsi="楷体_GB2312" w:eastAsia="楷体_GB2312" w:cs="楷体_GB2312"/>
          <w:b/>
          <w:bCs/>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用好“共富”这个平台。</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加快打造“红色记忆，农垦味道”主题共富工坊，集中农产品加工展示、销售、体验的对外窗口，盘活闲置耕地，系统成片种植冷浆田大米，重塑冷浆大米辉煌。整合荷塘米、荷塘酱、荷塘油、荷塘茶、荷塘莲子进入共富平台加工，通过统一标准、统一包装、统一运营，持续深化培育“大荷塘”农产品。</w:t>
      </w:r>
    </w:p>
    <w:p w14:paraId="1B0529BC">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深化“土特产”这张名片。</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立足差异化定位，充分利用有限的面积，在提质增效上下足功夫，坚持走“人无我有、人有我优”土特产发展路线。深度结合市场需求，积极创新生产模式，加大技术攻关，推广上要力求“见缝插针”，积极开辟新兴市场，持续擦亮“土特产”金字招牌。</w:t>
      </w:r>
    </w:p>
    <w:p w14:paraId="495A034E">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楷体_GB2312" w:hAnsi="楷体_GB2312" w:eastAsia="楷体_GB2312" w:cs="楷体_GB2312"/>
          <w:b/>
          <w:bCs/>
          <w:color w:val="000000" w:themeColor="text1"/>
          <w:sz w:val="32"/>
          <w:szCs w:val="32"/>
          <w:highlight w:val="none"/>
          <w:lang w:eastAsia="zh-CN"/>
          <w14:textFill>
            <w14:solidFill>
              <w14:schemeClr w14:val="tx1"/>
            </w14:solidFill>
          </w14:textFill>
        </w:rPr>
      </w:pPr>
      <w:r>
        <w:rPr>
          <w:rFonts w:hint="eastAsia" w:ascii="楷体_GB2312" w:hAnsi="楷体_GB2312" w:eastAsia="楷体_GB2312" w:cs="楷体_GB2312"/>
          <w:b/>
          <w:bCs/>
          <w:color w:val="000000" w:themeColor="text1"/>
          <w:sz w:val="32"/>
          <w:szCs w:val="32"/>
          <w:highlight w:val="none"/>
          <w:lang w:eastAsia="zh-CN"/>
          <w14:textFill>
            <w14:solidFill>
              <w14:schemeClr w14:val="tx1"/>
            </w14:solidFill>
          </w14:textFill>
        </w:rPr>
        <w:t>（</w:t>
      </w:r>
      <w:r>
        <w:rPr>
          <w:rFonts w:hint="eastAsia" w:ascii="楷体_GB2312" w:hAnsi="楷体_GB2312" w:eastAsia="楷体_GB2312" w:cs="楷体_GB2312"/>
          <w:b/>
          <w:bCs/>
          <w:color w:val="000000" w:themeColor="text1"/>
          <w:sz w:val="32"/>
          <w:szCs w:val="32"/>
          <w:highlight w:val="none"/>
          <w:lang w:val="en-US" w:eastAsia="zh-CN"/>
          <w14:textFill>
            <w14:solidFill>
              <w14:schemeClr w14:val="tx1"/>
            </w14:solidFill>
          </w14:textFill>
        </w:rPr>
        <w:t>四）</w:t>
      </w:r>
      <w:r>
        <w:rPr>
          <w:rFonts w:hint="eastAsia" w:ascii="楷体_GB2312" w:hAnsi="楷体_GB2312" w:eastAsia="楷体_GB2312" w:cs="楷体_GB2312"/>
          <w:b/>
          <w:bCs/>
          <w:color w:val="000000" w:themeColor="text1"/>
          <w:sz w:val="32"/>
          <w:szCs w:val="32"/>
          <w:highlight w:val="none"/>
          <w:lang w:eastAsia="zh-CN"/>
          <w14:textFill>
            <w14:solidFill>
              <w14:schemeClr w14:val="tx1"/>
            </w14:solidFill>
          </w14:textFill>
        </w:rPr>
        <w:t>聚焦绿色塑形，持续推进乡村振兴。</w:t>
      </w:r>
    </w:p>
    <w:p w14:paraId="3F9EAC76">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坚定不移加快农业农村现代化建设，有力有效推进乡村全面振兴，推动农业全面升级、农村全面进步、农民全面发展。</w:t>
      </w:r>
    </w:p>
    <w:p w14:paraId="72F9883A">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夯实粮食安全根基。</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严格落实耕地用途管控，</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坚决</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纠正</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耕地“非农化”“非粮化”</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行为，稳妥有序推进耕地恢复，守牢耕地和永久基本农田保护红线，</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做好</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高标准农田建后</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管护，提高粮食产量</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w:t>
      </w:r>
    </w:p>
    <w:p w14:paraId="42A78192">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巩固乡村振兴成果。</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加大产业就业帮扶力度，用好用足乡村振兴衔接资金，加强帮扶资金项目资产一体化管理，完善联农带农机制，持续壮大村集体经济，力争村集体经济年收入稳固在20万元以上，并保持稳定增速。</w:t>
      </w:r>
    </w:p>
    <w:p w14:paraId="6EB53B5B">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持续</w:t>
      </w: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整治人居环境。</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扎实做好环境整治提升工作，</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积极推进新农村建设，</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补齐农村人居环境突出短板，加大违法建设巡查力度，以“零容忍”态度，坚决打击违建行为，全力打造整洁卫生、规范有序的人居环境。</w:t>
      </w:r>
    </w:p>
    <w:p w14:paraId="32E338D8">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楷体_GB2312" w:hAnsi="楷体_GB2312" w:eastAsia="楷体_GB2312" w:cs="楷体_GB2312"/>
          <w:b/>
          <w:bCs/>
          <w:color w:val="000000" w:themeColor="text1"/>
          <w:sz w:val="32"/>
          <w:szCs w:val="32"/>
          <w:highlight w:val="none"/>
          <w:lang w:eastAsia="zh-CN"/>
          <w14:textFill>
            <w14:solidFill>
              <w14:schemeClr w14:val="tx1"/>
            </w14:solidFill>
          </w14:textFill>
        </w:rPr>
      </w:pPr>
      <w:r>
        <w:rPr>
          <w:rFonts w:hint="eastAsia" w:ascii="楷体_GB2312" w:hAnsi="楷体_GB2312" w:eastAsia="楷体_GB2312" w:cs="楷体_GB2312"/>
          <w:b/>
          <w:bCs/>
          <w:color w:val="000000" w:themeColor="text1"/>
          <w:sz w:val="32"/>
          <w:szCs w:val="32"/>
          <w:highlight w:val="none"/>
          <w:lang w:eastAsia="zh-CN"/>
          <w14:textFill>
            <w14:solidFill>
              <w14:schemeClr w14:val="tx1"/>
            </w14:solidFill>
          </w14:textFill>
        </w:rPr>
        <w:t>（</w:t>
      </w:r>
      <w:r>
        <w:rPr>
          <w:rFonts w:hint="eastAsia" w:ascii="楷体_GB2312" w:hAnsi="楷体_GB2312" w:eastAsia="楷体_GB2312" w:cs="楷体_GB2312"/>
          <w:b/>
          <w:bCs/>
          <w:color w:val="000000" w:themeColor="text1"/>
          <w:sz w:val="32"/>
          <w:szCs w:val="32"/>
          <w:highlight w:val="none"/>
          <w:lang w:val="en-US" w:eastAsia="zh-CN"/>
          <w14:textFill>
            <w14:solidFill>
              <w14:schemeClr w14:val="tx1"/>
            </w14:solidFill>
          </w14:textFill>
        </w:rPr>
        <w:t>五）</w:t>
      </w:r>
      <w:r>
        <w:rPr>
          <w:rFonts w:hint="eastAsia" w:ascii="楷体_GB2312" w:hAnsi="楷体_GB2312" w:eastAsia="楷体_GB2312" w:cs="楷体_GB2312"/>
          <w:b/>
          <w:bCs/>
          <w:color w:val="000000" w:themeColor="text1"/>
          <w:sz w:val="32"/>
          <w:szCs w:val="32"/>
          <w:highlight w:val="none"/>
          <w:lang w:eastAsia="zh-CN"/>
          <w14:textFill>
            <w14:solidFill>
              <w14:schemeClr w14:val="tx1"/>
            </w14:solidFill>
          </w14:textFill>
        </w:rPr>
        <w:t>聚焦民生福祉，持续擦亮幸福底色。</w:t>
      </w:r>
    </w:p>
    <w:p w14:paraId="203EF413">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坚定不移兜牢民生底线，把群众的点滴小事当成心头大事，让高质量发展成果更多惠及广大人民群众。</w:t>
      </w:r>
    </w:p>
    <w:p w14:paraId="4CD421D7">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持续提升公共保障。</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加大民生实事力度，切实把好事办实、实事办好，</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落实好低保、临时救助、残疾人“两项补贴”等政策。加强未成年人保护，持续做好儿童、妇女、老年人、残疾人、困难群体等关心关爱服务</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，让群众共享改革发展成果。</w:t>
      </w:r>
    </w:p>
    <w:p w14:paraId="58D6A0AD">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守牢安全生产底线。</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推动安全生产固本强基，提升本质安全水平，突出重点领域和重点群</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体，</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做好</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风险隐患排查</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管控</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，抓好防溺水、防火、防汛及极端天气等防灾减灾工作，切实履行安全生产监管职责，确保全乡社会大局安全稳定。</w:t>
      </w:r>
    </w:p>
    <w:p w14:paraId="7D0DE54E">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切实加强社会治理。</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深入推进党建引领乡村治理工作，积极化解矛盾纠纷，持续加大涉黑涉恶、涉电诈、涉毒等违法犯罪打击整治力度，妥善处理信访历史遗留问题。充分发挥乡村网格员作用，优化“一对一”“一专多辅”的网格管理考核评价机制。</w:t>
      </w:r>
    </w:p>
    <w:p w14:paraId="1E7A4F88">
      <w:pPr>
        <w:pStyle w:val="10"/>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同时，乡政府将始终把坚持和加强党的全面领导贯穿政府工作全过程、各方面，弘扬“自力更生、艰苦奋斗、勇于开拓”的荷塘作风，强力破解经济社会发展难题，持续深化整治群众身边不正之风和腐败问题，全力以赴开展违规套取资金问题专项整治工作，推进党纪学习教育常态化长效化，牢固树立习惯过“紧日子”思想，继续缩减一般性支出10%，真正把钱花在发展紧要处、民生急需上。</w:t>
      </w:r>
    </w:p>
    <w:p w14:paraId="17FD9C97">
      <w:pPr>
        <w:pStyle w:val="10"/>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各位代表，道阻且长，行则将至，行而不辍，未来可期。让我们更加紧密地团结在以习近平同志为核心的党中央周围，在区委、区政府和乡党委的坚强领导下，让“实干垦干、荷塘先干”成为政府工作的鲜明底色，锚定全年目标任务，凝心聚力、攻坚克难，奋力谱写新时代高质量发展荷塘篇章！</w:t>
      </w:r>
      <w:bookmarkStart w:id="0" w:name="_GoBack"/>
      <w:bookmarkEnd w:id="0"/>
    </w:p>
    <w:p w14:paraId="53C29307">
      <w:pPr>
        <w:pStyle w:val="10"/>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9112B31-B9A2-4CAF-AA1D-6D888E9A95D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D48EE7FD-53C2-4C24-BEB9-282ABC35B364}"/>
  </w:font>
  <w:font w:name="楷体_GB2312">
    <w:panose1 w:val="02010609030101010101"/>
    <w:charset w:val="86"/>
    <w:family w:val="auto"/>
    <w:pitch w:val="default"/>
    <w:sig w:usb0="00000001" w:usb1="080E0000" w:usb2="00000000" w:usb3="00000000" w:csb0="00040000" w:csb1="00000000"/>
    <w:embedRegular r:id="rId3" w:fontKey="{4323582B-C675-46B2-ADB1-337DDC2BB157}"/>
  </w:font>
  <w:font w:name="仿宋_GB2312">
    <w:panose1 w:val="02010609030101010101"/>
    <w:charset w:val="86"/>
    <w:family w:val="auto"/>
    <w:pitch w:val="default"/>
    <w:sig w:usb0="00000001" w:usb1="080E0000" w:usb2="00000000" w:usb3="00000000" w:csb0="00040000" w:csb1="00000000"/>
    <w:embedRegular r:id="rId4" w:fontKey="{AD7FF924-9EB8-4F79-AD92-D0E9079ABCAD}"/>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6DFD6F"/>
    <w:multiLevelType w:val="singleLevel"/>
    <w:tmpl w:val="506DFD6F"/>
    <w:lvl w:ilvl="0" w:tentative="0">
      <w:start w:val="2"/>
      <w:numFmt w:val="chineseCounting"/>
      <w:suff w:val="nothing"/>
      <w:lvlText w:val="（%1）"/>
      <w:lvlJc w:val="left"/>
      <w:rPr>
        <w:rFonts w:hint="eastAsia" w:ascii="楷体_GB2312" w:hAnsi="楷体_GB2312" w:eastAsia="楷体_GB2312" w:cs="楷体_GB2312"/>
        <w:b/>
        <w:bCs/>
        <w:sz w:val="32"/>
        <w:szCs w:val="3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8318D2"/>
    <w:rsid w:val="0B892750"/>
    <w:rsid w:val="0C8318D2"/>
    <w:rsid w:val="0D030FE2"/>
    <w:rsid w:val="0DB4779C"/>
    <w:rsid w:val="146401FE"/>
    <w:rsid w:val="276B40B8"/>
    <w:rsid w:val="2B1020EE"/>
    <w:rsid w:val="2C866C92"/>
    <w:rsid w:val="2CE079AD"/>
    <w:rsid w:val="2D513AF5"/>
    <w:rsid w:val="2ED478FF"/>
    <w:rsid w:val="32E504C8"/>
    <w:rsid w:val="373906C6"/>
    <w:rsid w:val="3AB962FE"/>
    <w:rsid w:val="3DBA7CB2"/>
    <w:rsid w:val="3FDD65EB"/>
    <w:rsid w:val="45DF4BED"/>
    <w:rsid w:val="469074B0"/>
    <w:rsid w:val="48C95B7D"/>
    <w:rsid w:val="4B8C586E"/>
    <w:rsid w:val="57647D46"/>
    <w:rsid w:val="5D933D62"/>
    <w:rsid w:val="63226DFE"/>
    <w:rsid w:val="69142D33"/>
    <w:rsid w:val="775965D4"/>
    <w:rsid w:val="7AA854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Plain Text"/>
    <w:basedOn w:val="1"/>
    <w:next w:val="4"/>
    <w:qFormat/>
    <w:uiPriority w:val="0"/>
    <w:rPr>
      <w:rFonts w:ascii="宋体" w:hAnsi="Courier New" w:cs="Courier New"/>
      <w:szCs w:val="21"/>
    </w:rPr>
  </w:style>
  <w:style w:type="paragraph" w:styleId="4">
    <w:name w:val="footer"/>
    <w:basedOn w:val="1"/>
    <w:next w:val="1"/>
    <w:qFormat/>
    <w:uiPriority w:val="99"/>
    <w:pPr>
      <w:tabs>
        <w:tab w:val="center" w:pos="4153"/>
        <w:tab w:val="right" w:pos="8306"/>
      </w:tabs>
      <w:snapToGrid w:val="0"/>
      <w:jc w:val="left"/>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paragraph" w:customStyle="1" w:styleId="9">
    <w:name w:val="UserStyle_0"/>
    <w:basedOn w:val="1"/>
    <w:next w:val="1"/>
    <w:qFormat/>
    <w:uiPriority w:val="0"/>
    <w:pPr>
      <w:widowControl/>
      <w:snapToGrid w:val="0"/>
      <w:spacing w:before="100" w:beforeAutospacing="1" w:after="100" w:afterAutospacing="1"/>
      <w:textAlignment w:val="baseline"/>
    </w:pPr>
    <w:rPr>
      <w:rFonts w:ascii="宋体" w:hAnsi="宋体" w:eastAsia="宋体" w:cs="宋体"/>
      <w:b/>
      <w:bCs/>
      <w:kern w:val="36"/>
      <w:sz w:val="48"/>
      <w:szCs w:val="48"/>
      <w:lang w:val="en-US" w:eastAsia="zh-CN" w:bidi="ar-SA"/>
    </w:rPr>
  </w:style>
  <w:style w:type="paragraph" w:customStyle="1" w:styleId="10">
    <w:name w:val="PlainText"/>
    <w:basedOn w:val="1"/>
    <w:autoRedefine/>
    <w:qFormat/>
    <w:uiPriority w:val="0"/>
    <w:pPr>
      <w:textAlignment w:val="baseline"/>
    </w:pPr>
    <w:rPr>
      <w:rFonts w:ascii="Courier New" w:hAnsi="Courier Ne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5460</Words>
  <Characters>5611</Characters>
  <Lines>0</Lines>
  <Paragraphs>0</Paragraphs>
  <TotalTime>8</TotalTime>
  <ScaleCrop>false</ScaleCrop>
  <LinksUpToDate>false</LinksUpToDate>
  <CharactersWithSpaces>5618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2024-12-10T07:36:00Z</dcterms:created>
  <dc:creator>包来硬。</dc:creator>
  <cp:lastModifiedBy>撑撑鱼</cp:lastModifiedBy>
  <cp:lastPrinted>2024-12-12T02:09:00Z</cp:lastPrinted>
  <dcterms:modified xsi:type="dcterms:W3CDTF">2024-12-24T02:40:46Z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372033B867004056A76ED9531951A17A_13</vt:lpwstr>
  </property>
</Properties>
</file>