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02260">
      <w:pPr>
        <w:keepNext w:val="0"/>
        <w:keepLines w:val="0"/>
        <w:pageBreakBefore w:val="0"/>
        <w:kinsoku/>
        <w:wordWrap/>
        <w:overflowPunct/>
        <w:bidi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昌江区发改委2024年工作总结</w:t>
      </w:r>
    </w:p>
    <w:p w14:paraId="455BDE81">
      <w:pPr>
        <w:keepNext w:val="0"/>
        <w:keepLines w:val="0"/>
        <w:pageBreakBefore w:val="0"/>
        <w:kinsoku/>
        <w:wordWrap/>
        <w:overflowPunct/>
        <w:bidi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年工作打算</w:t>
      </w:r>
    </w:p>
    <w:p w14:paraId="6C808367">
      <w:pPr>
        <w:keepNext w:val="0"/>
        <w:keepLines w:val="0"/>
        <w:pageBreakBefore w:val="0"/>
        <w:kinsoku/>
        <w:wordWrap/>
        <w:overflowPunct/>
        <w:bidi w:val="0"/>
        <w:spacing w:line="600" w:lineRule="exact"/>
        <w:jc w:val="center"/>
        <w:rPr>
          <w:rFonts w:ascii="方正小标宋_GBK" w:hAnsi="方正小标宋_GBK" w:eastAsia="方正小标宋_GBK" w:cs="方正小标宋_GBK"/>
          <w:sz w:val="32"/>
          <w:szCs w:val="32"/>
        </w:rPr>
      </w:pPr>
    </w:p>
    <w:p w14:paraId="41B5F615">
      <w:pPr>
        <w:keepNext w:val="0"/>
        <w:keepLines w:val="0"/>
        <w:pageBreakBefore w:val="0"/>
        <w:kinsoku/>
        <w:wordWrap/>
        <w:overflowPunct/>
        <w:topLinePunct w:val="0"/>
        <w:autoSpaceDE/>
        <w:bidi w:val="0"/>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2024年以来，在区委、区政府的坚强领导和市发改委的精心指导下，区发改委按照中央、省、市经济工作会议要求，紧紧围绕“工业强区、文明新城、开放融合、幸福共享</w:t>
      </w:r>
      <w:r>
        <w:rPr>
          <w:rFonts w:hint="eastAsia" w:ascii="仿宋" w:hAnsi="仿宋" w:eastAsia="仿宋" w:cs="仿宋"/>
          <w:color w:val="auto"/>
          <w:sz w:val="32"/>
          <w:szCs w:val="32"/>
          <w:lang w:val="en-US" w:eastAsia="zh-CN"/>
        </w:rPr>
        <w:t>”发展目标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充分发挥综合经济管理部门作用，坚持谋全局、抓大事、破难题、重落实，各项工作均取得了显著成效。</w:t>
      </w:r>
    </w:p>
    <w:p w14:paraId="60852B62">
      <w:pPr>
        <w:keepNext w:val="0"/>
        <w:keepLines w:val="0"/>
        <w:pageBreakBefore w:val="0"/>
        <w:kinsoku/>
        <w:wordWrap/>
        <w:overflowPunct/>
        <w:topLinePunct w:val="0"/>
        <w:autoSpaceDE/>
        <w:bidi w:val="0"/>
        <w:spacing w:line="60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、2024年</w:t>
      </w:r>
      <w:r>
        <w:rPr>
          <w:rFonts w:hint="eastAsia" w:ascii="黑体" w:hAnsi="黑体" w:eastAsia="黑体" w:cs="黑体"/>
          <w:sz w:val="32"/>
          <w:szCs w:val="32"/>
          <w:lang w:val="en-US" w:eastAsia="zh-CN"/>
        </w:rPr>
        <w:t>主要</w:t>
      </w:r>
      <w:r>
        <w:rPr>
          <w:rFonts w:hint="eastAsia" w:ascii="黑体" w:hAnsi="黑体" w:eastAsia="黑体" w:cs="黑体"/>
          <w:sz w:val="32"/>
          <w:szCs w:val="32"/>
        </w:rPr>
        <w:t>工作完成情况</w:t>
      </w:r>
    </w:p>
    <w:p w14:paraId="7856E87E">
      <w:pPr>
        <w:keepNext w:val="0"/>
        <w:keepLines w:val="0"/>
        <w:pageBreakBefore w:val="0"/>
        <w:kinsoku/>
        <w:wordWrap/>
        <w:overflowPunct/>
        <w:topLinePunct w:val="0"/>
        <w:autoSpaceDE/>
        <w:bidi w:val="0"/>
        <w:spacing w:line="600"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（一）</w:t>
      </w:r>
      <w:r>
        <w:rPr>
          <w:rFonts w:hint="eastAsia" w:ascii="楷体" w:hAnsi="楷体" w:eastAsia="楷体" w:cs="楷体"/>
          <w:bCs/>
          <w:sz w:val="32"/>
          <w:szCs w:val="32"/>
          <w:lang w:val="en-US" w:eastAsia="zh-CN"/>
        </w:rPr>
        <w:t>加强党建引领</w:t>
      </w:r>
    </w:p>
    <w:p w14:paraId="540C23D4">
      <w:pPr>
        <w:keepNext w:val="0"/>
        <w:keepLines w:val="0"/>
        <w:pageBreakBefore w:val="0"/>
        <w:widowControl/>
        <w:kinsoku/>
        <w:wordWrap/>
        <w:overflowPunct/>
        <w:topLinePunct w:val="0"/>
        <w:autoSpaceDE/>
        <w:bidi w:val="0"/>
        <w:spacing w:line="600" w:lineRule="exact"/>
        <w:ind w:firstLine="643" w:firstLineChars="200"/>
        <w:jc w:val="left"/>
        <w:textAlignment w:val="auto"/>
        <w:rPr>
          <w:rFonts w:hint="eastAsia" w:ascii="仿宋" w:hAnsi="仿宋" w:eastAsia="仿宋" w:cs="仿宋"/>
          <w:i w:val="0"/>
          <w:iCs w:val="0"/>
          <w:caps w:val="0"/>
          <w:color w:val="171A1D"/>
          <w:spacing w:val="0"/>
          <w:sz w:val="32"/>
          <w:szCs w:val="32"/>
          <w:vertAlign w:val="baseline"/>
          <w:lang w:val="en-US" w:eastAsia="zh-CN"/>
        </w:rPr>
      </w:pPr>
      <w:r>
        <w:rPr>
          <w:rFonts w:hint="eastAsia" w:ascii="仿宋" w:hAnsi="仿宋" w:eastAsia="仿宋" w:cs="仿宋"/>
          <w:b/>
          <w:bCs/>
          <w:sz w:val="32"/>
          <w:szCs w:val="32"/>
          <w:lang w:val="en-US" w:eastAsia="zh-CN"/>
        </w:rPr>
        <w:t>1、</w:t>
      </w:r>
      <w:r>
        <w:rPr>
          <w:rFonts w:hint="eastAsia" w:ascii="仿宋" w:hAnsi="仿宋" w:eastAsia="仿宋" w:cs="仿宋"/>
          <w:b/>
          <w:bCs/>
          <w:i w:val="0"/>
          <w:iCs w:val="0"/>
          <w:caps w:val="0"/>
          <w:color w:val="333333"/>
          <w:spacing w:val="0"/>
          <w:sz w:val="32"/>
          <w:szCs w:val="32"/>
          <w:shd w:val="clear" w:fill="FFFFFF"/>
        </w:rPr>
        <w:t>强化思想政治引领</w:t>
      </w:r>
      <w:r>
        <w:rPr>
          <w:rFonts w:hint="eastAsia" w:ascii="仿宋" w:hAnsi="仿宋" w:eastAsia="仿宋" w:cs="仿宋"/>
          <w:b/>
          <w:bCs/>
          <w:sz w:val="32"/>
          <w:szCs w:val="32"/>
        </w:rPr>
        <w:t>。</w:t>
      </w:r>
      <w:r>
        <w:rPr>
          <w:rFonts w:hint="eastAsia" w:ascii="仿宋" w:hAnsi="仿宋" w:eastAsia="仿宋" w:cs="仿宋"/>
          <w:i w:val="0"/>
          <w:iCs w:val="0"/>
          <w:caps w:val="0"/>
          <w:color w:val="171A1D"/>
          <w:spacing w:val="0"/>
          <w:sz w:val="32"/>
          <w:szCs w:val="32"/>
          <w:vertAlign w:val="baseline"/>
        </w:rPr>
        <w:t>以党的政治建设为统领，全面落实党组书记第一责任、班子成员“一岗双责”。深入开展</w:t>
      </w:r>
      <w:r>
        <w:rPr>
          <w:rFonts w:hint="eastAsia" w:ascii="仿宋" w:hAnsi="仿宋" w:eastAsia="仿宋" w:cs="仿宋"/>
          <w:b w:val="0"/>
          <w:bCs w:val="0"/>
          <w:sz w:val="32"/>
          <w:szCs w:val="32"/>
          <w:lang w:val="en-US" w:eastAsia="zh-CN"/>
        </w:rPr>
        <w:t>党纪学习</w:t>
      </w:r>
      <w:r>
        <w:rPr>
          <w:rFonts w:hint="eastAsia" w:ascii="仿宋" w:hAnsi="仿宋" w:eastAsia="仿宋" w:cs="仿宋"/>
          <w:i w:val="0"/>
          <w:iCs w:val="0"/>
          <w:caps w:val="0"/>
          <w:color w:val="171A1D"/>
          <w:spacing w:val="0"/>
          <w:sz w:val="32"/>
          <w:szCs w:val="32"/>
          <w:vertAlign w:val="baseline"/>
        </w:rPr>
        <w:t>教育，常态化制度化坚持“三会一课”</w:t>
      </w:r>
      <w:r>
        <w:rPr>
          <w:rFonts w:hint="eastAsia" w:ascii="仿宋" w:hAnsi="仿宋" w:eastAsia="仿宋" w:cs="仿宋"/>
          <w:i w:val="0"/>
          <w:iCs w:val="0"/>
          <w:caps w:val="0"/>
          <w:color w:val="171A1D"/>
          <w:spacing w:val="0"/>
          <w:sz w:val="32"/>
          <w:szCs w:val="32"/>
          <w:vertAlign w:val="baseline"/>
          <w:lang w:eastAsia="zh-CN"/>
        </w:rPr>
        <w:t>、</w:t>
      </w:r>
      <w:r>
        <w:rPr>
          <w:rFonts w:hint="eastAsia" w:ascii="仿宋" w:hAnsi="仿宋" w:eastAsia="仿宋" w:cs="仿宋"/>
          <w:sz w:val="32"/>
          <w:szCs w:val="32"/>
          <w:lang w:val="en-US" w:eastAsia="zh-CN"/>
        </w:rPr>
        <w:t>组织开展好“主题党日”</w:t>
      </w:r>
      <w:r>
        <w:rPr>
          <w:rFonts w:hint="eastAsia" w:ascii="仿宋" w:hAnsi="仿宋" w:eastAsia="仿宋" w:cs="仿宋"/>
          <w:i w:val="0"/>
          <w:iCs w:val="0"/>
          <w:caps w:val="0"/>
          <w:color w:val="171A1D"/>
          <w:spacing w:val="0"/>
          <w:sz w:val="32"/>
          <w:szCs w:val="32"/>
          <w:vertAlign w:val="baseline"/>
        </w:rPr>
        <w:t>、理论中心组（扩大）学习会等学习活动，以学铸魂、以学促行</w:t>
      </w:r>
      <w:r>
        <w:rPr>
          <w:rFonts w:hint="eastAsia" w:ascii="仿宋" w:hAnsi="仿宋" w:eastAsia="仿宋" w:cs="仿宋"/>
          <w:i w:val="0"/>
          <w:iCs w:val="0"/>
          <w:caps w:val="0"/>
          <w:color w:val="171A1D"/>
          <w:spacing w:val="0"/>
          <w:sz w:val="32"/>
          <w:szCs w:val="32"/>
          <w:vertAlign w:val="baseline"/>
          <w:lang w:eastAsia="zh-CN"/>
        </w:rPr>
        <w:t>，</w:t>
      </w:r>
      <w:r>
        <w:rPr>
          <w:rFonts w:hint="eastAsia" w:ascii="仿宋" w:hAnsi="仿宋" w:eastAsia="仿宋" w:cs="仿宋"/>
          <w:i w:val="0"/>
          <w:iCs w:val="0"/>
          <w:caps w:val="0"/>
          <w:color w:val="171A1D"/>
          <w:spacing w:val="0"/>
          <w:sz w:val="32"/>
          <w:szCs w:val="32"/>
          <w:vertAlign w:val="baseline"/>
        </w:rPr>
        <w:t>扎实开展各项党内政治生活。</w:t>
      </w:r>
      <w:r>
        <w:rPr>
          <w:rFonts w:hint="eastAsia" w:ascii="仿宋" w:hAnsi="仿宋" w:eastAsia="仿宋" w:cs="仿宋"/>
          <w:i w:val="0"/>
          <w:iCs w:val="0"/>
          <w:caps w:val="0"/>
          <w:color w:val="auto"/>
          <w:spacing w:val="0"/>
          <w:sz w:val="32"/>
          <w:szCs w:val="32"/>
          <w:vertAlign w:val="baseline"/>
          <w:lang w:val="en-US" w:eastAsia="zh-CN"/>
        </w:rPr>
        <w:t>今年以来开展理论中心组专题学习11次，</w:t>
      </w:r>
      <w:r>
        <w:rPr>
          <w:rFonts w:hint="eastAsia" w:ascii="仿宋" w:hAnsi="仿宋" w:eastAsia="仿宋" w:cs="仿宋"/>
          <w:b w:val="0"/>
          <w:bCs w:val="0"/>
          <w:i w:val="0"/>
          <w:iCs w:val="0"/>
          <w:caps w:val="0"/>
          <w:color w:val="auto"/>
          <w:spacing w:val="0"/>
          <w:sz w:val="32"/>
          <w:szCs w:val="32"/>
          <w:shd w:val="clear" w:fill="FFFFFF"/>
          <w:vertAlign w:val="baseline"/>
        </w:rPr>
        <w:t>开展</w:t>
      </w:r>
      <w:r>
        <w:rPr>
          <w:rFonts w:hint="eastAsia" w:ascii="仿宋" w:hAnsi="仿宋" w:eastAsia="仿宋" w:cs="仿宋"/>
          <w:b w:val="0"/>
          <w:bCs w:val="0"/>
          <w:i w:val="0"/>
          <w:iCs w:val="0"/>
          <w:caps w:val="0"/>
          <w:color w:val="auto"/>
          <w:spacing w:val="0"/>
          <w:sz w:val="32"/>
          <w:szCs w:val="32"/>
          <w:shd w:val="clear" w:fill="FFFFFF"/>
          <w:vertAlign w:val="baseline"/>
          <w:lang w:val="en-US" w:eastAsia="zh-CN"/>
        </w:rPr>
        <w:t>主题党日11</w:t>
      </w:r>
      <w:r>
        <w:rPr>
          <w:rFonts w:hint="eastAsia" w:ascii="仿宋" w:hAnsi="仿宋" w:eastAsia="仿宋" w:cs="仿宋"/>
          <w:b w:val="0"/>
          <w:bCs w:val="0"/>
          <w:i w:val="0"/>
          <w:iCs w:val="0"/>
          <w:caps w:val="0"/>
          <w:color w:val="auto"/>
          <w:spacing w:val="0"/>
          <w:sz w:val="32"/>
          <w:szCs w:val="32"/>
          <w:shd w:val="clear" w:fill="FFFFFF"/>
          <w:vertAlign w:val="baseline"/>
        </w:rPr>
        <w:t>次</w:t>
      </w:r>
      <w:r>
        <w:rPr>
          <w:rFonts w:hint="eastAsia" w:ascii="仿宋" w:hAnsi="仿宋" w:eastAsia="仿宋" w:cs="仿宋"/>
          <w:b w:val="0"/>
          <w:bCs w:val="0"/>
          <w:i w:val="0"/>
          <w:iCs w:val="0"/>
          <w:caps w:val="0"/>
          <w:color w:val="auto"/>
          <w:spacing w:val="0"/>
          <w:sz w:val="32"/>
          <w:szCs w:val="32"/>
          <w:shd w:val="clear" w:fill="FFFFFF"/>
          <w:vertAlign w:val="baseline"/>
          <w:lang w:eastAsia="zh-CN"/>
        </w:rPr>
        <w:t>，</w:t>
      </w:r>
      <w:r>
        <w:rPr>
          <w:rFonts w:hint="eastAsia" w:ascii="仿宋" w:hAnsi="仿宋" w:eastAsia="仿宋" w:cs="仿宋"/>
          <w:b w:val="0"/>
          <w:bCs w:val="0"/>
          <w:i w:val="0"/>
          <w:iCs w:val="0"/>
          <w:caps w:val="0"/>
          <w:color w:val="auto"/>
          <w:spacing w:val="0"/>
          <w:sz w:val="32"/>
          <w:szCs w:val="32"/>
          <w:shd w:val="clear" w:fill="FFFFFF"/>
          <w:vertAlign w:val="baseline"/>
          <w:lang w:val="en-US" w:eastAsia="zh-CN"/>
        </w:rPr>
        <w:t>党课4次</w:t>
      </w:r>
      <w:r>
        <w:rPr>
          <w:rFonts w:hint="eastAsia" w:ascii="仿宋" w:hAnsi="仿宋" w:eastAsia="仿宋" w:cs="仿宋"/>
          <w:b w:val="0"/>
          <w:bCs w:val="0"/>
          <w:i w:val="0"/>
          <w:iCs w:val="0"/>
          <w:caps w:val="0"/>
          <w:color w:val="auto"/>
          <w:spacing w:val="0"/>
          <w:sz w:val="32"/>
          <w:szCs w:val="32"/>
          <w:shd w:val="clear" w:fill="FFFFFF"/>
          <w:vertAlign w:val="baseline"/>
        </w:rPr>
        <w:t>，召开党建工作、全面从严治党党专题会，引导党员干部增强党性修养和宗旨意识，发挥先锋模范带头作用。</w:t>
      </w:r>
    </w:p>
    <w:p w14:paraId="713DC47E">
      <w:pPr>
        <w:keepNext w:val="0"/>
        <w:keepLines w:val="0"/>
        <w:pageBreakBefore w:val="0"/>
        <w:widowControl/>
        <w:kinsoku/>
        <w:wordWrap/>
        <w:overflowPunct/>
        <w:topLinePunct w:val="0"/>
        <w:autoSpaceDE/>
        <w:bidi w:val="0"/>
        <w:spacing w:line="600" w:lineRule="exact"/>
        <w:ind w:firstLine="643" w:firstLineChars="200"/>
        <w:jc w:val="left"/>
        <w:textAlignment w:val="auto"/>
        <w:rPr>
          <w:rFonts w:hint="eastAsia" w:ascii="仿宋" w:hAnsi="仿宋" w:eastAsia="仿宋" w:cs="仿宋"/>
          <w:spacing w:val="8"/>
          <w:sz w:val="32"/>
          <w:szCs w:val="32"/>
        </w:rPr>
      </w:pPr>
      <w:r>
        <w:rPr>
          <w:rFonts w:hint="eastAsia" w:ascii="仿宋" w:hAnsi="仿宋" w:eastAsia="仿宋" w:cs="仿宋"/>
          <w:b/>
          <w:bCs/>
          <w:sz w:val="32"/>
          <w:szCs w:val="32"/>
          <w:lang w:val="en-US" w:eastAsia="zh-CN"/>
        </w:rPr>
        <w:t>2、着力提升服务水平。</w:t>
      </w:r>
      <w:r>
        <w:rPr>
          <w:rFonts w:hint="eastAsia" w:ascii="仿宋" w:hAnsi="仿宋" w:eastAsia="仿宋" w:cs="仿宋"/>
          <w:sz w:val="32"/>
          <w:szCs w:val="32"/>
        </w:rPr>
        <w:t>为</w:t>
      </w:r>
      <w:r>
        <w:rPr>
          <w:rFonts w:hint="eastAsia" w:ascii="仿宋" w:hAnsi="仿宋" w:eastAsia="仿宋" w:cs="仿宋"/>
          <w:color w:val="000000"/>
          <w:kern w:val="0"/>
          <w:sz w:val="32"/>
          <w:szCs w:val="32"/>
        </w:rPr>
        <w:t>做好机构改革组织实施工作，</w:t>
      </w:r>
      <w:r>
        <w:rPr>
          <w:rFonts w:hint="eastAsia" w:ascii="仿宋" w:hAnsi="仿宋" w:eastAsia="仿宋" w:cs="仿宋"/>
          <w:sz w:val="32"/>
          <w:szCs w:val="32"/>
        </w:rPr>
        <w:t>我委</w:t>
      </w:r>
      <w:r>
        <w:rPr>
          <w:rFonts w:hint="eastAsia" w:ascii="仿宋" w:hAnsi="仿宋" w:eastAsia="仿宋" w:cs="仿宋"/>
          <w:color w:val="000000"/>
          <w:kern w:val="0"/>
          <w:sz w:val="32"/>
          <w:szCs w:val="32"/>
        </w:rPr>
        <w:t>加挂区数据局牌子，负责协调推进数据基础制度建设，统筹数据资源整合共享和开发利用，牵头协调数字经济发展等。下属事业单位区政务信息管理中心更名为区大数据中心，承担原政务信息管理中心除数字政府建设相关职能外的职责，为数字经济等提供技术支撑。</w:t>
      </w:r>
      <w:r>
        <w:rPr>
          <w:rFonts w:hint="eastAsia" w:ascii="仿宋" w:hAnsi="仿宋" w:eastAsia="仿宋" w:cs="仿宋"/>
          <w:sz w:val="32"/>
          <w:szCs w:val="32"/>
        </w:rPr>
        <w:t>委内部设立行政审批股，</w:t>
      </w:r>
      <w:r>
        <w:rPr>
          <w:rFonts w:hint="eastAsia" w:ascii="仿宋" w:hAnsi="仿宋" w:eastAsia="仿宋" w:cs="仿宋"/>
          <w:spacing w:val="8"/>
          <w:sz w:val="32"/>
          <w:szCs w:val="32"/>
        </w:rPr>
        <w:t>充实审批人员，严格执行三级审核制度，并按照“放管服”有关规定，项目审批由区政务服务中心综合窗口受理，实现让群众少跑腿。</w:t>
      </w:r>
    </w:p>
    <w:p w14:paraId="14BBF982">
      <w:pPr>
        <w:keepNext w:val="0"/>
        <w:keepLines w:val="0"/>
        <w:pageBreakBefore w:val="0"/>
        <w:widowControl w:val="0"/>
        <w:kinsoku/>
        <w:wordWrap/>
        <w:overflowPunct/>
        <w:topLinePunct w:val="0"/>
        <w:bidi w:val="0"/>
        <w:adjustRightInd/>
        <w:snapToGrid/>
        <w:spacing w:line="600" w:lineRule="exact"/>
        <w:ind w:firstLine="643" w:firstLineChars="200"/>
        <w:textAlignment w:val="auto"/>
        <w:rPr>
          <w:rFonts w:hint="eastAsia" w:ascii="仿宋" w:hAnsi="仿宋" w:eastAsia="仿宋" w:cs="仿宋"/>
          <w:bCs/>
          <w:sz w:val="32"/>
          <w:szCs w:val="32"/>
          <w:lang w:eastAsia="zh-CN"/>
        </w:rPr>
      </w:pPr>
      <w:r>
        <w:rPr>
          <w:rFonts w:hint="eastAsia" w:ascii="仿宋" w:hAnsi="仿宋" w:eastAsia="仿宋" w:cs="仿宋"/>
          <w:b/>
          <w:bCs/>
          <w:sz w:val="32"/>
          <w:szCs w:val="32"/>
          <w:lang w:val="en-US" w:eastAsia="zh-CN"/>
        </w:rPr>
        <w:t>3、压实集中整治主体责任。</w:t>
      </w:r>
      <w:r>
        <w:rPr>
          <w:rFonts w:hint="eastAsia" w:ascii="仿宋" w:hAnsi="仿宋" w:eastAsia="仿宋" w:cs="仿宋"/>
          <w:b/>
          <w:bCs/>
          <w:kern w:val="2"/>
          <w:sz w:val="32"/>
          <w:szCs w:val="32"/>
          <w:lang w:val="en-US" w:eastAsia="zh-CN" w:bidi="ar-SA"/>
        </w:rPr>
        <w:t>项目化推进基层项目整治，</w:t>
      </w:r>
      <w:r>
        <w:rPr>
          <w:rFonts w:hint="eastAsia" w:ascii="仿宋" w:hAnsi="仿宋" w:eastAsia="仿宋" w:cs="仿宋"/>
          <w:kern w:val="2"/>
          <w:sz w:val="32"/>
          <w:szCs w:val="32"/>
          <w:lang w:val="en-US" w:eastAsia="zh-CN" w:bidi="ar-SA"/>
        </w:rPr>
        <w:t>坚持每半月调度推进工作机制，研究部署集中整治工作，围绕项目建设全生命周期的六大环节，全面起底项目，全程排查问题，全力深挖线索，全区十九大以来政府投资项目共有1423个，摸排发现问题项目数69个，向区纪委报送问题线索45条，移交线索13条，立案6个。拨付拖欠工程款、质保金689.9万元，挽回经济损失84.37万元。</w:t>
      </w:r>
      <w:r>
        <w:rPr>
          <w:rFonts w:hint="eastAsia" w:ascii="仿宋" w:hAnsi="仿宋" w:eastAsia="仿宋" w:cs="仿宋"/>
          <w:b/>
          <w:bCs/>
          <w:kern w:val="2"/>
          <w:sz w:val="32"/>
          <w:szCs w:val="32"/>
          <w:lang w:val="en-US" w:eastAsia="zh-CN" w:bidi="ar-SA"/>
        </w:rPr>
        <w:t>开展违规套取资金问题专项整治，</w:t>
      </w:r>
      <w:r>
        <w:rPr>
          <w:rFonts w:hint="eastAsia" w:ascii="仿宋" w:hAnsi="仿宋" w:eastAsia="仿宋" w:cs="仿宋"/>
          <w:b w:val="0"/>
          <w:bCs w:val="0"/>
          <w:kern w:val="2"/>
          <w:sz w:val="32"/>
          <w:szCs w:val="32"/>
          <w:lang w:val="en-US" w:eastAsia="zh-CN" w:bidi="ar-SA"/>
        </w:rPr>
        <w:t>第一时间召开专题会议，成立工作专班，</w:t>
      </w:r>
      <w:r>
        <w:rPr>
          <w:rFonts w:hint="eastAsia" w:ascii="仿宋" w:hAnsi="仿宋" w:eastAsia="仿宋" w:cs="仿宋"/>
          <w:b w:val="0"/>
          <w:bCs w:val="0"/>
          <w:sz w:val="32"/>
          <w:szCs w:val="32"/>
          <w:lang w:val="en-US" w:eastAsia="zh-CN"/>
        </w:rPr>
        <w:t>统筹工作专班各成员单位全面梳理十八大以来的全区工程建设项目，认真自查利用工程建</w:t>
      </w:r>
      <w:r>
        <w:rPr>
          <w:rFonts w:hint="eastAsia" w:ascii="仿宋" w:hAnsi="仿宋" w:eastAsia="仿宋" w:cs="仿宋"/>
          <w:sz w:val="32"/>
          <w:szCs w:val="32"/>
          <w:lang w:val="en-US" w:eastAsia="zh-CN"/>
        </w:rPr>
        <w:t>设项目套取资金情况，截至目前，各单位共上报自查问题318条，共涉及金额526万元。</w:t>
      </w:r>
      <w:r>
        <w:rPr>
          <w:rFonts w:hint="eastAsia" w:ascii="仿宋" w:hAnsi="仿宋" w:eastAsia="仿宋" w:cs="仿宋"/>
          <w:b/>
          <w:bCs/>
          <w:kern w:val="2"/>
          <w:sz w:val="32"/>
          <w:szCs w:val="32"/>
          <w:lang w:val="en-US" w:eastAsia="zh-CN" w:bidi="ar-SA"/>
        </w:rPr>
        <w:t>建立健全项目监管长效机制，</w:t>
      </w:r>
      <w:r>
        <w:rPr>
          <w:rFonts w:hint="eastAsia" w:ascii="仿宋" w:hAnsi="仿宋" w:eastAsia="仿宋" w:cs="仿宋"/>
          <w:kern w:val="2"/>
          <w:sz w:val="32"/>
          <w:szCs w:val="32"/>
          <w:lang w:val="en-US" w:eastAsia="zh-CN" w:bidi="ar-SA"/>
        </w:rPr>
        <w:t>围绕小额工程的全生命周期管理，结合我区实际，拟定《昌江区小额工程建设项目管理实施办法（试行）》《关于进一步规范政府投资项目立项审批工作的管理办法》《进一步优化小额工程审批程序实施办法(试行)》《基层建设项目督查工作办法（试行）》，建立了《小额工程项目信息共享共用机制（试行）》，通过数据比对分析，及时发现项目未批先建、未批先招等突出问题。</w:t>
      </w:r>
    </w:p>
    <w:p w14:paraId="559A41C9">
      <w:pPr>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sz w:val="32"/>
          <w:szCs w:val="32"/>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rPr>
        <w:t>）</w:t>
      </w:r>
      <w:r>
        <w:rPr>
          <w:rFonts w:hint="eastAsia" w:ascii="楷体" w:hAnsi="楷体" w:eastAsia="楷体" w:cs="楷体"/>
          <w:b w:val="0"/>
          <w:bCs w:val="0"/>
          <w:sz w:val="32"/>
          <w:szCs w:val="32"/>
        </w:rPr>
        <w:t>国家级陶瓷文化传承创新试验区建设</w:t>
      </w:r>
      <w:r>
        <w:rPr>
          <w:rFonts w:hint="eastAsia" w:ascii="楷体" w:hAnsi="楷体" w:eastAsia="楷体" w:cs="楷体"/>
          <w:b w:val="0"/>
          <w:bCs w:val="0"/>
          <w:sz w:val="32"/>
          <w:szCs w:val="32"/>
          <w:lang w:val="en-US" w:eastAsia="zh-CN"/>
        </w:rPr>
        <w:t>高效推进</w:t>
      </w:r>
    </w:p>
    <w:p w14:paraId="3EB7E5F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 w:hAnsi="仿宋" w:eastAsia="仿宋" w:cs="仿宋"/>
          <w:w w:val="100"/>
          <w:sz w:val="32"/>
          <w:szCs w:val="32"/>
          <w:lang w:val="en-US" w:eastAsia="zh-CN"/>
        </w:rPr>
      </w:pPr>
      <w:r>
        <w:rPr>
          <w:rFonts w:hint="eastAsia" w:ascii="仿宋" w:hAnsi="仿宋" w:eastAsia="仿宋" w:cs="仿宋"/>
          <w:b/>
          <w:bCs/>
          <w:w w:val="100"/>
          <w:sz w:val="32"/>
          <w:szCs w:val="32"/>
          <w:lang w:val="en-US" w:eastAsia="zh-CN"/>
        </w:rPr>
        <w:t>一是陶瓷产业快速发展。</w:t>
      </w:r>
      <w:r>
        <w:rPr>
          <w:rFonts w:hint="eastAsia" w:ascii="仿宋" w:hAnsi="仿宋" w:eastAsia="仿宋" w:cs="仿宋"/>
          <w:w w:val="100"/>
          <w:sz w:val="32"/>
          <w:szCs w:val="32"/>
          <w:lang w:val="en-US" w:eastAsia="zh-CN"/>
        </w:rPr>
        <w:t>昌江区产业园获得省政府批复，实行现行省级开发区政策，批准面积266.53公顷，现已初步形成以电子信息、陶瓷文化创意等产业为主的工业发展带。与邯郸市峰峰矿区签订两区陶瓷产业发展框架协议，目前全区从事生产陶瓷企业和作坊580余户，先进陶瓷企业达27家，其中规上先进陶瓷企业10家。2024年1-10月先陶产业总产值完成20.8亿元。近年来，我区共有6家陶瓷企业获得“专精特新”称号。</w:t>
      </w:r>
    </w:p>
    <w:p w14:paraId="1798266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楷体" w:hAnsi="楷体" w:eastAsia="楷体" w:cs="楷体"/>
          <w:b w:val="0"/>
          <w:bCs/>
          <w:sz w:val="32"/>
          <w:szCs w:val="32"/>
        </w:rPr>
      </w:pPr>
      <w:r>
        <w:rPr>
          <w:rFonts w:hint="eastAsia" w:ascii="仿宋" w:hAnsi="仿宋" w:eastAsia="仿宋" w:cs="仿宋"/>
          <w:b/>
          <w:bCs/>
          <w:w w:val="100"/>
          <w:sz w:val="32"/>
          <w:szCs w:val="32"/>
          <w:lang w:val="en-US" w:eastAsia="zh-CN"/>
        </w:rPr>
        <w:t>二是积极打造陶瓷特色产业集群。</w:t>
      </w:r>
      <w:r>
        <w:rPr>
          <w:rFonts w:hint="eastAsia" w:ascii="仿宋" w:hAnsi="仿宋" w:eastAsia="仿宋" w:cs="仿宋"/>
          <w:w w:val="100"/>
          <w:kern w:val="0"/>
          <w:sz w:val="32"/>
          <w:szCs w:val="32"/>
          <w:lang w:val="en-US" w:eastAsia="zh-CN" w:bidi="ar"/>
        </w:rPr>
        <w:t>持续丰富和完善旅游业态布局，以景德镇千年陶瓷文化地域为依托，</w:t>
      </w:r>
      <w:r>
        <w:rPr>
          <w:rFonts w:hint="eastAsia" w:ascii="仿宋" w:hAnsi="仿宋" w:eastAsia="仿宋" w:cs="仿宋"/>
          <w:w w:val="100"/>
          <w:sz w:val="32"/>
          <w:szCs w:val="32"/>
          <w:lang w:val="en-US" w:eastAsia="zh-CN"/>
        </w:rPr>
        <w:t>陶青台陶瓷文化创意园运营情况良好，宁封窑御瓷馆、外销瓷博物馆、合盛宁封臻瓷艺术馆等正式开馆运营，我区41家文化场馆入选全市“千馆之城”。着力打造的昌南里世界陶瓷潮玩小镇暨国际潮流艺术IP聚集地，基于景德镇完整的产业链，提出“潮玩+陶瓷”的概念，打造一个集陶瓷文化、潮流时尚、旅游休闲于一体的综合性小镇，已于10月1日盛大开园，同时正在积极开展创建4A级旅游景区工作。</w:t>
      </w:r>
    </w:p>
    <w:p w14:paraId="3862FF45">
      <w:pPr>
        <w:keepNext w:val="0"/>
        <w:keepLines w:val="0"/>
        <w:pageBreakBefore w:val="0"/>
        <w:kinsoku/>
        <w:wordWrap/>
        <w:overflowPunct/>
        <w:topLinePunct w:val="0"/>
        <w:autoSpaceDE/>
        <w:bidi w:val="0"/>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i w:val="0"/>
          <w:iCs w:val="0"/>
          <w:caps w:val="0"/>
          <w:color w:val="404040"/>
          <w:spacing w:val="0"/>
          <w:sz w:val="32"/>
          <w:szCs w:val="32"/>
          <w:shd w:val="clear" w:fill="FFFFFF"/>
          <w:lang w:eastAsia="zh-CN"/>
        </w:rPr>
        <w:t>（</w:t>
      </w:r>
      <w:r>
        <w:rPr>
          <w:rFonts w:hint="eastAsia" w:ascii="楷体" w:hAnsi="楷体" w:eastAsia="楷体" w:cs="楷体"/>
          <w:i w:val="0"/>
          <w:iCs w:val="0"/>
          <w:caps w:val="0"/>
          <w:color w:val="404040"/>
          <w:spacing w:val="0"/>
          <w:sz w:val="32"/>
          <w:szCs w:val="32"/>
          <w:shd w:val="clear" w:fill="FFFFFF"/>
          <w:lang w:val="en-US" w:eastAsia="zh-CN"/>
        </w:rPr>
        <w:t>三</w:t>
      </w:r>
      <w:r>
        <w:rPr>
          <w:rFonts w:hint="eastAsia" w:ascii="楷体" w:hAnsi="楷体" w:eastAsia="楷体" w:cs="楷体"/>
          <w:i w:val="0"/>
          <w:iCs w:val="0"/>
          <w:caps w:val="0"/>
          <w:color w:val="404040"/>
          <w:spacing w:val="0"/>
          <w:sz w:val="32"/>
          <w:szCs w:val="32"/>
          <w:shd w:val="clear" w:fill="FFFFFF"/>
          <w:lang w:eastAsia="zh-CN"/>
        </w:rPr>
        <w:t>）</w:t>
      </w:r>
      <w:r>
        <w:rPr>
          <w:rFonts w:hint="eastAsia" w:ascii="楷体" w:hAnsi="楷体" w:eastAsia="楷体" w:cs="楷体"/>
          <w:i w:val="0"/>
          <w:iCs w:val="0"/>
          <w:caps w:val="0"/>
          <w:color w:val="404040"/>
          <w:spacing w:val="0"/>
          <w:sz w:val="32"/>
          <w:szCs w:val="32"/>
          <w:shd w:val="clear" w:fill="FFFFFF"/>
        </w:rPr>
        <w:t>全力稳定经济运行</w:t>
      </w:r>
    </w:p>
    <w:p w14:paraId="3D8537BA">
      <w:pPr>
        <w:keepNext w:val="0"/>
        <w:keepLines w:val="0"/>
        <w:pageBreakBefore w:val="0"/>
        <w:kinsoku/>
        <w:wordWrap/>
        <w:overflowPunct/>
        <w:topLinePunct w:val="0"/>
        <w:autoSpaceDE/>
        <w:bidi w:val="0"/>
        <w:spacing w:line="600" w:lineRule="exact"/>
        <w:ind w:firstLine="640" w:firstLineChars="200"/>
        <w:textAlignment w:val="auto"/>
        <w:rPr>
          <w:rFonts w:hint="eastAsia" w:ascii="仿宋" w:hAnsi="仿宋" w:eastAsia="仿宋" w:cs="仿宋"/>
          <w:w w:val="100"/>
          <w:kern w:val="0"/>
          <w:sz w:val="32"/>
          <w:szCs w:val="32"/>
          <w:lang w:val="en-US" w:eastAsia="zh-CN" w:bidi="ar-SA"/>
        </w:rPr>
      </w:pPr>
      <w:r>
        <w:rPr>
          <w:rFonts w:hint="eastAsia" w:ascii="仿宋" w:hAnsi="仿宋" w:eastAsia="仿宋" w:cs="仿宋"/>
          <w:w w:val="100"/>
          <w:kern w:val="0"/>
          <w:sz w:val="32"/>
          <w:szCs w:val="32"/>
          <w:lang w:val="en-US" w:eastAsia="zh-CN" w:bidi="ar-SA"/>
        </w:rPr>
        <w:t>每月定期开展经济运行分析，进一步认清当前面临的形势，把握经济运行规律，全力以赴做好经济运行各项工作，确保实现全年目标任务。全面抓好宏观经济形势分析和政策研究，科学编制国民经济和社会发展年度计划，并形成经济形势分析报告，为市领导研判形势做好参谋。完成了《关于昌江区2024年1--6月份国民经济和社会发展计划执行情况的汇报》，正在起草《关于昌江区2024年国民经济和社会发展计划执行情况与2025年国民经济和社会发展计划草案的报告》。</w:t>
      </w:r>
    </w:p>
    <w:p w14:paraId="70338E7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sz w:val="32"/>
          <w:szCs w:val="32"/>
          <w:lang w:eastAsia="zh-CN"/>
        </w:rPr>
      </w:pPr>
      <w:r>
        <w:rPr>
          <w:rFonts w:hint="eastAsia" w:ascii="仿宋" w:hAnsi="仿宋" w:eastAsia="仿宋" w:cs="仿宋"/>
          <w:b/>
          <w:bCs/>
          <w:kern w:val="1"/>
          <w:sz w:val="32"/>
          <w:szCs w:val="32"/>
          <w:lang w:val="en-US" w:eastAsia="zh-CN"/>
        </w:rPr>
        <w:t>经济指标情况：</w:t>
      </w:r>
      <w:r>
        <w:rPr>
          <w:rFonts w:hint="eastAsia" w:ascii="仿宋" w:hAnsi="仿宋" w:eastAsia="仿宋" w:cs="仿宋"/>
          <w:b/>
          <w:bCs/>
          <w:kern w:val="1"/>
          <w:sz w:val="32"/>
          <w:szCs w:val="32"/>
        </w:rPr>
        <w:t>1、</w:t>
      </w:r>
      <w:r>
        <w:rPr>
          <w:rFonts w:hint="eastAsia" w:ascii="仿宋" w:hAnsi="仿宋" w:eastAsia="仿宋" w:cs="仿宋"/>
          <w:b/>
          <w:bCs/>
          <w:sz w:val="32"/>
          <w:szCs w:val="32"/>
        </w:rPr>
        <w:t>固定资产投资。</w:t>
      </w:r>
      <w:r>
        <w:rPr>
          <w:rFonts w:hint="eastAsia" w:ascii="仿宋" w:hAnsi="仿宋" w:eastAsia="仿宋" w:cs="仿宋"/>
          <w:sz w:val="32"/>
          <w:szCs w:val="32"/>
          <w:lang w:val="en-US" w:eastAsia="zh-CN"/>
        </w:rPr>
        <w:t>投资方面，</w:t>
      </w:r>
      <w:r>
        <w:rPr>
          <w:rFonts w:hint="eastAsia" w:ascii="仿宋" w:hAnsi="仿宋" w:eastAsia="仿宋"/>
          <w:sz w:val="32"/>
          <w:szCs w:val="32"/>
        </w:rPr>
        <w:t>1-10月上报固定投资48.61亿元，增速5.6%，高于全市1.9个百分点。当前已超额完成全年预计数（47.2亿元），预计年底增速将进一步提高。</w:t>
      </w:r>
      <w:r>
        <w:rPr>
          <w:rFonts w:hint="eastAsia" w:ascii="仿宋" w:hAnsi="仿宋" w:eastAsia="仿宋" w:cs="仿宋"/>
          <w:sz w:val="32"/>
          <w:szCs w:val="32"/>
          <w:lang w:val="en-US" w:eastAsia="zh-CN"/>
        </w:rPr>
        <w:t>项目入库方面，</w:t>
      </w:r>
      <w:r>
        <w:rPr>
          <w:rFonts w:hint="eastAsia" w:ascii="仿宋" w:hAnsi="仿宋" w:eastAsia="仿宋"/>
          <w:sz w:val="32"/>
          <w:szCs w:val="32"/>
        </w:rPr>
        <w:t>全区在库固投项目93个，今年以来新增入库固投项目数37个，固投项目剩余库容146.68亿元</w:t>
      </w:r>
      <w:r>
        <w:rPr>
          <w:rFonts w:hint="eastAsia" w:ascii="仿宋" w:hAnsi="仿宋" w:eastAsia="仿宋"/>
          <w:sz w:val="32"/>
          <w:szCs w:val="32"/>
          <w:lang w:eastAsia="zh-CN"/>
        </w:rPr>
        <w:t>。</w:t>
      </w:r>
    </w:p>
    <w:p w14:paraId="62C191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kern w:val="1"/>
          <w:sz w:val="32"/>
          <w:szCs w:val="32"/>
        </w:rPr>
        <w:t>2、服务业。</w:t>
      </w:r>
      <w:r>
        <w:rPr>
          <w:rFonts w:hint="eastAsia" w:ascii="仿宋" w:hAnsi="仿宋" w:eastAsia="仿宋" w:cs="仿宋"/>
          <w:sz w:val="32"/>
          <w:szCs w:val="32"/>
        </w:rPr>
        <w:t>营收方面，</w:t>
      </w:r>
      <w:r>
        <w:rPr>
          <w:rFonts w:hint="eastAsia" w:ascii="仿宋" w:hAnsi="仿宋" w:eastAsia="仿宋"/>
          <w:color w:val="auto"/>
          <w:sz w:val="32"/>
          <w:szCs w:val="32"/>
        </w:rPr>
        <w:t>1-10月，全区38家在库规上服务业企业共完成营收33.5亿，同比增长3.4%，较上月提升0.3个百分点，排名全市第5。纳入GDP核算的六大行业增速6.1%，列全市第5。</w:t>
      </w:r>
      <w:r>
        <w:rPr>
          <w:rFonts w:hint="eastAsia" w:ascii="仿宋" w:hAnsi="仿宋" w:eastAsia="仿宋"/>
          <w:sz w:val="32"/>
          <w:szCs w:val="32"/>
        </w:rPr>
        <w:t>今年来，受头部企业增速所限（10月份，8家亿元以上企业增速均低于3%，营收占比达77%），虽然增速稳定，但排名逐步下滑，形势不容乐观。</w:t>
      </w:r>
      <w:r>
        <w:rPr>
          <w:rFonts w:hint="eastAsia" w:ascii="仿宋" w:hAnsi="仿宋" w:eastAsia="仿宋"/>
          <w:b w:val="0"/>
          <w:bCs/>
          <w:sz w:val="32"/>
          <w:szCs w:val="32"/>
        </w:rPr>
        <w:t>企业入库</w:t>
      </w:r>
      <w:r>
        <w:rPr>
          <w:rFonts w:hint="eastAsia" w:ascii="仿宋" w:hAnsi="仿宋" w:eastAsia="仿宋"/>
          <w:b w:val="0"/>
          <w:bCs/>
          <w:sz w:val="32"/>
          <w:szCs w:val="32"/>
          <w:lang w:val="en-US" w:eastAsia="zh-CN"/>
        </w:rPr>
        <w:t>方面，</w:t>
      </w:r>
      <w:r>
        <w:rPr>
          <w:rFonts w:hint="eastAsia" w:ascii="仿宋" w:hAnsi="仿宋" w:eastAsia="仿宋"/>
          <w:sz w:val="32"/>
          <w:szCs w:val="32"/>
        </w:rPr>
        <w:t>当前我区已完成入库1家</w:t>
      </w:r>
      <w:r>
        <w:rPr>
          <w:rFonts w:hint="eastAsia" w:ascii="仿宋" w:hAnsi="仿宋" w:eastAsia="仿宋"/>
          <w:sz w:val="32"/>
          <w:szCs w:val="32"/>
          <w:lang w:eastAsia="zh-CN"/>
        </w:rPr>
        <w:t>（</w:t>
      </w:r>
      <w:r>
        <w:rPr>
          <w:rFonts w:hint="eastAsia" w:ascii="仿宋" w:hAnsi="仿宋" w:eastAsia="仿宋"/>
          <w:sz w:val="32"/>
          <w:szCs w:val="32"/>
          <w:lang w:val="en-US" w:eastAsia="zh-CN"/>
        </w:rPr>
        <w:t>吕蒙）</w:t>
      </w:r>
      <w:r>
        <w:rPr>
          <w:rFonts w:hint="eastAsia" w:ascii="仿宋" w:hAnsi="仿宋" w:eastAsia="仿宋"/>
          <w:sz w:val="32"/>
          <w:szCs w:val="32"/>
        </w:rPr>
        <w:t>，第一批申报2家</w:t>
      </w:r>
      <w:r>
        <w:rPr>
          <w:rFonts w:hint="eastAsia" w:ascii="仿宋" w:hAnsi="仿宋" w:eastAsia="仿宋"/>
          <w:sz w:val="32"/>
          <w:szCs w:val="32"/>
          <w:lang w:eastAsia="zh-CN"/>
        </w:rPr>
        <w:t>（</w:t>
      </w:r>
      <w:r>
        <w:rPr>
          <w:rFonts w:hint="eastAsia" w:ascii="仿宋" w:hAnsi="仿宋" w:eastAsia="仿宋"/>
          <w:sz w:val="32"/>
          <w:szCs w:val="32"/>
          <w:lang w:val="en-US" w:eastAsia="zh-CN"/>
        </w:rPr>
        <w:t>西郊、荷塘）</w:t>
      </w:r>
      <w:r>
        <w:rPr>
          <w:rFonts w:hint="eastAsia" w:ascii="仿宋" w:hAnsi="仿宋" w:eastAsia="仿宋"/>
          <w:sz w:val="32"/>
          <w:szCs w:val="32"/>
        </w:rPr>
        <w:t>，</w:t>
      </w:r>
      <w:r>
        <w:rPr>
          <w:rFonts w:hint="eastAsia" w:ascii="仿宋" w:hAnsi="仿宋" w:eastAsia="仿宋"/>
          <w:sz w:val="32"/>
          <w:szCs w:val="32"/>
          <w:lang w:val="en-US" w:eastAsia="zh-CN"/>
        </w:rPr>
        <w:t>都已</w:t>
      </w:r>
      <w:r>
        <w:rPr>
          <w:rFonts w:hint="eastAsia" w:ascii="仿宋" w:hAnsi="仿宋" w:eastAsia="仿宋"/>
          <w:sz w:val="32"/>
          <w:szCs w:val="32"/>
        </w:rPr>
        <w:t>通过省统审核</w:t>
      </w:r>
      <w:r>
        <w:rPr>
          <w:rFonts w:hint="eastAsia" w:ascii="仿宋" w:hAnsi="仿宋" w:eastAsia="仿宋"/>
          <w:sz w:val="32"/>
          <w:szCs w:val="32"/>
          <w:lang w:eastAsia="zh-CN"/>
        </w:rPr>
        <w:t>，</w:t>
      </w:r>
      <w:r>
        <w:rPr>
          <w:rFonts w:hint="eastAsia" w:ascii="仿宋" w:hAnsi="仿宋" w:eastAsia="仿宋"/>
          <w:sz w:val="32"/>
          <w:szCs w:val="32"/>
          <w:lang w:val="en-US" w:eastAsia="zh-CN"/>
        </w:rPr>
        <w:t>正在接受国家审核。</w:t>
      </w:r>
      <w:r>
        <w:rPr>
          <w:rFonts w:hint="eastAsia" w:ascii="仿宋" w:hAnsi="仿宋" w:eastAsia="仿宋"/>
          <w:sz w:val="32"/>
          <w:szCs w:val="32"/>
        </w:rPr>
        <w:t>此外，仍有爱尔眼科（西郊）、稀小蜴（新枫）作为储备申报企业。</w:t>
      </w:r>
    </w:p>
    <w:p w14:paraId="0C1F2CF3">
      <w:pPr>
        <w:keepNext w:val="0"/>
        <w:keepLines w:val="0"/>
        <w:pageBreakBefore w:val="0"/>
        <w:kinsoku/>
        <w:wordWrap/>
        <w:overflowPunct/>
        <w:topLinePunct w:val="0"/>
        <w:autoSpaceDE/>
        <w:bidi w:val="0"/>
        <w:spacing w:line="600" w:lineRule="exact"/>
        <w:ind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lang w:eastAsia="zh-CN"/>
        </w:rPr>
        <w:t>）</w:t>
      </w:r>
      <w:r>
        <w:rPr>
          <w:rFonts w:hint="eastAsia" w:ascii="楷体" w:hAnsi="楷体" w:eastAsia="楷体" w:cs="楷体"/>
          <w:sz w:val="32"/>
          <w:szCs w:val="32"/>
          <w:lang w:val="en-US" w:eastAsia="zh-CN"/>
        </w:rPr>
        <w:t>重大项目蹄疾步稳</w:t>
      </w:r>
    </w:p>
    <w:p w14:paraId="2DA3B2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jc w:val="both"/>
        <w:textAlignment w:val="auto"/>
        <w:rPr>
          <w:rFonts w:hint="eastAsia" w:ascii="仿宋" w:hAnsi="仿宋" w:eastAsia="仿宋" w:cs="仿宋"/>
          <w:b w:val="0"/>
          <w:bCs w:val="0"/>
          <w:sz w:val="32"/>
          <w:szCs w:val="32"/>
        </w:rPr>
      </w:pPr>
      <w:r>
        <w:rPr>
          <w:rStyle w:val="14"/>
          <w:rFonts w:hint="eastAsia" w:ascii="仿宋" w:hAnsi="仿宋" w:eastAsia="仿宋" w:cs="仿宋"/>
          <w:b/>
          <w:bCs/>
          <w:i w:val="0"/>
          <w:iCs w:val="0"/>
          <w:caps w:val="0"/>
          <w:color w:val="333333"/>
          <w:spacing w:val="0"/>
          <w:sz w:val="32"/>
          <w:szCs w:val="32"/>
          <w:shd w:val="clear" w:fill="FFFFFF"/>
          <w:vertAlign w:val="baseline"/>
          <w:lang w:val="en-US" w:eastAsia="zh-CN"/>
        </w:rPr>
        <w:t>一是全区重点工程建设项目整体建设情况良好。</w:t>
      </w:r>
      <w:r>
        <w:rPr>
          <w:rFonts w:hint="eastAsia" w:ascii="仿宋" w:hAnsi="仿宋" w:eastAsia="仿宋" w:cs="仿宋"/>
          <w:b w:val="0"/>
          <w:bCs w:val="0"/>
          <w:sz w:val="32"/>
          <w:szCs w:val="32"/>
        </w:rPr>
        <w:t>2024年全区确定了49个重点工程建设项目，总投资304.22亿元，年度计划投资52.67亿元。2024年1-11月完成年度计划投资50.32亿元，完成投资比率95.54%；已有昌江区城市排水防涝综合整治一期项目、年产20万吨微生物蛋白及其资源综合利用项目一期工程等47个项目已开工建设，项目开工率95.92%，还有2个即将开工的项目正按计划有序推进中。</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市级重点工程投资进度位列全市中上游。</w:t>
      </w:r>
      <w:r>
        <w:rPr>
          <w:rFonts w:hint="eastAsia" w:ascii="仿宋" w:hAnsi="仿宋" w:eastAsia="仿宋" w:cs="仿宋"/>
          <w:b w:val="0"/>
          <w:bCs w:val="0"/>
          <w:sz w:val="32"/>
          <w:szCs w:val="32"/>
        </w:rPr>
        <w:t>2024年我区共有27个项目纳入市重点工程进行调度，总投资269.97亿元，年度计划完成投资40.3亿元。1-11月份，完成计划投资44.27亿元，较去年同期38.27亿元，增长15.6%；完成年度计划投资进度为109.9%，较去年同期增长10.8%，在全市10个考核单位中排名第四。</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省大中型项目扎实有序推进。</w:t>
      </w:r>
      <w:r>
        <w:rPr>
          <w:rFonts w:hint="eastAsia" w:ascii="仿宋" w:hAnsi="仿宋" w:eastAsia="仿宋" w:cs="仿宋"/>
          <w:b w:val="0"/>
          <w:bCs w:val="0"/>
          <w:sz w:val="32"/>
          <w:szCs w:val="32"/>
        </w:rPr>
        <w:t>今年我区有13个项目列入省大中型进行调度，总投资108.88亿元，年度计划完成投资27.55亿元。1-11月份，完成计划投资26.72亿元，完成投资比率达96.99%。</w:t>
      </w:r>
    </w:p>
    <w:p w14:paraId="499E97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五</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争资争项成效显著</w:t>
      </w:r>
    </w:p>
    <w:p w14:paraId="79967FF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今年以来，全区围绕设备更新、数字经济、民生类项目争取中央预算内资金、超长期国债资金、省基建级资金、专项债资金共计38785万元。其中，</w:t>
      </w:r>
      <w:r>
        <w:rPr>
          <w:rFonts w:hint="eastAsia" w:ascii="仿宋" w:hAnsi="仿宋" w:eastAsia="仿宋" w:cs="仿宋"/>
          <w:b/>
          <w:bCs/>
          <w:i w:val="0"/>
          <w:iCs w:val="0"/>
          <w:caps w:val="0"/>
          <w:color w:val="000000"/>
          <w:spacing w:val="0"/>
          <w:sz w:val="32"/>
          <w:szCs w:val="32"/>
          <w:shd w:val="clear" w:color="auto" w:fill="FFFFFF"/>
          <w:lang w:val="en-US" w:eastAsia="zh-CN"/>
        </w:rPr>
        <w:t>中央预算内资金方面，</w:t>
      </w:r>
      <w:r>
        <w:rPr>
          <w:rFonts w:hint="eastAsia" w:ascii="仿宋" w:hAnsi="仿宋" w:eastAsia="仿宋" w:cs="仿宋"/>
          <w:i w:val="0"/>
          <w:iCs w:val="0"/>
          <w:caps w:val="0"/>
          <w:color w:val="000000"/>
          <w:spacing w:val="0"/>
          <w:sz w:val="32"/>
          <w:szCs w:val="32"/>
          <w:shd w:val="clear" w:color="auto" w:fill="FFFFFF"/>
          <w:lang w:val="en-US" w:eastAsia="zh-CN"/>
        </w:rPr>
        <w:t>昌江区2024年城镇老旧小区改造项目争取到中央预算内资金800万，黑猫精细化工产业综合性数字赋能平台项目争取中央预算内资金2520万元。</w:t>
      </w:r>
      <w:r>
        <w:rPr>
          <w:rFonts w:hint="eastAsia" w:ascii="仿宋" w:hAnsi="仿宋" w:eastAsia="仿宋" w:cs="仿宋"/>
          <w:b/>
          <w:bCs/>
          <w:i w:val="0"/>
          <w:iCs w:val="0"/>
          <w:caps w:val="0"/>
          <w:color w:val="000000"/>
          <w:spacing w:val="0"/>
          <w:sz w:val="32"/>
          <w:szCs w:val="32"/>
          <w:shd w:val="clear" w:color="auto" w:fill="FFFFFF"/>
          <w:lang w:val="en-US" w:eastAsia="zh-CN"/>
        </w:rPr>
        <w:t>超长期特别国债方面，</w:t>
      </w:r>
      <w:r>
        <w:rPr>
          <w:rFonts w:hint="eastAsia" w:ascii="仿宋" w:hAnsi="仿宋" w:eastAsia="仿宋" w:cs="仿宋"/>
          <w:i w:val="0"/>
          <w:iCs w:val="0"/>
          <w:caps w:val="0"/>
          <w:color w:val="000000"/>
          <w:spacing w:val="0"/>
          <w:sz w:val="32"/>
          <w:szCs w:val="32"/>
          <w:shd w:val="clear" w:color="auto" w:fill="FFFFFF"/>
          <w:lang w:val="en-US" w:eastAsia="zh-CN"/>
        </w:rPr>
        <w:t>昌江区部分城中村排水防涝设施建设项目争取到位资金10000万元，富祥科技年产20万吨微生物蛋白及其资源综合利用项目一期工程争取到位资金3540万元，</w:t>
      </w:r>
      <w:r>
        <w:rPr>
          <w:rFonts w:hint="eastAsia" w:ascii="仿宋" w:hAnsi="仿宋" w:eastAsia="仿宋" w:cs="仿宋"/>
          <w:i w:val="0"/>
          <w:iCs w:val="0"/>
          <w:caps w:val="0"/>
          <w:color w:val="auto"/>
          <w:spacing w:val="0"/>
          <w:sz w:val="32"/>
          <w:szCs w:val="32"/>
          <w:shd w:val="clear" w:color="auto" w:fill="FFFFFF"/>
          <w:lang w:val="en-US" w:eastAsia="zh-CN"/>
        </w:rPr>
        <w:t>景焦能源焦化产线超低排放绿色利用设备更新改造项目争取超长期国债资金3000万元，黑猫股份节能降碳优化改造项目争取超长期国债资金3210万元；</w:t>
      </w:r>
      <w:r>
        <w:rPr>
          <w:rFonts w:hint="eastAsia" w:ascii="仿宋" w:hAnsi="仿宋" w:eastAsia="仿宋" w:cs="仿宋"/>
          <w:b/>
          <w:bCs/>
          <w:i w:val="0"/>
          <w:iCs w:val="0"/>
          <w:caps w:val="0"/>
          <w:color w:val="000000"/>
          <w:spacing w:val="0"/>
          <w:sz w:val="32"/>
          <w:szCs w:val="32"/>
          <w:shd w:val="clear" w:color="auto" w:fill="FFFFFF"/>
          <w:lang w:val="en-US" w:eastAsia="zh-CN"/>
        </w:rPr>
        <w:t>省基建资金方面，</w:t>
      </w:r>
      <w:r>
        <w:rPr>
          <w:rFonts w:hint="eastAsia" w:ascii="仿宋" w:hAnsi="仿宋" w:eastAsia="仿宋" w:cs="仿宋"/>
          <w:i w:val="0"/>
          <w:iCs w:val="0"/>
          <w:caps w:val="0"/>
          <w:color w:val="000000"/>
          <w:spacing w:val="0"/>
          <w:sz w:val="32"/>
          <w:szCs w:val="32"/>
          <w:shd w:val="clear" w:color="auto" w:fill="FFFFFF"/>
          <w:lang w:val="en-US" w:eastAsia="zh-CN"/>
        </w:rPr>
        <w:t>景德镇市昌江区丽阳片区污水资源化利用建设项目争取到位资金100万元，景德镇市昌江区丽阳镇种牛繁种基地建设工程争取到位资金95万元，景德镇市农产品线上配送平台项目争取到位资金120万元，昌江区数字经济发展中心信息化改造项目争取到位资金50万元，黑猫精细化工产业综合性数字赋能平台项目争取资金300万元，景德镇市昌江一中分校改扩建项目前期工作费项目争取资金50万元；</w:t>
      </w:r>
      <w:r>
        <w:rPr>
          <w:rFonts w:hint="eastAsia" w:ascii="仿宋" w:hAnsi="仿宋" w:eastAsia="仿宋" w:cs="仿宋"/>
          <w:b/>
          <w:bCs/>
          <w:i w:val="0"/>
          <w:iCs w:val="0"/>
          <w:caps w:val="0"/>
          <w:color w:val="000000"/>
          <w:spacing w:val="0"/>
          <w:sz w:val="32"/>
          <w:szCs w:val="32"/>
          <w:shd w:val="clear" w:color="auto" w:fill="FFFFFF"/>
          <w:lang w:val="en-US" w:eastAsia="zh-CN"/>
        </w:rPr>
        <w:t>专项债方面，</w:t>
      </w:r>
      <w:r>
        <w:rPr>
          <w:rFonts w:hint="eastAsia" w:ascii="仿宋" w:hAnsi="仿宋" w:eastAsia="仿宋" w:cs="仿宋"/>
          <w:b w:val="0"/>
          <w:bCs w:val="0"/>
          <w:i w:val="0"/>
          <w:iCs w:val="0"/>
          <w:caps w:val="0"/>
          <w:color w:val="000000"/>
          <w:spacing w:val="0"/>
          <w:sz w:val="32"/>
          <w:szCs w:val="32"/>
          <w:shd w:val="clear" w:color="auto" w:fill="FFFFFF"/>
          <w:lang w:val="en-US" w:eastAsia="zh-CN"/>
        </w:rPr>
        <w:t>景德镇市安正科技MINI显示屏PCB产业园项目争取专项债资金10000万元，昌江区鱼丽电子产业园及基础配套设施建设项目争取专项债资金5000万元。</w:t>
      </w:r>
    </w:p>
    <w:p w14:paraId="18C3A6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8" w:firstLineChars="200"/>
        <w:textAlignment w:val="auto"/>
        <w:rPr>
          <w:rFonts w:hint="eastAsia" w:ascii="楷体" w:hAnsi="楷体" w:eastAsia="楷体" w:cs="楷体"/>
          <w:b w:val="0"/>
          <w:bCs w:val="0"/>
          <w:w w:val="95"/>
          <w:sz w:val="32"/>
          <w:szCs w:val="32"/>
          <w:lang w:val="en-US" w:eastAsia="zh-CN"/>
        </w:rPr>
      </w:pPr>
      <w:r>
        <w:rPr>
          <w:rFonts w:hint="eastAsia" w:ascii="楷体" w:hAnsi="楷体" w:eastAsia="楷体" w:cs="楷体"/>
          <w:b w:val="0"/>
          <w:bCs w:val="0"/>
          <w:w w:val="95"/>
          <w:kern w:val="2"/>
          <w:sz w:val="32"/>
          <w:szCs w:val="32"/>
          <w:lang w:val="en-US" w:eastAsia="zh-CN" w:bidi="ar-SA"/>
        </w:rPr>
        <w:t>（六）</w:t>
      </w:r>
      <w:r>
        <w:rPr>
          <w:rFonts w:hint="eastAsia" w:ascii="楷体" w:hAnsi="楷体" w:eastAsia="楷体" w:cs="楷体"/>
          <w:b w:val="0"/>
          <w:bCs w:val="0"/>
          <w:w w:val="95"/>
          <w:sz w:val="32"/>
          <w:szCs w:val="32"/>
        </w:rPr>
        <w:t>营商环境</w:t>
      </w:r>
      <w:r>
        <w:rPr>
          <w:rFonts w:hint="eastAsia" w:ascii="楷体" w:hAnsi="楷体" w:eastAsia="楷体" w:cs="楷体"/>
          <w:b w:val="0"/>
          <w:bCs w:val="0"/>
          <w:w w:val="95"/>
          <w:sz w:val="32"/>
          <w:szCs w:val="32"/>
          <w:lang w:val="en-US" w:eastAsia="zh-CN"/>
        </w:rPr>
        <w:t>迭代优化</w:t>
      </w:r>
    </w:p>
    <w:p w14:paraId="35DDC7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sz w:val="32"/>
          <w:szCs w:val="32"/>
          <w:lang w:val="en-US" w:eastAsia="zh-CN"/>
        </w:rPr>
        <w:t>对标优秀案例，围绕我区创新典型，集中力量打造1-2个创新品牌，目前我区已推送区法院《昌江法院做好“三化”文章，打造瓷都金融司法新高地》创新案例和昌江区《强化企业“引育留”，引领民营经济展新篇》创新案例。</w:t>
      </w:r>
      <w:r>
        <w:rPr>
          <w:rFonts w:hint="eastAsia" w:ascii="仿宋" w:hAnsi="仿宋" w:eastAsia="仿宋" w:cs="仿宋"/>
          <w:sz w:val="32"/>
          <w:szCs w:val="32"/>
        </w:rPr>
        <w:t>全面落实行政许可和行政处罚信用信息“双公示”，在 7个工作日内通过“信用景德镇”向社会公示，确保信息公示全覆盖、无遗漏。1-11月昌江区累计报送“双公示”信息1345条，其中行政许可信息1307条、行政处罚信息38条；合规率达到100%。在第一季度和第二季度的全市行政许可和行政处罚信用信息公开工作评估结果分数均为100分。</w:t>
      </w:r>
    </w:p>
    <w:p w14:paraId="60E20DF4">
      <w:pPr>
        <w:keepNext w:val="0"/>
        <w:keepLines w:val="0"/>
        <w:pageBreakBefore w:val="0"/>
        <w:kinsoku/>
        <w:wordWrap/>
        <w:overflowPunct/>
        <w:topLinePunct w:val="0"/>
        <w:autoSpaceDE/>
        <w:bidi w:val="0"/>
        <w:spacing w:line="60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七</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数字经济</w:t>
      </w:r>
      <w:r>
        <w:rPr>
          <w:rFonts w:hint="eastAsia" w:ascii="楷体" w:hAnsi="楷体" w:eastAsia="楷体" w:cs="楷体"/>
          <w:b w:val="0"/>
          <w:bCs w:val="0"/>
          <w:sz w:val="32"/>
          <w:szCs w:val="32"/>
          <w:lang w:val="en-US" w:eastAsia="zh-CN"/>
        </w:rPr>
        <w:t>蓬勃发展</w:t>
      </w:r>
    </w:p>
    <w:p w14:paraId="549271E7">
      <w:pPr>
        <w:pStyle w:val="4"/>
        <w:keepNext w:val="0"/>
        <w:keepLines w:val="0"/>
        <w:pageBreakBefore w:val="0"/>
        <w:widowControl/>
        <w:numPr>
          <w:ilvl w:val="0"/>
          <w:numId w:val="0"/>
        </w:numPr>
        <w:kinsoku/>
        <w:wordWrap/>
        <w:overflowPunct/>
        <w:topLinePunct/>
        <w:autoSpaceDE w:val="0"/>
        <w:autoSpaceDN/>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强化数字赋能，</w:t>
      </w:r>
      <w:r>
        <w:rPr>
          <w:rFonts w:hint="eastAsia" w:ascii="仿宋" w:hAnsi="仿宋" w:eastAsia="仿宋" w:cs="仿宋"/>
          <w:i w:val="0"/>
          <w:iCs w:val="0"/>
          <w:caps w:val="0"/>
          <w:color w:val="333333"/>
          <w:spacing w:val="0"/>
          <w:sz w:val="32"/>
          <w:szCs w:val="32"/>
          <w:shd w:val="clear" w:color="auto" w:fill="FFFFFF"/>
        </w:rPr>
        <w:t>指导3大运营商有序开展“万企上云上平台”专项活动，针对不同企业精准推送不同企业上云产品，引导企业“深度上云”。</w:t>
      </w:r>
      <w:r>
        <w:rPr>
          <w:rFonts w:hint="eastAsia" w:ascii="仿宋" w:hAnsi="仿宋" w:eastAsia="仿宋" w:cs="仿宋"/>
          <w:color w:val="auto"/>
          <w:spacing w:val="0"/>
          <w:position w:val="0"/>
          <w:sz w:val="32"/>
          <w:shd w:val="clear" w:color="auto" w:fill="auto"/>
        </w:rPr>
        <w:t>昌江区上云企业数</w:t>
      </w:r>
      <w:r>
        <w:rPr>
          <w:rFonts w:hint="eastAsia" w:ascii="仿宋" w:hAnsi="仿宋" w:eastAsia="仿宋" w:cs="仿宋"/>
          <w:color w:val="auto"/>
          <w:spacing w:val="0"/>
          <w:position w:val="0"/>
          <w:sz w:val="32"/>
          <w:shd w:val="clear" w:color="auto" w:fill="auto"/>
          <w:lang w:val="en-US" w:eastAsia="zh-CN"/>
        </w:rPr>
        <w:t>1132</w:t>
      </w:r>
      <w:r>
        <w:rPr>
          <w:rFonts w:hint="eastAsia" w:ascii="仿宋" w:hAnsi="仿宋" w:eastAsia="仿宋" w:cs="仿宋"/>
          <w:color w:val="auto"/>
          <w:spacing w:val="0"/>
          <w:position w:val="0"/>
          <w:sz w:val="32"/>
          <w:shd w:val="clear" w:color="auto" w:fill="auto"/>
        </w:rPr>
        <w:t>家；昌江区软件企业营收总计</w:t>
      </w:r>
      <w:r>
        <w:rPr>
          <w:rFonts w:hint="eastAsia" w:ascii="仿宋" w:hAnsi="仿宋" w:eastAsia="仿宋" w:cs="仿宋"/>
          <w:color w:val="auto"/>
          <w:spacing w:val="0"/>
          <w:position w:val="0"/>
          <w:sz w:val="32"/>
          <w:shd w:val="clear" w:color="auto" w:fill="auto"/>
          <w:lang w:val="en-US" w:eastAsia="zh-CN"/>
        </w:rPr>
        <w:t>1.55亿</w:t>
      </w:r>
      <w:r>
        <w:rPr>
          <w:rFonts w:hint="eastAsia" w:ascii="仿宋" w:hAnsi="仿宋" w:eastAsia="仿宋" w:cs="仿宋"/>
          <w:color w:val="auto"/>
          <w:spacing w:val="0"/>
          <w:position w:val="0"/>
          <w:sz w:val="32"/>
          <w:shd w:val="clear" w:color="auto" w:fill="auto"/>
        </w:rPr>
        <w:t>元。</w:t>
      </w:r>
      <w:r>
        <w:rPr>
          <w:rFonts w:hint="eastAsia" w:ascii="仿宋" w:hAnsi="仿宋" w:eastAsia="仿宋" w:cs="仿宋"/>
          <w:color w:val="auto"/>
          <w:spacing w:val="0"/>
          <w:position w:val="0"/>
          <w:sz w:val="32"/>
          <w:shd w:val="clear" w:color="auto" w:fill="auto"/>
          <w:lang w:val="en-US" w:eastAsia="zh-CN"/>
        </w:rPr>
        <w:t>开展了2024年黑猫集团工业互联网平台（省级培育工业互联网平台）动态评价工作。今年以来党政主要领导带队开展“双招双引”活动20余场。走访对接企业50余家，接待重要客商20余批次。截至目前，新签约7个项目，总投资23.2亿元。</w:t>
      </w:r>
    </w:p>
    <w:p w14:paraId="4D043428">
      <w:pPr>
        <w:pStyle w:val="11"/>
        <w:keepNext w:val="0"/>
        <w:keepLines w:val="0"/>
        <w:pageBreakBefore w:val="0"/>
        <w:numPr>
          <w:ilvl w:val="0"/>
          <w:numId w:val="0"/>
        </w:numPr>
        <w:kinsoku/>
        <w:wordWrap/>
        <w:overflowPunct/>
        <w:topLinePunct w:val="0"/>
        <w:autoSpaceDE/>
        <w:bidi w:val="0"/>
        <w:spacing w:line="600" w:lineRule="exact"/>
        <w:ind w:left="0" w:leftChars="0" w:firstLine="640" w:firstLineChars="200"/>
        <w:textAlignment w:val="auto"/>
        <w:rPr>
          <w:rFonts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lang w:val="en-US" w:eastAsia="zh-CN"/>
        </w:rPr>
        <w:t>八</w:t>
      </w:r>
      <w:r>
        <w:rPr>
          <w:rFonts w:hint="eastAsia" w:ascii="楷体" w:hAnsi="楷体" w:eastAsia="楷体" w:cs="楷体"/>
          <w:i w:val="0"/>
          <w:iCs w:val="0"/>
          <w:caps w:val="0"/>
          <w:color w:val="333333"/>
          <w:spacing w:val="0"/>
          <w:sz w:val="32"/>
          <w:szCs w:val="32"/>
          <w:shd w:val="clear" w:fill="FFFFFF"/>
          <w:lang w:eastAsia="zh-CN"/>
        </w:rPr>
        <w:t>）</w:t>
      </w:r>
      <w:r>
        <w:rPr>
          <w:rFonts w:ascii="楷体" w:hAnsi="楷体" w:eastAsia="楷体" w:cs="楷体"/>
          <w:i w:val="0"/>
          <w:iCs w:val="0"/>
          <w:caps w:val="0"/>
          <w:color w:val="333333"/>
          <w:spacing w:val="0"/>
          <w:sz w:val="32"/>
          <w:szCs w:val="32"/>
          <w:shd w:val="clear" w:fill="FFFFFF"/>
        </w:rPr>
        <w:t>全面提升国防动员工作质效</w:t>
      </w:r>
    </w:p>
    <w:p w14:paraId="0E28941D">
      <w:pPr>
        <w:pStyle w:val="11"/>
        <w:keepNext w:val="0"/>
        <w:keepLines w:val="0"/>
        <w:pageBreakBefore w:val="0"/>
        <w:numPr>
          <w:ilvl w:val="0"/>
          <w:numId w:val="0"/>
        </w:numPr>
        <w:kinsoku/>
        <w:wordWrap/>
        <w:overflowPunct/>
        <w:topLinePunct w:val="0"/>
        <w:autoSpaceDE/>
        <w:bidi w:val="0"/>
        <w:spacing w:line="600" w:lineRule="exact"/>
        <w:ind w:left="0" w:leftChars="0"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一是积极开展消防隐患排查工作。</w:t>
      </w:r>
      <w:r>
        <w:rPr>
          <w:rFonts w:hint="eastAsia" w:ascii="仿宋" w:hAnsi="仿宋" w:eastAsia="仿宋" w:cs="仿宋"/>
          <w:b w:val="0"/>
          <w:bCs w:val="0"/>
          <w:sz w:val="32"/>
          <w:szCs w:val="32"/>
        </w:rPr>
        <w:t>2024年2月对马鞍山路99号人防洞口管理房租户以及辖区内人防工程进行安全检查，提高从业人员安全意识和应急处置能力。</w:t>
      </w:r>
      <w:r>
        <w:rPr>
          <w:rFonts w:hint="eastAsia" w:ascii="仿宋" w:hAnsi="仿宋" w:eastAsia="仿宋" w:cs="仿宋"/>
          <w:b/>
          <w:bCs/>
          <w:sz w:val="32"/>
          <w:szCs w:val="32"/>
        </w:rPr>
        <w:t>二是积极开展国防知识宣传活动。</w:t>
      </w:r>
      <w:r>
        <w:rPr>
          <w:rFonts w:hint="eastAsia" w:ascii="仿宋" w:hAnsi="仿宋" w:eastAsia="仿宋" w:cs="仿宋"/>
          <w:b w:val="0"/>
          <w:bCs w:val="0"/>
          <w:sz w:val="32"/>
          <w:szCs w:val="32"/>
        </w:rPr>
        <w:t>3月1日在市第十一小学与市国动办联合组织开展“牢固树立国防观念，自觉维护国家安全”为主题的国防动员知识进校园活动。6月11日组织蓝天救援队走进昌江一中开展“国防知识进校园、珍爱生命防溺水”宣传教育活动。共计发放宣传手册1000余份，增强群众的防灾减灾意识，提高自身应急防护能力。建设国防主题公园，增强</w:t>
      </w:r>
      <w:r>
        <w:rPr>
          <w:rFonts w:hint="eastAsia" w:ascii="仿宋" w:hAnsi="仿宋" w:eastAsia="仿宋" w:cs="仿宋"/>
          <w:b w:val="0"/>
          <w:bCs w:val="0"/>
          <w:sz w:val="32"/>
          <w:szCs w:val="32"/>
          <w:lang w:eastAsia="zh-CN"/>
        </w:rPr>
        <w:t>市民</w:t>
      </w:r>
      <w:bookmarkStart w:id="0" w:name="_GoBack"/>
      <w:bookmarkEnd w:id="0"/>
      <w:r>
        <w:rPr>
          <w:rFonts w:hint="eastAsia" w:ascii="仿宋" w:hAnsi="仿宋" w:eastAsia="仿宋" w:cs="仿宋"/>
          <w:b w:val="0"/>
          <w:bCs w:val="0"/>
          <w:sz w:val="32"/>
          <w:szCs w:val="32"/>
        </w:rPr>
        <w:t>爱国情怀与国防意识。我区国防宣传稿件多次被省国动办网站、微信公众号转载。</w:t>
      </w:r>
      <w:r>
        <w:rPr>
          <w:rFonts w:hint="eastAsia" w:ascii="仿宋" w:hAnsi="仿宋" w:eastAsia="仿宋" w:cs="仿宋"/>
          <w:b/>
          <w:bCs/>
          <w:sz w:val="32"/>
          <w:szCs w:val="32"/>
        </w:rPr>
        <w:t>三是积极提升我区国防动员能力。</w:t>
      </w:r>
      <w:r>
        <w:rPr>
          <w:rFonts w:hint="eastAsia" w:ascii="仿宋" w:hAnsi="仿宋" w:eastAsia="仿宋" w:cs="仿宋"/>
          <w:b w:val="0"/>
          <w:bCs w:val="0"/>
          <w:sz w:val="32"/>
          <w:szCs w:val="32"/>
        </w:rPr>
        <w:t>配合市交通运输局做好景德镇市交通抢险专业队伍、景德镇区域内公路机动保障点预设与演练工作。并于10月在景德镇服务区配合市交通局完成一次过境部队保障工作。</w:t>
      </w:r>
      <w:r>
        <w:rPr>
          <w:rFonts w:hint="eastAsia" w:ascii="仿宋" w:hAnsi="仿宋" w:eastAsia="仿宋" w:cs="仿宋"/>
          <w:b/>
          <w:bCs/>
          <w:sz w:val="32"/>
          <w:szCs w:val="32"/>
        </w:rPr>
        <w:t>四是做好军事设施保护工作</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积极与区人武部进行对接，对我区内军事设施进行摸底排查，确保军事设施安全。</w:t>
      </w:r>
    </w:p>
    <w:p w14:paraId="3432EF44">
      <w:pPr>
        <w:pStyle w:val="11"/>
        <w:keepNext w:val="0"/>
        <w:keepLines w:val="0"/>
        <w:pageBreakBefore w:val="0"/>
        <w:numPr>
          <w:ilvl w:val="0"/>
          <w:numId w:val="0"/>
        </w:numPr>
        <w:kinsoku/>
        <w:wordWrap/>
        <w:overflowPunct/>
        <w:topLinePunct w:val="0"/>
        <w:autoSpaceDE/>
        <w:bidi w:val="0"/>
        <w:spacing w:line="600" w:lineRule="exact"/>
        <w:ind w:left="0" w:lef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kern w:val="2"/>
          <w:sz w:val="32"/>
          <w:szCs w:val="32"/>
          <w:lang w:val="en-US" w:eastAsia="zh-CN" w:bidi="ar-SA"/>
        </w:rPr>
        <w:t>（九）</w:t>
      </w:r>
      <w:r>
        <w:rPr>
          <w:rFonts w:hint="eastAsia" w:ascii="楷体" w:hAnsi="楷体" w:eastAsia="楷体" w:cs="楷体"/>
          <w:b w:val="0"/>
          <w:bCs w:val="0"/>
          <w:sz w:val="32"/>
          <w:szCs w:val="32"/>
          <w:lang w:val="en-US" w:eastAsia="zh-CN"/>
        </w:rPr>
        <w:t>生态文明成效明显</w:t>
      </w:r>
    </w:p>
    <w:p w14:paraId="232D45CA">
      <w:pPr>
        <w:pStyle w:val="11"/>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组织召开了年度区生态文明建设领导小组、推进长江经济带发展领导小组大会，印发了《景德镇市昌江区国家生态文明试验区工作要点》，组织开展全国生态日、全国生态文明宣传月、全国节能宣传周等活动，进行宣讲、发放宣传册、宣传海报。积极谋划生态文明项目，其中景德镇市昌江区丽阳片区污水资源化利用建设项目争取到省基建资金100万元。坚持和完善能耗双控制度。强化能耗强度约束，全面完成“十四五”能耗双控考核，完善节能审查程序，开展全区重点用能单位节能形势分析，已完成5家重点用能单位建成能耗在线监测系统，景德镇电厂、富祥药业、焦化、黑猫会同省计量院填报能耗一档案三清单。</w:t>
      </w:r>
    </w:p>
    <w:p w14:paraId="1E54F5C4">
      <w:pPr>
        <w:keepNext w:val="0"/>
        <w:keepLines w:val="0"/>
        <w:pageBreakBefore w:val="0"/>
        <w:kinsoku/>
        <w:wordWrap/>
        <w:overflowPunct/>
        <w:topLinePunct w:val="0"/>
        <w:autoSpaceDE/>
        <w:bidi w:val="0"/>
        <w:adjustRightInd w:val="0"/>
        <w:snapToGrid w:val="0"/>
        <w:spacing w:line="600" w:lineRule="exact"/>
        <w:ind w:firstLine="692"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pacing w:val="13"/>
          <w:sz w:val="32"/>
          <w:szCs w:val="32"/>
        </w:rPr>
        <w:t>同时，我们还积极做好了</w:t>
      </w:r>
      <w:r>
        <w:rPr>
          <w:rFonts w:hint="eastAsia" w:ascii="仿宋" w:hAnsi="仿宋" w:eastAsia="仿宋" w:cs="仿宋"/>
          <w:b w:val="0"/>
          <w:bCs w:val="0"/>
          <w:sz w:val="32"/>
          <w:szCs w:val="32"/>
          <w:lang w:val="zh-CN"/>
        </w:rPr>
        <w:t>区委财经委员会、</w:t>
      </w:r>
      <w:r>
        <w:rPr>
          <w:rFonts w:hint="eastAsia" w:ascii="仿宋" w:hAnsi="仿宋" w:eastAsia="仿宋" w:cs="仿宋"/>
          <w:b w:val="0"/>
          <w:bCs w:val="0"/>
          <w:sz w:val="32"/>
          <w:szCs w:val="32"/>
        </w:rPr>
        <w:t>经济体制改革、“六保”“六稳”、安全生产、双碳、铁办、价格认定监测和粮食领域</w:t>
      </w:r>
      <w:r>
        <w:rPr>
          <w:rFonts w:hint="eastAsia" w:ascii="仿宋" w:hAnsi="仿宋" w:eastAsia="仿宋" w:cs="仿宋"/>
          <w:b w:val="0"/>
          <w:bCs w:val="0"/>
          <w:sz w:val="32"/>
          <w:szCs w:val="32"/>
          <w:lang w:val="zh-CN"/>
        </w:rPr>
        <w:t>等日</w:t>
      </w:r>
      <w:r>
        <w:rPr>
          <w:rFonts w:hint="eastAsia" w:ascii="仿宋" w:hAnsi="仿宋" w:eastAsia="仿宋" w:cs="仿宋"/>
          <w:b w:val="0"/>
          <w:bCs w:val="0"/>
          <w:spacing w:val="13"/>
          <w:sz w:val="32"/>
          <w:szCs w:val="32"/>
          <w:lang w:val="zh-CN"/>
        </w:rPr>
        <w:t>常工作</w:t>
      </w:r>
      <w:r>
        <w:rPr>
          <w:rFonts w:hint="eastAsia" w:ascii="仿宋" w:hAnsi="仿宋" w:eastAsia="仿宋" w:cs="仿宋"/>
          <w:b w:val="0"/>
          <w:bCs w:val="0"/>
          <w:spacing w:val="13"/>
          <w:sz w:val="32"/>
          <w:szCs w:val="32"/>
        </w:rPr>
        <w:t>，</w:t>
      </w:r>
      <w:r>
        <w:rPr>
          <w:rFonts w:hint="eastAsia" w:ascii="仿宋" w:hAnsi="仿宋" w:eastAsia="仿宋" w:cs="仿宋"/>
          <w:b w:val="0"/>
          <w:bCs w:val="0"/>
          <w:sz w:val="32"/>
          <w:szCs w:val="32"/>
        </w:rPr>
        <w:t>认真抓好了“双拥”、政务信息公开等工作，积极完成三全暖企、人大</w:t>
      </w:r>
      <w:r>
        <w:rPr>
          <w:rFonts w:hint="eastAsia" w:ascii="仿宋" w:hAnsi="仿宋" w:eastAsia="仿宋" w:cs="仿宋"/>
          <w:b w:val="0"/>
          <w:bCs w:val="0"/>
          <w:sz w:val="32"/>
          <w:szCs w:val="32"/>
          <w:lang w:val="en-US" w:eastAsia="zh-CN"/>
        </w:rPr>
        <w:t>议案和</w:t>
      </w:r>
      <w:r>
        <w:rPr>
          <w:rFonts w:hint="eastAsia" w:ascii="仿宋" w:hAnsi="仿宋" w:eastAsia="仿宋" w:cs="仿宋"/>
          <w:b w:val="0"/>
          <w:bCs w:val="0"/>
          <w:sz w:val="32"/>
          <w:szCs w:val="32"/>
        </w:rPr>
        <w:t>政协提案答复等区委、区政府交办的其他中心工作。</w:t>
      </w:r>
    </w:p>
    <w:p w14:paraId="69BB8BA2">
      <w:pPr>
        <w:keepNext w:val="0"/>
        <w:keepLines w:val="0"/>
        <w:pageBreakBefore w:val="0"/>
        <w:kinsoku/>
        <w:wordWrap/>
        <w:overflowPunct/>
        <w:topLinePunct w:val="0"/>
        <w:autoSpaceDE/>
        <w:bidi w:val="0"/>
        <w:spacing w:line="60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、存在的问题及困难</w:t>
      </w:r>
    </w:p>
    <w:p w14:paraId="70C1B1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2024年在全委干部职工的不懈努力下，我委取得了一些成绩，但也存在一些不足。主要表现在：</w:t>
      </w:r>
      <w:r>
        <w:rPr>
          <w:rFonts w:hint="eastAsia" w:ascii="仿宋" w:hAnsi="仿宋" w:eastAsia="仿宋" w:cs="仿宋"/>
          <w:b/>
          <w:bCs/>
          <w:sz w:val="32"/>
          <w:szCs w:val="32"/>
        </w:rPr>
        <w:t>一是</w:t>
      </w:r>
      <w:r>
        <w:rPr>
          <w:rFonts w:hint="eastAsia" w:ascii="仿宋" w:hAnsi="仿宋" w:eastAsia="仿宋"/>
          <w:sz w:val="32"/>
          <w:szCs w:val="32"/>
        </w:rPr>
        <w:t>服务业营收增速低于全市平均水平，今年来，移动、电信和联通三大运营商和邮政、京环、太阳升等行业龙头企业表现低迷</w:t>
      </w:r>
      <w:r>
        <w:rPr>
          <w:rFonts w:hint="eastAsia" w:ascii="仿宋" w:hAnsi="仿宋" w:eastAsia="仿宋"/>
          <w:sz w:val="32"/>
          <w:szCs w:val="32"/>
          <w:lang w:eastAsia="zh-CN"/>
        </w:rPr>
        <w:t>。</w:t>
      </w:r>
      <w:r>
        <w:rPr>
          <w:rFonts w:hint="eastAsia" w:ascii="仿宋" w:hAnsi="仿宋" w:eastAsia="仿宋"/>
          <w:sz w:val="32"/>
          <w:szCs w:val="32"/>
        </w:rPr>
        <w:t>10月份经调度，8家亿元以上企业营收占比达77%，增速仅1.1%。同时，新入库企业规模较小，不具带动力</w:t>
      </w:r>
      <w:r>
        <w:rPr>
          <w:rFonts w:hint="eastAsia" w:ascii="仿宋" w:hAnsi="仿宋" w:eastAsia="仿宋"/>
          <w:sz w:val="32"/>
          <w:szCs w:val="32"/>
          <w:lang w:eastAsia="zh-CN"/>
        </w:rPr>
        <w:t>；</w:t>
      </w:r>
      <w:r>
        <w:rPr>
          <w:rFonts w:hint="eastAsia" w:ascii="仿宋" w:hAnsi="仿宋" w:eastAsia="仿宋" w:cs="仿宋"/>
          <w:b/>
          <w:bCs/>
          <w:sz w:val="32"/>
          <w:szCs w:val="32"/>
        </w:rPr>
        <w:t>二是</w:t>
      </w:r>
      <w:r>
        <w:rPr>
          <w:rFonts w:hint="eastAsia" w:ascii="仿宋" w:hAnsi="仿宋" w:eastAsia="仿宋"/>
          <w:sz w:val="32"/>
          <w:szCs w:val="32"/>
        </w:rPr>
        <w:t>据摸排，云财科技拟注销，注销后明年服务业背负的基数达1.1亿。按当前数据分析，将拉低全口径增速3个百分点，</w:t>
      </w:r>
      <w:r>
        <w:rPr>
          <w:rFonts w:hint="eastAsia" w:ascii="仿宋" w:hAnsi="仿宋" w:eastAsia="仿宋"/>
          <w:sz w:val="32"/>
          <w:szCs w:val="32"/>
          <w:lang w:val="en-US" w:eastAsia="zh-CN"/>
        </w:rPr>
        <w:t>拉低</w:t>
      </w:r>
      <w:r>
        <w:rPr>
          <w:rFonts w:hint="eastAsia" w:ascii="仿宋" w:hAnsi="仿宋" w:eastAsia="仿宋"/>
          <w:sz w:val="32"/>
          <w:szCs w:val="32"/>
        </w:rPr>
        <w:t>小口径加权增速</w:t>
      </w:r>
      <w:r>
        <w:rPr>
          <w:rFonts w:hint="eastAsia" w:ascii="仿宋" w:hAnsi="仿宋" w:eastAsia="仿宋"/>
          <w:sz w:val="32"/>
          <w:szCs w:val="32"/>
          <w:lang w:val="en-US" w:eastAsia="zh-CN"/>
        </w:rPr>
        <w:t>超</w:t>
      </w:r>
      <w:r>
        <w:rPr>
          <w:rFonts w:hint="eastAsia" w:ascii="仿宋" w:hAnsi="仿宋" w:eastAsia="仿宋"/>
          <w:sz w:val="32"/>
          <w:szCs w:val="32"/>
        </w:rPr>
        <w:t>10个百分点。</w:t>
      </w:r>
    </w:p>
    <w:p w14:paraId="692F8C3A">
      <w:pPr>
        <w:keepNext w:val="0"/>
        <w:keepLines w:val="0"/>
        <w:pageBreakBefore w:val="0"/>
        <w:kinsoku/>
        <w:wordWrap/>
        <w:overflowPunct/>
        <w:topLinePunct w:val="0"/>
        <w:autoSpaceDE/>
        <w:bidi w:val="0"/>
        <w:spacing w:line="600" w:lineRule="exact"/>
        <w:ind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2025年工作思路</w:t>
      </w:r>
    </w:p>
    <w:p w14:paraId="3AE9AA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szCs w:val="32"/>
        </w:rPr>
      </w:pPr>
      <w:r>
        <w:rPr>
          <w:rFonts w:hint="eastAsia" w:ascii="楷体" w:hAnsi="楷体" w:eastAsia="楷体" w:cs="楷体"/>
          <w:b w:val="0"/>
          <w:bCs/>
          <w:sz w:val="32"/>
          <w:szCs w:val="32"/>
          <w:lang w:val="en-US" w:eastAsia="zh-CN"/>
        </w:rPr>
        <w:t>一是加强上级政策研究分析。</w:t>
      </w:r>
      <w:r>
        <w:rPr>
          <w:rFonts w:hint="eastAsia" w:ascii="仿宋" w:hAnsi="仿宋" w:eastAsia="仿宋"/>
          <w:sz w:val="32"/>
          <w:szCs w:val="32"/>
        </w:rPr>
        <w:t>深入研究上级政策，准确把握资金动态，密切关注国家政策调整动向，瞄准国家为拉动经济发展出台的相关政策和产业投资方向，找准与全区的对接点，集中力量谋划和选择项目。同时，强化项目编制，按照“多选精选”的原则，精心谋划一批战略性、前瞻性、引导性、务实性的项目，并积极做好前期准备工作，不断提高项目储备质量。</w:t>
      </w:r>
    </w:p>
    <w:p w14:paraId="3295C7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rPr>
        <w:t>是分类施策推进项目建设。</w:t>
      </w:r>
      <w:r>
        <w:rPr>
          <w:rFonts w:hint="eastAsia" w:ascii="仿宋" w:hAnsi="仿宋" w:eastAsia="仿宋"/>
          <w:sz w:val="32"/>
          <w:szCs w:val="32"/>
        </w:rPr>
        <w:t>牢固树立“抓项目就是抓发展”意识，完善并落实区委</w:t>
      </w:r>
      <w:r>
        <w:rPr>
          <w:rFonts w:hint="eastAsia" w:ascii="仿宋" w:hAnsi="仿宋" w:eastAsia="仿宋"/>
          <w:sz w:val="32"/>
          <w:szCs w:val="32"/>
          <w:lang w:eastAsia="zh-CN"/>
        </w:rPr>
        <w:t>、</w:t>
      </w:r>
      <w:r>
        <w:rPr>
          <w:rFonts w:hint="eastAsia" w:ascii="仿宋" w:hAnsi="仿宋" w:eastAsia="仿宋"/>
          <w:sz w:val="32"/>
          <w:szCs w:val="32"/>
        </w:rPr>
        <w:t>区政府项目建设协调机制，坚持全区调度和专题调度相结合。大力推进区重点项目的建设进度，进一步压实项目建设单位主体责任，严格倒排工期，严把施工计划推进工程，全力确保实现年度建设目标。</w:t>
      </w:r>
      <w:r>
        <w:rPr>
          <w:rFonts w:hint="eastAsia" w:ascii="仿宋" w:hAnsi="仿宋" w:eastAsia="仿宋" w:cs="仿宋"/>
          <w:sz w:val="32"/>
          <w:szCs w:val="32"/>
        </w:rPr>
        <w:t xml:space="preserve">  </w:t>
      </w:r>
    </w:p>
    <w:p w14:paraId="74E6786B">
      <w:pPr>
        <w:keepNext w:val="0"/>
        <w:keepLines w:val="0"/>
        <w:pageBreakBefore w:val="0"/>
        <w:widowControl/>
        <w:numPr>
          <w:ilvl w:val="0"/>
          <w:numId w:val="0"/>
        </w:numPr>
        <w:suppressLineNumbers w:val="0"/>
        <w:pBdr>
          <w:left w:val="none" w:color="auto" w:sz="0" w:space="0"/>
        </w:pBdr>
        <w:tabs>
          <w:tab w:val="left" w:pos="1440"/>
        </w:tabs>
        <w:kinsoku/>
        <w:wordWrap/>
        <w:overflowPunct/>
        <w:bidi w:val="0"/>
        <w:spacing w:before="0" w:beforeAutospacing="0" w:after="0" w:afterAutospacing="0" w:line="600" w:lineRule="exact"/>
        <w:ind w:left="0" w:firstLine="640" w:firstLineChars="200"/>
        <w:rPr>
          <w:rFonts w:hint="eastAsia" w:ascii="仿宋" w:hAnsi="仿宋" w:eastAsia="仿宋" w:cs="仿宋"/>
          <w:sz w:val="32"/>
          <w:szCs w:val="32"/>
        </w:rPr>
      </w:pPr>
      <w:r>
        <w:rPr>
          <w:rFonts w:hint="eastAsia" w:ascii="楷体" w:hAnsi="楷体" w:eastAsia="楷体" w:cs="楷体"/>
          <w:color w:val="333333"/>
          <w:sz w:val="32"/>
          <w:szCs w:val="32"/>
          <w:shd w:val="clear" w:color="auto" w:fill="FFFFFF"/>
          <w:lang w:val="en-US" w:eastAsia="zh-CN"/>
        </w:rPr>
        <w:t>三是编制昌江区“十五五”规划</w:t>
      </w:r>
      <w:r>
        <w:rPr>
          <w:rFonts w:hint="eastAsia" w:ascii="楷体" w:hAnsi="楷体" w:eastAsia="楷体" w:cs="楷体"/>
          <w:color w:val="333333"/>
          <w:sz w:val="32"/>
          <w:szCs w:val="32"/>
          <w:shd w:val="clear" w:color="auto" w:fill="FFFFFF"/>
        </w:rPr>
        <w:t>。</w:t>
      </w:r>
      <w:r>
        <w:rPr>
          <w:rFonts w:hint="eastAsia" w:ascii="仿宋" w:hAnsi="仿宋" w:eastAsia="仿宋" w:cs="仿宋"/>
          <w:sz w:val="32"/>
          <w:szCs w:val="32"/>
        </w:rPr>
        <w:t>根据国家和省市的发展战略，结合昌江区的实际情况和发展潜力，确定昌江区 “十五五” 期间的总体发展目标，包括经济增长、产业升级、民生改善、生态保护等方面的具体目标。明确昌江区在区域发展中的定位，如产业特色、功能定位、竞争优势等，为昌江区的差异化发展提供方向。</w:t>
      </w:r>
    </w:p>
    <w:p w14:paraId="123F5094">
      <w:pPr>
        <w:keepNext w:val="0"/>
        <w:keepLines w:val="0"/>
        <w:pageBreakBefore w:val="0"/>
        <w:kinsoku/>
        <w:wordWrap/>
        <w:overflowPunct/>
        <w:topLinePunct w:val="0"/>
        <w:autoSpaceDE/>
        <w:bidi w:val="0"/>
        <w:spacing w:line="600" w:lineRule="exact"/>
        <w:ind w:firstLine="640" w:firstLineChars="200"/>
        <w:textAlignment w:val="auto"/>
        <w:rPr>
          <w:rFonts w:ascii="仿宋" w:hAnsi="仿宋" w:eastAsia="仿宋" w:cs="仿宋"/>
          <w:sz w:val="32"/>
          <w:szCs w:val="32"/>
        </w:rPr>
      </w:pPr>
      <w:r>
        <w:rPr>
          <w:rFonts w:hint="eastAsia" w:ascii="楷体" w:hAnsi="楷体" w:eastAsia="楷体" w:cs="楷体"/>
          <w:sz w:val="32"/>
          <w:szCs w:val="32"/>
          <w:lang w:val="en-US" w:eastAsia="zh-CN"/>
        </w:rPr>
        <w:t>四是</w:t>
      </w:r>
      <w:r>
        <w:rPr>
          <w:rFonts w:hint="eastAsia" w:ascii="楷体" w:hAnsi="楷体" w:eastAsia="楷体" w:cs="楷体"/>
          <w:color w:val="333333"/>
          <w:sz w:val="32"/>
          <w:szCs w:val="32"/>
          <w:shd w:val="clear" w:color="auto" w:fill="FFFFFF"/>
        </w:rPr>
        <w:t>加快构建现代产业体系。</w:t>
      </w:r>
      <w:r>
        <w:rPr>
          <w:rFonts w:hint="eastAsia" w:ascii="仿宋" w:hAnsi="仿宋" w:eastAsia="仿宋" w:cs="仿宋"/>
          <w:sz w:val="32"/>
          <w:szCs w:val="32"/>
        </w:rPr>
        <w:t>培育新质生产力、抓项目、兴产业，做优做强数字经济，持续推进产业转型，加快推动LED照明、终端消费电子等产业发展。聚焦科技创新、技术改造、绿色低碳等国家和省、市投资导向，积极争取专项债、一般债、政策性金融工具和中央预算内投资等上级政策资金支持。</w:t>
      </w:r>
    </w:p>
    <w:p w14:paraId="1C012DF6">
      <w:pPr>
        <w:keepNext w:val="0"/>
        <w:keepLines w:val="0"/>
        <w:pageBreakBefore w:val="0"/>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600" w:lineRule="exact"/>
        <w:ind w:firstLine="640" w:firstLineChars="200"/>
        <w:textAlignment w:val="auto"/>
        <w:rPr>
          <w:rFonts w:ascii="仿宋" w:hAnsi="仿宋" w:eastAsia="仿宋" w:cs="仿宋"/>
          <w:sz w:val="32"/>
          <w:szCs w:val="32"/>
        </w:rPr>
      </w:pPr>
      <w:r>
        <w:rPr>
          <w:rFonts w:hint="eastAsia" w:ascii="楷体" w:hAnsi="楷体" w:eastAsia="楷体" w:cs="楷体"/>
          <w:color w:val="333333"/>
          <w:sz w:val="32"/>
          <w:szCs w:val="32"/>
          <w:shd w:val="clear" w:color="auto" w:fill="FFFFFF"/>
          <w:lang w:val="en-US" w:eastAsia="zh-CN"/>
        </w:rPr>
        <w:t>五是</w:t>
      </w:r>
      <w:r>
        <w:rPr>
          <w:rFonts w:hint="eastAsia" w:ascii="楷体" w:hAnsi="楷体" w:eastAsia="楷体" w:cs="楷体"/>
          <w:color w:val="333333"/>
          <w:sz w:val="32"/>
          <w:szCs w:val="32"/>
          <w:shd w:val="clear" w:color="auto" w:fill="FFFFFF"/>
        </w:rPr>
        <w:t>持续优化营商环境。</w:t>
      </w:r>
      <w:r>
        <w:rPr>
          <w:rFonts w:hint="eastAsia" w:ascii="仿宋" w:hAnsi="仿宋" w:eastAsia="仿宋" w:cs="仿宋"/>
          <w:sz w:val="32"/>
          <w:szCs w:val="32"/>
        </w:rPr>
        <w:t>继续锚定“创一流、树标杆”目标要求，充分发挥“五组一中心”攻坚合力的作用，加强对指标部门及乡镇街道的督导，围绕考核指标、改革任务、市场感知等中心工作进行常态化监测，聚焦短板，实行专项调度，稳步推进我区成绩向优再跃进。</w:t>
      </w:r>
    </w:p>
    <w:p w14:paraId="0D870D72">
      <w:pPr>
        <w:keepNext w:val="0"/>
        <w:keepLines w:val="0"/>
        <w:pageBreakBefore w:val="0"/>
        <w:pBdr>
          <w:top w:val="none" w:color="000000" w:sz="0" w:space="0"/>
          <w:left w:val="none" w:color="000000" w:sz="0" w:space="0"/>
          <w:bottom w:val="none" w:color="000000" w:sz="0" w:space="21"/>
          <w:right w:val="none" w:color="000000" w:sz="0" w:space="0"/>
        </w:pBdr>
        <w:kinsoku/>
        <w:wordWrap/>
        <w:overflowPunct/>
        <w:topLinePunct w:val="0"/>
        <w:autoSpaceDE/>
        <w:autoSpaceDN w:val="0"/>
        <w:bidi w:val="0"/>
        <w:adjustRightInd w:val="0"/>
        <w:snapToGrid w:val="0"/>
        <w:spacing w:line="600" w:lineRule="exact"/>
        <w:ind w:firstLine="640" w:firstLineChars="200"/>
        <w:textAlignment w:val="auto"/>
        <w:rPr>
          <w:rFonts w:ascii="仿宋" w:hAnsi="仿宋" w:eastAsia="仿宋" w:cs="仿宋"/>
          <w:sz w:val="32"/>
          <w:szCs w:val="32"/>
        </w:rPr>
      </w:pPr>
      <w:r>
        <w:rPr>
          <w:rFonts w:hint="eastAsia" w:ascii="楷体" w:hAnsi="楷体" w:eastAsia="楷体" w:cs="楷体"/>
          <w:color w:val="333333"/>
          <w:sz w:val="32"/>
          <w:szCs w:val="32"/>
          <w:shd w:val="clear" w:color="auto" w:fill="FFFFFF"/>
          <w:lang w:val="en-US" w:eastAsia="zh-CN"/>
        </w:rPr>
        <w:t>六是</w:t>
      </w:r>
      <w:r>
        <w:rPr>
          <w:rFonts w:hint="eastAsia" w:ascii="楷体" w:hAnsi="楷体" w:eastAsia="楷体" w:cs="楷体"/>
          <w:color w:val="333333"/>
          <w:sz w:val="32"/>
          <w:szCs w:val="32"/>
          <w:shd w:val="clear" w:color="auto" w:fill="FFFFFF"/>
        </w:rPr>
        <w:t>加强机关干部队伍建设。</w:t>
      </w:r>
      <w:r>
        <w:rPr>
          <w:rFonts w:hint="eastAsia" w:ascii="仿宋" w:hAnsi="仿宋" w:eastAsia="仿宋" w:cs="仿宋"/>
          <w:sz w:val="32"/>
          <w:szCs w:val="32"/>
        </w:rPr>
        <w:t>认真学习贯彻党的路线、方针、政策及中央、省、市、区重大决策部署，不断增强机关干部依法行政和服务的能力；加强党风廉政建设，继续抓好廉政勤政工作，推进作风转变，提高干部队伍自身素质。</w:t>
      </w:r>
    </w:p>
    <w:p w14:paraId="2C566F8C">
      <w:pPr>
        <w:pStyle w:val="11"/>
        <w:keepNext w:val="0"/>
        <w:keepLines w:val="0"/>
        <w:pageBreakBefore w:val="0"/>
        <w:kinsoku/>
        <w:wordWrap/>
        <w:overflowPunct/>
        <w:bidi w:val="0"/>
        <w:spacing w:line="600" w:lineRule="exact"/>
        <w:ind w:left="0" w:leftChars="0" w:firstLine="0" w:firstLineChars="0"/>
      </w:pPr>
    </w:p>
    <w:p w14:paraId="6642A6FB">
      <w:pPr>
        <w:pStyle w:val="11"/>
        <w:keepNext w:val="0"/>
        <w:keepLines w:val="0"/>
        <w:pageBreakBefore w:val="0"/>
        <w:kinsoku/>
        <w:wordWrap/>
        <w:overflowPunct/>
        <w:bidi w:val="0"/>
        <w:spacing w:line="600" w:lineRule="exact"/>
        <w:ind w:left="0" w:leftChars="0" w:firstLine="0" w:firstLineChars="0"/>
      </w:pPr>
    </w:p>
    <w:p w14:paraId="76A07B6F">
      <w:pPr>
        <w:pStyle w:val="11"/>
        <w:keepNext w:val="0"/>
        <w:keepLines w:val="0"/>
        <w:pageBreakBefore w:val="0"/>
        <w:kinsoku/>
        <w:wordWrap/>
        <w:overflowPunct/>
        <w:bidi w:val="0"/>
        <w:spacing w:line="600" w:lineRule="exact"/>
      </w:pPr>
    </w:p>
    <w:p w14:paraId="010D5FB4">
      <w:pPr>
        <w:keepNext w:val="0"/>
        <w:keepLines w:val="0"/>
        <w:pageBreakBefore w:val="0"/>
        <w:kinsoku/>
        <w:wordWrap/>
        <w:overflowPunct/>
        <w:bidi w:val="0"/>
        <w:spacing w:line="600" w:lineRule="exact"/>
        <w:jc w:val="right"/>
        <w:rPr>
          <w:rFonts w:ascii="仿宋" w:hAnsi="仿宋" w:eastAsia="仿宋" w:cs="仿宋"/>
          <w:sz w:val="32"/>
          <w:szCs w:val="32"/>
        </w:rPr>
      </w:pPr>
      <w:r>
        <w:rPr>
          <w:rFonts w:hint="eastAsia" w:ascii="仿宋" w:hAnsi="仿宋" w:eastAsia="仿宋" w:cs="仿宋"/>
          <w:sz w:val="32"/>
          <w:szCs w:val="32"/>
        </w:rPr>
        <w:t>昌江区发展和改革委员会</w:t>
      </w:r>
    </w:p>
    <w:p w14:paraId="4D42EF48">
      <w:pPr>
        <w:keepNext w:val="0"/>
        <w:keepLines w:val="0"/>
        <w:pageBreakBefore w:val="0"/>
        <w:kinsoku/>
        <w:wordWrap/>
        <w:overflowPunct/>
        <w:bidi w:val="0"/>
        <w:spacing w:line="600" w:lineRule="exact"/>
        <w:jc w:val="center"/>
        <w:rPr>
          <w:rFonts w:ascii="仿宋" w:hAnsi="仿宋" w:eastAsia="仿宋" w:cs="仿宋"/>
          <w:sz w:val="32"/>
          <w:szCs w:val="32"/>
        </w:rPr>
      </w:pPr>
      <w:r>
        <w:rPr>
          <w:rFonts w:hint="eastAsia" w:ascii="仿宋" w:hAnsi="仿宋" w:eastAsia="仿宋" w:cs="仿宋"/>
          <w:sz w:val="32"/>
          <w:szCs w:val="32"/>
        </w:rPr>
        <w:t xml:space="preserve">                                2024年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w:t>
      </w:r>
    </w:p>
    <w:p w14:paraId="08292F51">
      <w:pPr>
        <w:pStyle w:val="11"/>
        <w:keepNext w:val="0"/>
        <w:keepLines w:val="0"/>
        <w:pageBreakBefore w:val="0"/>
        <w:kinsoku/>
        <w:wordWrap/>
        <w:overflowPunct/>
        <w:bidi w:val="0"/>
        <w:spacing w:line="600" w:lineRule="exact"/>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I4MTVjNmViZmM3MjNhNDExYjU0YzcwOGQ1ODIxOTIifQ=="/>
  </w:docVars>
  <w:rsids>
    <w:rsidRoot w:val="002F2727"/>
    <w:rsid w:val="002F2727"/>
    <w:rsid w:val="00512CEA"/>
    <w:rsid w:val="007640C3"/>
    <w:rsid w:val="00A025F2"/>
    <w:rsid w:val="02D7069C"/>
    <w:rsid w:val="0B4F3F97"/>
    <w:rsid w:val="0BD81C35"/>
    <w:rsid w:val="0C3C773C"/>
    <w:rsid w:val="132A7014"/>
    <w:rsid w:val="1C451239"/>
    <w:rsid w:val="237B5F29"/>
    <w:rsid w:val="25061CF2"/>
    <w:rsid w:val="25D420A6"/>
    <w:rsid w:val="26416DCF"/>
    <w:rsid w:val="28DB0E83"/>
    <w:rsid w:val="2EF4224A"/>
    <w:rsid w:val="2F413135"/>
    <w:rsid w:val="324C3F9F"/>
    <w:rsid w:val="32F43109"/>
    <w:rsid w:val="3DC01751"/>
    <w:rsid w:val="3DE96EFA"/>
    <w:rsid w:val="40136E32"/>
    <w:rsid w:val="44DE5A73"/>
    <w:rsid w:val="484B0BE5"/>
    <w:rsid w:val="4AD3310C"/>
    <w:rsid w:val="4CB55644"/>
    <w:rsid w:val="5900029B"/>
    <w:rsid w:val="5CC708D7"/>
    <w:rsid w:val="5F053005"/>
    <w:rsid w:val="61D40BBB"/>
    <w:rsid w:val="648869AC"/>
    <w:rsid w:val="71093A7F"/>
    <w:rsid w:val="746565D3"/>
    <w:rsid w:val="7A234FB0"/>
    <w:rsid w:val="7AB61D55"/>
    <w:rsid w:val="7B2033AE"/>
    <w:rsid w:val="7D1D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0"/>
    <w:pPr>
      <w:keepNext/>
      <w:spacing w:before="240" w:after="60"/>
      <w:outlineLvl w:val="1"/>
    </w:pPr>
    <w:rPr>
      <w:rFonts w:ascii="Cambria" w:hAnsi="Cambria" w:eastAsia="宋体" w:cs="Times New Roman"/>
      <w:b/>
      <w:bCs/>
      <w:i/>
      <w:iCs/>
      <w:kern w:val="1"/>
      <w:sz w:val="28"/>
      <w:szCs w:val="28"/>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w:basedOn w:val="1"/>
    <w:next w:val="1"/>
    <w:qFormat/>
    <w:uiPriority w:val="0"/>
    <w:rPr>
      <w:rFonts w:ascii="Calibri" w:hAnsi="Calibri"/>
      <w:sz w:val="32"/>
      <w:szCs w:val="32"/>
    </w:r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spacing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4"/>
    <w:next w:val="1"/>
    <w:qFormat/>
    <w:uiPriority w:val="0"/>
    <w:pPr>
      <w:ind w:firstLine="420" w:firstLineChars="100"/>
    </w:pPr>
  </w:style>
  <w:style w:type="paragraph" w:styleId="11">
    <w:name w:val="Body Text First Indent 2"/>
    <w:basedOn w:val="1"/>
    <w:qFormat/>
    <w:uiPriority w:val="99"/>
    <w:pPr>
      <w:ind w:left="420" w:leftChars="200" w:firstLine="210"/>
    </w:pPr>
  </w:style>
  <w:style w:type="character" w:styleId="14">
    <w:name w:val="Strong"/>
    <w:basedOn w:val="13"/>
    <w:qFormat/>
    <w:uiPriority w:val="0"/>
    <w:rPr>
      <w:b/>
    </w:rPr>
  </w:style>
  <w:style w:type="character" w:styleId="1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5260</Words>
  <Characters>5574</Characters>
  <Lines>30</Lines>
  <Paragraphs>8</Paragraphs>
  <TotalTime>32</TotalTime>
  <ScaleCrop>false</ScaleCrop>
  <LinksUpToDate>false</LinksUpToDate>
  <CharactersWithSpaces>5611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2024-06-12T02:01:00Z</dcterms:created>
  <dc:creator>admin</dc:creator>
  <cp:lastModifiedBy>你是我唯一的烟火</cp:lastModifiedBy>
  <cp:lastPrinted>2024-12-06T03:15:00Z</cp:lastPrinted>
  <dcterms:modified xsi:type="dcterms:W3CDTF">2024-12-13T07:47:06Z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5305765131C742A6AE4BCFB13B0C0901_12</vt:lpwstr>
  </property>
</Properties>
</file>