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658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区发改委2025年上半年工作总结及</w:t>
      </w:r>
    </w:p>
    <w:p w14:paraId="47C6C84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下半年工作安排</w:t>
      </w:r>
    </w:p>
    <w:p w14:paraId="308E8BB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705F63A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区发改委始终坚持以习近平新时代中国特色社会主义思想为指导，全面贯彻落实党的二十大和二十届三中全会精神，紧紧围绕区委、区政府决策部署，秉持感恩奋进、真抓实干、创先争优的工作态度，扎实推进各项工作任务。</w:t>
      </w:r>
    </w:p>
    <w:p w14:paraId="33E499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上半年主要工作开展情况</w:t>
      </w:r>
    </w:p>
    <w:p w14:paraId="05B677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（一）突出党建引领，凝心聚力改革发展新活力</w:t>
      </w:r>
    </w:p>
    <w:p w14:paraId="246B0F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cs="仿宋_GB2312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1、强化政治理论学习。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党组切实扛牢主体责任，“一把手”亲自抓、负总责，班子成员履行“一岗双责”，将学习教育深度融入党建和党风廉政建设全过程。以中央八项规定学习教育为契机，深化作风建设、提升工作质效。严格落实“第一议题”制度，依托党组会议、党组理论学习中心组、支部“三会一课”等主阵地，组织全体党员干部深学细悟。创新学习模式，采用“领导带学”与“全员轮讲”相结合的模式开展学习。并为离退休党员提供“送学上门”服务，确保学习教育覆盖“最后一公里”。今年以来，召开支委会5次，党员大会4次，主题党日4次，党课1次，党组理论学习中心组6次。坚持学查改一体推进，严格对照上级明确的“两个问题清单”、28个具体问题和基层“四风”10种隐形变异新表现，班子查摆问题5个，领导干部查摆问题20个，已制定12条具有针对性的整改措施，并明确每项措施的牵头领导、责任科室和完成时限。</w:t>
      </w:r>
    </w:p>
    <w:p w14:paraId="67E07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2、深入开展集中整治工作。套取资金专项方面，一是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全面自查，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auto"/>
        </w:rPr>
        <w:t>夯实整治基础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历经四个月深入摸排、调度，各单位累计上报问题331个，涉及金额534万元，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截至目前，已有327个问题完成整改，需退回106.715万元。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auto"/>
        </w:rPr>
        <w:t>联合检查，深入排查风险隐患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联合检查组在对各乡镇（街道）和区相关部门的检查中，发现教体、农水、住建、卫健委等单位存在应立未立、项目资料管理、项目结算等问题共计50个，已要求项目单位限期整改。</w:t>
      </w:r>
    </w:p>
    <w:p w14:paraId="347AFC9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招标投标领域专项整治方面，一是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在魅力昌江发布专项整治问题线索征集公告，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面向社会广泛征集工程建设项目全流程问题线索，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强化社会监督。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扎实开展工程建设项目摸排工作，全面梳理22年以来的项目。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底数清单经过省市认定，最终确定为50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  <w:t>个项目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，并精准划分行业领域。对发现的10个问题项目建立台账，明确责任单位，逐项推进整改，目前已完成2个项目整改。同时，深入剖析问题根源，针对管理意识淡薄、内控机制缺失等症结，为后续建立长效监管机制奠定坚实基础。</w:t>
      </w:r>
    </w:p>
    <w:p w14:paraId="488A874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突出文化传承，建好国家陶瓷文化试验区</w:t>
      </w:r>
    </w:p>
    <w:p w14:paraId="2BD629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一是积极打造“ 陶青台文创园”平台。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服务景德镇陶瓷产业转型升级,加强对外文化国际交流,整合陶瓷产业链上下游及周边资源，以数字经济赋能陶瓷产业，构建集创意设计、生产销售等功能于一体的综合产业平台。目前陶青台主体建设已全面完工，入驻七十余家品牌企业，同时引入广州美院教授博导张温峡、法国陶艺家开弥等多位国内外高端人才。此外，京东陶瓷产业带直播基地、凤凰数字产业孵化中心、京东云仓、北京国际设计周等项目也已经落户陶青台，园区入驻率达到 95%。</w:t>
      </w:r>
    </w:p>
    <w:p w14:paraId="34639B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二是建设宁封窑非遗传承创新示范基地。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合设计生产销售环节，实施“传统工艺+现代审美”融合工程开发陶瓷新产品，结合博物馆资源打造文创周边。计划推出“陶瓷+文旅”IP，开展陶艺研学、非遗工坊体验项目。截至2025年5月，宁封窑已拥有2项外观设计专利，8项陶瓷设计版权，基地共入驻7家陶瓷创意设计企业，引进5名市级非遗传承人，与中小学开展研学合作，截至2024年底，接待昌实学校等中小学陶艺研学超5000人次，形成“产学研用”一体化人才体系。</w:t>
      </w:r>
    </w:p>
    <w:p w14:paraId="35A164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（三）突出宏观调控，加快建设经济运行新机制</w:t>
      </w:r>
    </w:p>
    <w:p w14:paraId="540A897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1、切实做好经济运行预警监测工作。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今年以来，我委认真组织制定经济社会发展计划目标，加强经济形势预警监测，跟踪全区经济运行态势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抓好区委财经委员会办公室日常工作，及时研究解决经济运行中出现的矛盾和问题，并向区委、区政府提出有针对性的对策建议。完成了《关于昌江区202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年国民经济和社会发展计划执行情况与202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年国民经济和社会发展计划草案的报告》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，并在区第十一届人民代表大会第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次会议上审议通过。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正在起草编制《关于昌江区202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年1--6月份国民经济和社会发展计划执行情况的汇报》，分解各项主要经济指标全年目标任务，确保全区经济运行在合理区间。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同时，积极开展“十五五”规划的前期研究工作，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全面收集我区近五年经济社会发展基本情况、相关政策法规文件等基础信息。</w:t>
      </w:r>
    </w:p>
    <w:p w14:paraId="4A924F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2、经济指标完成情况</w:t>
      </w:r>
    </w:p>
    <w:p w14:paraId="605E0A5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固定资产投资：</w:t>
      </w:r>
      <w:r>
        <w:rPr>
          <w:rFonts w:hint="eastAsia" w:ascii="仿宋_GB2312" w:hAnsi="仿宋_GB2312" w:eastAsia="仿宋_GB2312" w:cs="仿宋_GB2312"/>
          <w:sz w:val="32"/>
          <w:szCs w:val="32"/>
        </w:rPr>
        <w:t>1-4月固定投资19.41亿元，同比增速5.5%，高于全市0.7个百分点，列全市第3。目前全区共有在库项目75个，其中亿元以上项目65个，有效剩余投资约185亿元。今年以来我区成功入库固投项目16个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，正在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申报入库项目4个。</w:t>
      </w:r>
    </w:p>
    <w:p w14:paraId="32B90C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服务业：</w:t>
      </w:r>
      <w:r>
        <w:rPr>
          <w:rFonts w:hint="eastAsia" w:ascii="仿宋_GB2312" w:hAnsi="仿宋_GB2312" w:eastAsia="仿宋_GB2312" w:cs="仿宋_GB2312"/>
          <w:sz w:val="32"/>
          <w:szCs w:val="32"/>
        </w:rPr>
        <w:t>1-4月，43家在库规上服务业上报营收14.17亿元，同比增长9.7%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小口径加权增速9.2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规上服务业企业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入库4家，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各乡镇街道上报培育库6家。</w:t>
      </w:r>
    </w:p>
    <w:p w14:paraId="5195D3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突出项目拉动，聚力打造项目建设新引擎</w:t>
      </w:r>
    </w:p>
    <w:p w14:paraId="5B350A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一是项目建设再提速。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区共计52个区重点工程建设项目，总投资311.85亿元，年度计划投资53.52亿元。2025年1-5月，完成年度计划投资25.83亿元，完成投资比率48.27%，项目开工率90.38%。其中，市重点工程建设项目29个，总投资270.23亿元，年度计划投资41.72亿元，完成年度计划投资19.35亿元，完成投资比率46.37%，项目开工率100%；省大中型项目16个，项目总投资65.99亿元，计划完成投资26.98亿元，完成年度计划投资13.2亿元，完成投资比率48.92%，项目开工率100%。</w:t>
      </w:r>
    </w:p>
    <w:p w14:paraId="764575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二是全力推进争资争项。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目前共有3个项目成功争取到上级资金3285万元，其中超长期国债3200万，省基建资金85万元。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围绕中央预算内投资、政府专项债和“两重”“两新”超长期特别国债重点支持领域和方向，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共谋划储备13个项目，总投资25.1亿元。其中4个项目已上报待反馈，2个专项债项目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已通过“绿色通道”审核通过，可直接发债。</w:t>
      </w:r>
    </w:p>
    <w:p w14:paraId="1B40C3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突出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数字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赋能，全面构建产业发展新体系</w:t>
      </w:r>
    </w:p>
    <w:p w14:paraId="4DA648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深化融合应用，打造制造业数字化转型示范标杆。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推黑猫股份申报第一批数智工厂，已成功获评省级“数智工厂”。积极谋划黑猫股份申报2025年数字领航企业，乐彭电器、景焦能源申报第二批数智工厂，富祥药业、宏亿电子、草掌柜申报第二批小灯塔。积极组织数转标杆企业江西黑猫炭黑股份有限公司申报2025年制造业数字化转型典型成效，材料已提交至市级。1-4月，昌江区数字经济核心产业营业收入合计8.58亿元。其中，服务业营业收入6.83亿元，贸易业营业收入0.21亿元，工业营业收入1.53亿元，软件营收0.32亿元。</w:t>
      </w:r>
    </w:p>
    <w:p w14:paraId="44CF24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（六）其他工作亮点</w:t>
      </w:r>
    </w:p>
    <w:p w14:paraId="69BE016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国防动员工作中，我委多举措并行，开展3次国防知识宣传活动。全面检查辖区封堵的老旧人防工程，排查入口及周边环境，及时消除雨水渗透等安全隐患；借“5·12”全国防灾减灾日契机，设置宣传台，发放400余份宣传品，普及防灾减灾与应急防空知识；联合蓝天救援队开展国防知识进校园活动，提升学生国防观念与应急防护能力。</w:t>
      </w:r>
    </w:p>
    <w:p w14:paraId="296F6ED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9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同时，我们还积极做好了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经济体制改革、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营商环境、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“六保”“六稳”、安全生产、双碳、铁办、价格认定和粮食领域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等日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  <w:lang w:val="zh-CN"/>
        </w:rPr>
        <w:t>常工作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认真抓好了“双拥”、政务信息公开等工作，积极完成三全暖企、人大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议案和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政协提案答复等区委、区政府交办的其他中心工作。</w:t>
      </w:r>
      <w:bookmarkStart w:id="0" w:name="_GoBack"/>
      <w:bookmarkEnd w:id="0"/>
    </w:p>
    <w:p w14:paraId="1C7DE51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存在问题</w:t>
      </w:r>
    </w:p>
    <w:p w14:paraId="2496386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一是固定资产投资结构不合理。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民间投资占比偏低，需要维持月度正增长和完成市级下达任务，导致投资结构调整效果不及预期，</w:t>
      </w:r>
      <w:r>
        <w:rPr>
          <w:rFonts w:hint="eastAsia" w:ascii="仿宋" w:hAnsi="仿宋" w:eastAsia="仿宋"/>
          <w:sz w:val="32"/>
          <w:szCs w:val="32"/>
        </w:rPr>
        <w:t>在库项目数和库容支撑力不够，今年新增入库项目数低于全市平均水平，工业项目和技改项目数偏少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二是服务业发展面临挑战。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大口径方面过度依赖头部企业，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大部分</w:t>
      </w:r>
      <w:r>
        <w:rPr>
          <w:rFonts w:hint="eastAsia" w:ascii="仿宋" w:hAnsi="仿宋" w:eastAsia="仿宋"/>
          <w:sz w:val="32"/>
          <w:szCs w:val="32"/>
        </w:rPr>
        <w:t>企业营收普遍增长乏力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甚至出现负增长，</w:t>
      </w:r>
      <w:r>
        <w:rPr>
          <w:rFonts w:hint="eastAsia" w:ascii="仿宋" w:hAnsi="仿宋" w:eastAsia="仿宋"/>
          <w:sz w:val="32"/>
          <w:szCs w:val="32"/>
        </w:rPr>
        <w:t>大幅拉低了全区增速基本面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2DCAD7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下半年工作安排</w:t>
      </w:r>
    </w:p>
    <w:p w14:paraId="3AE9A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一是加强上级政策研究分析。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研究上级政策，准确把握资金动态，密切关注国家政策调整动向，瞄准国家为拉动经济发展出台的相关政策和产业投资方向，找准与全区的对接点，集中力量谋划和选择项目。同时，强化项目编制，按照“多选精选”的原则，精心谋划一批战略性、前瞻性、引导性、务实性的项目，并积极做好前期准备工作，不断提高项目储备质量。</w:t>
      </w:r>
    </w:p>
    <w:p w14:paraId="12E2B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是分类施策推进项目建设。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牢固树立“抓项目就是抓发展”意识，完善并落实区委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区政府项目建设协调机制，坚持全区调度和专题调度相结合。大力推进区重点项目的建设进度，进一步压实项目建设单位主体责任，严格倒排工期，严把施工计划推进工程，全力确保实现年度建设目标。  </w:t>
      </w:r>
    </w:p>
    <w:p w14:paraId="1EE45C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bidi w:val="0"/>
        <w:spacing w:before="0" w:beforeAutospacing="0" w:after="0" w:afterAutospacing="0" w:line="60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三是推动服务业企业多元化发展。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实施服务业企业梯度培育计划，除了关注头部企业，加大对中小微服务业企业的扶持力度。引导企业根据自身优势和市场需求，聚焦细分领域，提供特色化、专业化服务，避免同质化竞争。促进企业之间的资源共享、优势互补和业务合作，形成协同发展的良好局面，提升服务业企业整体竞争力。</w:t>
      </w:r>
    </w:p>
    <w:p w14:paraId="74E678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bidi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编制昌江区“十五五”规划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根据国家和省市的发展战略，结合昌江区的实际情况和发展潜力，确定昌江区 “十五五” 期间的总体发展目标，包括经济增长、产业升级、民生改善、生态保护等方面的具体目标。明确昌江区在区域发展中的定位，如产业特色、功能定位、竞争优势等，为昌江区的差异化发展提供方向。</w:t>
      </w:r>
    </w:p>
    <w:p w14:paraId="123F509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加快构建现代产业体系。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新质生产力、抓项目、兴产业，做优做强数字经济，持续推进产业转型，加快推动LED照明、终端消费电子等产业发展。聚焦科技创新、技术改造、绿色低碳等国家和省、市投资导向，积极争取专项债、一般债、政策性金融工具和中央预算内投资等上级政策资金支持。</w:t>
      </w:r>
    </w:p>
    <w:p w14:paraId="0D870D72"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2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加强机关干部队伍建设。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认真学习贯彻党的路线、方针、政策及中央、省、市、区重大决策部署，不断增强机关干部依法行政和服务的能力；加强党风廉政建设，继续抓好廉政勤政工作，推进作风转变，提高干部队伍自身素质。</w:t>
      </w:r>
    </w:p>
    <w:p w14:paraId="4B1A1C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600" w:lineRule="exact"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A284C"/>
    <w:multiLevelType w:val="singleLevel"/>
    <w:tmpl w:val="2A5A284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3E5B14"/>
    <w:multiLevelType w:val="singleLevel"/>
    <w:tmpl w:val="493E5B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67217"/>
    <w:rsid w:val="3AD16276"/>
    <w:rsid w:val="3B175AFB"/>
    <w:rsid w:val="4C42372F"/>
    <w:rsid w:val="54E22E78"/>
    <w:rsid w:val="57862A4B"/>
    <w:rsid w:val="58587D32"/>
    <w:rsid w:val="6C8F503C"/>
    <w:rsid w:val="6E8757F0"/>
    <w:rsid w:val="7B393D56"/>
    <w:rsid w:val="7C49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Body Text First Indent 2"/>
    <w:basedOn w:val="1"/>
    <w:qFormat/>
    <w:uiPriority w:val="99"/>
    <w:pPr>
      <w:ind w:left="420" w:leftChars="200" w:firstLine="21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3801</Words>
  <Characters>4012</Characters>
  <Lines>0</Lines>
  <Paragraphs>0</Paragraphs>
  <TotalTime>14</TotalTime>
  <ScaleCrop>false</ScaleCrop>
  <LinksUpToDate>false</LinksUpToDate>
  <CharactersWithSpaces>4019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2025-06-11T07:48:00Z</dcterms:created>
  <dc:creator>admin</dc:creator>
  <cp:lastModifiedBy>你是我唯一的烟火</cp:lastModifiedBy>
  <cp:lastPrinted>2025-06-13T01:45:00Z</cp:lastPrinted>
  <dcterms:modified xsi:type="dcterms:W3CDTF">2025-06-13T02:08:32Z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eyJoZGlkIjoiMWI4MTVjNmViZmM3MjNhNDExYjU0YzcwOGQ1ODIxOTIiLCJ1c2VySWQiOiIyNjEyNDgwODMifQ==</vt:lpwstr>
  </property>
  <property fmtid="{D5CDD505-2E9C-101B-9397-08002B2CF9AE}" pid="4" name="ICV">
    <vt:lpwstr>7653646ED8254BF7A515F2775E310FCE_12</vt:lpwstr>
  </property>
</Properties>
</file>